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a71df3dbcaf5311d04b8d281a81a828193769ba"/>
    <w:p>
      <w:pPr>
        <w:pStyle w:val="Heading1"/>
      </w:pPr>
      <w:r>
        <w:t xml:space="preserve">Algorithmacy and Sovereignty: Coordinative Sovereignty for the Platform Era</w:t>
      </w:r>
    </w:p>
    <w:bookmarkStart w:id="9" w:name="abstract"/>
    <w:p>
      <w:pPr>
        <w:pStyle w:val="Heading2"/>
      </w:pPr>
      <w:r>
        <w:t xml:space="preserve">Abstract</w:t>
      </w:r>
    </w:p>
    <w:p>
      <w:pPr>
        <w:pStyle w:val="FirstParagraph"/>
      </w:pPr>
      <w:r>
        <w:t xml:space="preserve">A firm can satisfy every duty Europe’s digital regulation places on it, and those subject to the firm still hold no share in the algorithmic determinations that bind them. Sovereignty has always required a competence equal to its medium: speech in oral orders, writing in the literate state, a literacy of code and data in the digital one. Platform coordination takes place through an algorithmic third party that reads both sides and commits outcomes neither controls. Governing that medium takes algorithmacy, the competence indexed to the triad, and coordinative sovereignty, the standing to shape one’s terms of mediation, to contest the mediator’s arbitrary power, and to share in governing what the open tie does not dissolve. A counterfactual sorts mediators an actor can leave from those it can only govern, yields a priority rule, and names the institutions that convert competence into voice.</w:t>
      </w:r>
    </w:p>
    <w:p>
      <w:pPr>
        <w:pStyle w:val="BodyText"/>
      </w:pPr>
      <w:r>
        <w:rPr>
          <w:b/>
          <w:bCs/>
        </w:rPr>
        <w:t xml:space="preserve">Keywords:</w:t>
      </w:r>
      <w:r>
        <w:t xml:space="preserve"> </w:t>
      </w:r>
      <w:r>
        <w:t xml:space="preserve">digital sovereignty, coordinative sovereignty, algorithmacy, platform coordination, co-optation, algorithmic management, non-domination, exit and voice, contestability, data trusts</w:t>
      </w:r>
    </w:p>
    <w:bookmarkEnd w:id="9"/>
    <w:bookmarkStart w:id="10" w:name="the-subject-of-sovereignty"/>
    <w:p>
      <w:pPr>
        <w:pStyle w:val="Heading2"/>
      </w:pPr>
      <w:r>
        <w:t xml:space="preserve">1. The subject of sovereignty</w:t>
      </w:r>
    </w:p>
    <w:p>
      <w:pPr>
        <w:pStyle w:val="FirstParagraph"/>
      </w:pPr>
      <w:r>
        <w:t xml:space="preserve">Sovereignty is the standing to hold power to account through the medium in which power is exercised. The standing has always required a competence equal to the medium: speech in the oral order, writing in the literate state. A literate public could call the modern state to account because it could read what the state wrote (Habermas, 1962/1989; Scott, 1998). Platform coordination now takes place through a medium that speech and writing do not reach. An algorithmic third party reads both sides of a coordination and commits determinations neither side controls. The competence such a medium requires has no name in the regulatory program built to govern it.</w:t>
      </w:r>
    </w:p>
    <w:p>
      <w:pPr>
        <w:pStyle w:val="BodyText"/>
      </w:pPr>
      <w:r>
        <w:t xml:space="preserve">The pairing of sovereignty and competence is old, and its two earlier forms set the terms on which the third must be judged. Before writing, speech and memory carried authority, and law was what the elders could recite (Bloch, 1975; Goody, 1986). An oath bound because the community witnessed it, and custom held because people could remember and perform it. Everyone in such an order could speak, yet authorized forms of speech were restricted by age, sex, birth, and office, so the competence was general while binding exercise of it was not. Writing changed the terms of accountability because a written rule persists, travels without its author, and can be laid beside another writing and compared (Goody &amp; Watt, 1963). The modern state governs through the archive, the census, and the code of law (Goody, 1986; Scott, 1998), and the properties that let the state govern let a literate public contest it. Print carried critical reason into a public sphere (Habermas, 1962/1989) and underwrote the imagined community of the democratic nation-state (B. Anderson, 1983/2006). Democratic citizenship depends on the capacity to read what institutions write (Nussbaum, 2006; Sen, 1999). For most of its history, literacy was a restricted competence held by scribes, clerics, and officials (Clanchy, 2013; Harris, 1989), and the reach of democratic sovereignty tracked the diffusion of that competence, unevenly and late (Graff, 1991). Media scholarship has long paired forms of authority with the media that carry them (Eisenstein, 1979; Innis, 1951). The strong claim that writing restructures the mind did not survive its ethnographers, and the pairing asserted here concerns coordination regimes, the forms of authority a medium makes possible, while staying silent about individual cognition (Finnegan, 1988; Scribner &amp; Cole, 1981; Street, 1984).</w:t>
      </w:r>
    </w:p>
    <w:p>
      <w:pPr>
        <w:pStyle w:val="BodyText"/>
      </w:pPr>
      <w:r>
        <w:t xml:space="preserve">On 23 April 2025, the European Commission fined Apple 500 million euros for restricting how application developers steer users to offers outside the App Store, the first non-compliance fine under the Digital Markets Act (European Commission, 2025b). The decision landed on top of the most ambitious digital regulation in the world. The General Data Protection Regulation governs personal data, the AI Act classifies and constrains AI systems by risk, the Digital Markets Act disciplines gatekeeping, the Digital Services Act reaches content and recommendation, and the NIS2 Directive mandates cybersecurity governance (Directive (EU) 2022/2555; Regulation (EU) 2016/679; Regulation (EU) 2022/1925; Regulation (EU) 2022/2065; Regulation (EU) 2024/1689). By the most comprehensive comparative assessment, no other jurisdiction gives its actors a comparable degree of control over data, infrastructure, and code (Bradford, 2023). Political scientists who audit the program against its own rhetoric find a persistent gap between the sovereignty it announces and the control it delivers (Falkner et al., 2024). The individual digital sovereignty the program promises reaches the data-holding subject and stops short of the subject’s structural position (Nanni et al., 2024).</w:t>
      </w:r>
    </w:p>
    <w:p>
      <w:pPr>
        <w:pStyle w:val="BodyText"/>
      </w:pPr>
      <w:r>
        <w:t xml:space="preserve">The program’s object is control for those whom the digital order binds. A firm can meet every duty the stack places on it and still leave those people without a share in the determinations that match them, rank them, price them, or drop them. An independent software vendor can deal with an application store that discloses ranking parameters and accepts complaints under the Platform-to-Business Regulation, and it has no part in making the ranking and review decisions that determine its access to customers (Cutolo &amp; Kenney, 2021; Kude &amp; Huber, 2025; Regulation (EU) 2019/1150, Arts. 5, 11). Third-party merchants stand at the mercy of a marketplace’s recommendation algorithm, and creators watch revenue vanish in policy and ranking changes announced nowhere (Nambisan et al., 2018; Rahman et al., 2024). The Digital Services Act’s transparency rights reach visibility decisions framed as moderation and leave algorithmic demotion largely untouched, so the creator whose audience disappears has, in most cases, nothing to appeal (Leerssen, 2023). Workers under opaque evaluation inhabit the same position from inside the firm (Rahman, 2021). Compliance by the operator is a literate achievement, and standing for those the operator coordinates is a share in the determinations.</w:t>
      </w:r>
    </w:p>
    <w:p>
      <w:pPr>
        <w:pStyle w:val="BodyText"/>
      </w:pPr>
      <w:r>
        <w:t xml:space="preserve">For an actor whose economic coordination runs through an algorithmic intermediary it cannot feasibly leave, what form of sovereignty is available, and what competence does exercising it require?</w:t>
      </w:r>
    </w:p>
    <w:p>
      <w:pPr>
        <w:pStyle w:val="BodyText"/>
      </w:pPr>
      <w:r>
        <w:t xml:space="preserve">The answer is coordinative sovereignty. Where a mediator still binds after the parties it stands between could reach each other directly, the autonomy available to the coordinated actor is standing within the mediation: the power to shape the terms on which one is mediated, to contest the mediator’s arbitrary power, and to hold a share in the governance of the arrangement. A counterfactual on the forbidden tie sorts the mediators an actor can leave from those it can only govern, and it yields a priority rule: exit-restoring instruments against contingent mediators, voice-building instruments against necessary ones, applied function by function. The competence this standing requires, algorithmacy, is continuous with algorithmic literacy in its parts and discontinuous in its object, and it is a precondition of exercising the standing, never a substitute for it. The dominant program, digital sovereignty, extends the literate model of accountability to data, infrastructure, and code, and for that reason cannot reach the layer where platform coordination binds. A firm can satisfy every literate duty that program imposes, and those it coordinates still hold no share in the determinations that bind them. Further duties of the same kind cannot supply that share.</w:t>
      </w:r>
    </w:p>
    <w:bookmarkEnd w:id="10"/>
    <w:bookmarkStart w:id="11" w:name="X57e7da9ded70d0552bd5592eee9a0c0fddd6ee1"/>
    <w:p>
      <w:pPr>
        <w:pStyle w:val="Heading2"/>
      </w:pPr>
      <w:r>
        <w:t xml:space="preserve">2. The main idea of coordinative sovereignty</w:t>
      </w:r>
    </w:p>
    <w:p>
      <w:pPr>
        <w:pStyle w:val="FirstParagraph"/>
      </w:pPr>
      <w:r>
        <w:t xml:space="preserve">The political concept of coordinative sovereignty, understood as the autonomy proper to a necessary mediation, is the power to shape the terms on which one is mediated, to contest the mediator’s arbitrary power, and to hold a share in the governance of an arrangement the open tie does not dissolve. Two attributes narrow the term against its neighbors: the mediation is necessary, and the standing’s currency is effective voice.</w:t>
      </w:r>
      <w:r>
        <w:t xml:space="preserve"> </w:t>
      </w:r>
      <w:r>
        <w:t xml:space="preserve">“Cannot leave”</w:t>
      </w:r>
      <w:r>
        <w:t xml:space="preserve"> </w:t>
      </w:r>
      <w:r>
        <w:t xml:space="preserve">names a structural fact about the coordination, and it names neither lock-in under a contingent gate nor irreducibility as the coordination is currently wired. The currency is effective voice, terms that hold because the coordinated actors have the standing to make them hold. Independence from the mediator lies outside the construct, as does command of the infrastructure.</w:t>
      </w:r>
    </w:p>
    <w:p>
      <w:pPr>
        <w:pStyle w:val="BodyText"/>
      </w:pPr>
      <w:r>
        <w:t xml:space="preserve">Bodin made sovereignty supreme, perpetual, and indivisible (Bodin, 1576/1992), and a standing that is shared, partial, and exercised through voice can look like a misuse of the term. Yet the democratic tradition desubstantialized sovereignty long ago: popular sovereignty is no longer seated in a person or an assembly at all, and</w:t>
      </w:r>
      <w:r>
        <w:t xml:space="preserve"> </w:t>
      </w:r>
      <w:r>
        <w:t xml:space="preserve">“sovereignty is found in those subjectless forms of communication”</w:t>
      </w:r>
      <w:r>
        <w:t xml:space="preserve"> </w:t>
      </w:r>
      <w:r>
        <w:t xml:space="preserve">(Habermas, 1996, pp. 486–487). The term in that sense names the standing to hold power to account through the medium in which power is exercised, which is what a literate public exercises over a state whose writing it can read. Coordinative sovereignty adds two attributes to that desubstantialized sense and narrows the concept’s extension. A review of 240 works on digital sovereignty concludes that accounts recognizing multiple coexisting digital sovereigns innovate the concept rather than stretch it (Repetto, 2025).</w:t>
      </w:r>
    </w:p>
    <w:p>
      <w:pPr>
        <w:pStyle w:val="BodyText"/>
      </w:pPr>
      <w:r>
        <w:t xml:space="preserve">Who bears the standing, a person or a firm? Both, because a relation defines the construct: whoever occupies the position of being coordinated through a necessary mediation bears coordinative sovereignty. Republican theory licenses the extension of non-domination to corporate bodies such as peoples while grounding a corporate body’s freedom in its members’ freedom (Pettit, 2016). The same priority holds here: where the firm’s standing and its members’ standing diverge, the members’ standing governs. A reader may decline that priority and keep the rest, since the construct is one while its measurement differs by level.</w:t>
      </w:r>
    </w:p>
    <w:p>
      <w:pPr>
        <w:pStyle w:val="BodyText"/>
      </w:pPr>
      <w:r>
        <w:t xml:space="preserve">The normative grounds are four. Republican theory takes freedom as non-domination, the absence of another’s arbitrary power, a stronger condition than the absence of interference (Pettit, 1997; Skinner, 1998), and it has carried that condition to algorithmic management directly (Muldoon &amp; Raekstad, 2023). One might object that a ranking system is no agent, so its power cannot be arbitrary in the sense the theory requires. Some republicans answer by relocating domination in structures (Gädeke, 2020; Hasan, 2021), while the account adopted here requires an agent behind structural domination (Cicerchia, 2022), because the mediator’s interest is the firm’s and the firm is an agent. Relational autonomy holds that autonomy is constituted through the relationships that structure a person (Mackenzie &amp; Stoljar, 2000; Nedelsky, 2011), so a well-shaped mediation enlarges the coordinated actor’s autonomy while a badly shaped one diminishes it. The object of sovereignty is the shape. Non-domination protects without including, and an actor secured against arbitrary power still holds no share in the determinations that govern it (Markell, 2008). Coordinative sovereignty asks for the share. Commons scholarship supplies the institutional form: property is a bundle, and the claimant and proprietor positions carry rights of management and exclusion without ownership proper (Ostrom, 1990; Schlager &amp; Ostrom, 1992). Maine lobster fishers hold de facto proprietorship over grounds the state owns, governing access and effort without holding title (Acheson, 2003; Schlager &amp; Ostrom, 1992). That is the available claim: collective-choice arrangements over the coordination’s rules, standing the owner cannot unilaterally rewrite without contest.</w:t>
      </w:r>
    </w:p>
    <w:p>
      <w:pPr>
        <w:pStyle w:val="BodyText"/>
      </w:pPr>
      <w:r>
        <w:t xml:space="preserve">Three neighboring constructs mark the concept’s borders. The legitimacy of intermediary power, the question of what entitles an algorithmic intermediary to settle the norms of the relations it mediates, is the same object seen from the ruler’s side (Lazar, 2025). Coordinative sovereignty describes the ruled actor’s side of the same relation. Coordination rights name the allocation law makes when it decides who may coordinate with whom (Paul, 2020), and coordinative sovereignty is the standing the allocated parties seek within an allocation already made. Accounts of autonomy in human-algorithm relations describe negotiated autonomy and an algorithmic competence exercised by individual users (Savolainen &amp; Ruckenstein, 2024), and coordinative sovereignty indexes the same materials to a triadic coordination and to a share in its governance. Rights and protections are guarantees against a mediator’s conduct, whereas coordinative sovereignty is a share in the mediator’s governance. A platform can grant extensive protections to actors who hold no standing over how the coordination is authored. Transparency alone does not produce that share, for reasons the next section establishes. The mediator cannot be wished away, and freedom lives in the terms of the mediation.</w:t>
      </w:r>
    </w:p>
    <w:bookmarkEnd w:id="11"/>
    <w:bookmarkStart w:id="12" w:name="the-dominant-view-and-where-it-fails"/>
    <w:p>
      <w:pPr>
        <w:pStyle w:val="Heading2"/>
      </w:pPr>
      <w:r>
        <w:t xml:space="preserve">3. The dominant view and where it fails</w:t>
      </w:r>
    </w:p>
    <w:p>
      <w:pPr>
        <w:pStyle w:val="FirstParagraph"/>
      </w:pPr>
      <w:r>
        <w:t xml:space="preserve">Digital sovereignty, in its regulatory strand, is the literate competence carried into the digital domain, and it is the best-developed answer the field has. The strand names the ability of states, organizations, and communities to exercise control over their digital infrastructures, data, and technologies (Floridi, 2020; Hummel et al., 2021; Pohle &amp; Thiel, 2020). The AI Act classifies systems and imposes documentation and transparency duties, the GDPR establishes data-subject rights exercised through notice, consent, access, and record-keeping, and NIS2 mandates written cybersecurity governance. Each is a mechanism by which an actor with enough legal, technical, and regulatory literacy can inspect a system, compare it against a standard, and hold its operator to account. Surveys of the field sort its models as rights-based, market-oriented, centralizing, or state-based, and find none that combines comprehensive regulation with responsiveness (Fratini et al., 2024). The strand governs by making the digital object legible and by attaching consequences to what the legible object shows. A second, industrial strand works through jurisdiction and ownership: sovereign cloud, domestic capacity, data localization, procurement (Roberts et al., 2021). Its own theorists define technology sovereignty as agency within interdependence, a state’s capacity to act rather than autarky (Edler et al., 2023). Critical surveys now read the concept as plural and contested, claimed by states, firms, communities, and movements at once (Couture &amp; Toupin, 2019; Couture et al., 2025; Pohle et al., 2025), and its governance turn as a real shift from market liberalism to public intervention (Heidebrecht, 2024). The regulatory strand is where the continuity with literacy is tightest, and it deserves its full due, because within its object the model works. A data-protection authority can read a record of processing, a court can lay a system’s documentation beside the AI Act’s requirements, and a security auditor can compare a governance document against NIS2. The instrument fits the object because the object is a text.</w:t>
      </w:r>
    </w:p>
    <w:p>
      <w:pPr>
        <w:pStyle w:val="BodyText"/>
      </w:pPr>
      <w:r>
        <w:t xml:space="preserve">Platform coordination is the case where the wager fails, and five features of it block the literate model, each at a different point.</w:t>
      </w:r>
    </w:p>
    <w:p>
      <w:pPr>
        <w:pStyle w:val="BodyText"/>
      </w:pPr>
      <w:r>
        <w:t xml:space="preserve">The first feature, opacity, is that high-dimensional systems produce determinations that resist interpretation even when the code is released. Burrell (2016) distinguishes three opacities: the intentional kind, the kind that follows from technical illiteracy, and the kind intrinsic to the scale and mathematics of machine learning. The third survives the release of source code, because the behavior of a model across millions of parameters and cases is not legible the way a statute is, and one can read the code and still not know what the system will do. Ethnographers have qualified the black-box metaphor, showing that algorithms are enacted in practice and partly knowable through their refractions (Christin, 2020). The qualification concerns method, and the coordination-level opacity that matters here, what the system will decide about a given actor next quarter, survives it.</w:t>
      </w:r>
    </w:p>
    <w:p>
      <w:pPr>
        <w:pStyle w:val="BodyText"/>
      </w:pPr>
      <w:r>
        <w:t xml:space="preserve">The second feature, adaptivity, is that a ranking system is retuned continuously. Platforms frequently change their design rules, ranking algorithms among them, to steer participant behavior, and sellers differ sharply in their capacity to adjust (Koo &amp; Eesley, 2021). The criteria of an opaque evaluation system change without notice, and the change is itself part of the control (Rahman, 2021). A disclosure therefore describes a configuration that may not survive the quarter, whereas a statute holds still long enough to be read, compared, and contested. Adaptivity defeats disclosure more decisively than opacity does, because it defeats even a complete disclosure. The Platform-to-Business Regulation requires fifteen days’ notice for changes to terms and conditions (Regulation (EU) 2019/1150, Art. 3), so what changes without notice is the algorithmic configuration beneath the terms, which is where the coordination lives.</w:t>
      </w:r>
    </w:p>
    <w:p>
      <w:pPr>
        <w:pStyle w:val="BodyText"/>
      </w:pPr>
      <w:r>
        <w:t xml:space="preserve">The third feature, reactivity, explains why the platform cannot simply disclose. Any public measure invites the measured to reorganize their conduct around it, which changes what the measure captures and gives the measurer a standing reason to obscure it (Espeland &amp; Sauder, 2007). Platforms accordingly face a dilemma of their own making: transparency invites gaming, and opacity produces the arbitrary power the invisible-cage studies document. The dilemma is real, and it rescues nothing in the literate model, because it explains why even a mediator with nothing to hide will resist the model’s instrument.</w:t>
      </w:r>
    </w:p>
    <w:p>
      <w:pPr>
        <w:pStyle w:val="BodyText"/>
      </w:pPr>
      <w:r>
        <w:t xml:space="preserve">The fourth feature, standing, is that reading without a channel to act produces no accountability. The transparency ideal fails when no institution can act on what it sees (Ananny &amp; Crawford, 2018), and information disclosure does not by itself produce answerability, nor answerability sanctions (Fox, 2007). Contestation is the neglected half of algorithmic accountability: a right to see means little without an obligation on the decision-maker to hear and decide on the merits (Kaminski &amp; Urban, 2021). Platforms discredit the inferential knowledge participants build about them, dismissing user findings about suppression as folklore, so competence without standing loses even its claim to know (Cotter, 2023). A disclosure that no party has standing to contest is a fact without consequence.</w:t>
      </w:r>
    </w:p>
    <w:p>
      <w:pPr>
        <w:pStyle w:val="BodyText"/>
      </w:pPr>
      <w:r>
        <w:t xml:space="preserve">The fifth feature, leverage, is that the actors who most need to contest the system have none. Platform-dependent entrepreneurs operate under power asymmetries that diversification relieves only partly, because platforms in many sectors are quasi-monopolies that leave few alternatives and actively obstruct multihoming (Cutolo &amp; Kenney, 2021; Fitz &amp; Scheeg, 2025). Workers under opaque algorithmic evaluation inhabit an invisible cage, reacting to a system whose rules they cannot see, and the reaction is itself a form of control (Rahman, 2021). The flexibility such platforms advertise is real and operates inside that control (Wood et al., 2019), so a worker chooses her hours and cannot see what her choices are measured against (Rahman, 2021).</w:t>
      </w:r>
    </w:p>
    <w:p>
      <w:pPr>
        <w:pStyle w:val="BodyText"/>
      </w:pPr>
      <w:r>
        <w:t xml:space="preserve">Disclosure is nonetheless the modality the instruments reach for, and the record of the literate instruments on this layer is now measurable. The Platform-to-Business Regulation obliges platforms to disclose the main parameters of ranking, requires internal complaint-handling, and gives representative organizations standing to bring proceedings (Regulation (EU) 2019/1150, Arts. 5, 11, 14). The Commission’s own first review found that only about a third of intermediation services listed ranking parameters at all, that disclosures were vague where they existed, and that the mediation channel was virtually unused (European Commission, 2023). The Digital Services Act adds recommender transparency and researcher access (Regulation (EU) 2022/2065, Arts. 27, 40), and the Digital Markets Act constrains gatekeeper conduct (Regulation (EU) 2022/1925). Article 22 of the GDPR belongs to a different family, since it gives a natural person subject to a solely automated decision the right to obtain human intervention and to contest the outcome (Regulation (EU) 2016/679, Art. 22). That is case-level standing already in hard law. Its threshold is contested rather than settled, because the Court of Justice has read a credit score as itself a decision and widened the explanation the decision-maker owes (Case C-634/21; Case C-203/22). Its enforcement record is thin, and its protection stops at the natural person, so the platform-dependent firm falls outside it. For some practices, notably opaque personalized wage-setting, one line of scholarship concludes that no disclosure regime suffices and only prohibition works (Dubal, 2023). The mode of law that operates through written rules cannot readily govern the modes that operate through code and data (Hildebrandt, 2015). Platforms treat their algorithmic logics as zones of exclusivity,</w:t>
      </w:r>
      <w:r>
        <w:t xml:space="preserve"> </w:t>
      </w:r>
      <w:r>
        <w:t xml:space="preserve">“extracting transparency from users but shielding basic operational knowledge”</w:t>
      </w:r>
      <w:r>
        <w:t xml:space="preserve"> </w:t>
      </w:r>
      <w:r>
        <w:t xml:space="preserve">(Cohen, 2017, p. 154), and deploy opacity in litigation to defeat the identification of affected classes (Cohen, 2017, p. 182). Whatever legibility the instruments accomplish, the residue is constant: the coordinated actor can increasingly see, and still cannot act (Pasquale, 2023).</w:t>
      </w:r>
    </w:p>
    <w:p>
      <w:pPr>
        <w:pStyle w:val="BodyText"/>
      </w:pPr>
      <w:r>
        <w:t xml:space="preserve">A firm can satisfy every duty Europe places on it, and those it coordinates still hold no share in the ranking that binds them. The GDPR governs how that firm processes personal data, a duty owed to data subjects (Regulation (EU) 2016/679), so lawful processing is a literate achievement that confers no share in ranking. The AI Act’s documentation and literacy duties attach to the systems the firm deploys (Regulation (EU) 2024/1689), so documentation makes a system legible and gives the ranked party no seat. NIS2 governs the firm’s cybersecurity (Directive (EU) 2022/2555). The Platform-to-Business Regulation gives business users a ranking disclosure and a complaint channel (Regulation (EU) 2019/1150). The Digital Markets Act’s bans on self-preferencing and steering are owed to the Commission and enforced by it, so neither the user nor the complementor holds a right in them (Crémer et al., 2023; Regulation (EU) 2022/1925). Article 22 of the GDPR confers case-level standing on natural persons (Regulation (EU) 2016/679, Art. 22). The determinations remain the firm’s.</w:t>
      </w:r>
    </w:p>
    <w:p>
      <w:pPr>
        <w:pStyle w:val="BodyText"/>
      </w:pPr>
      <w:r>
        <w:t xml:space="preserve">One might object that the instruments are incomplete, and that further disclosure duties will supply the standing the present texts do not confer. The first problem with this objection is that the failure lies in the mode, so further duties of the same kind cannot confer standing, and opacity, adaptivity, and reactivity defeat disclosure even when disclosure is complete. The second problem with this objection is that enforcement to date has altered gatekeeper conduct without conferring standing, since the Apple decision changed steering terms and gave developers no share in the App Store’s governance (European Commission, 2025b). A regime whose rights are held by regulators can discipline the mediator and leave those it coordinates where they stood.</w:t>
      </w:r>
    </w:p>
    <w:p>
      <w:pPr>
        <w:pStyle w:val="BodyText"/>
      </w:pPr>
      <w:r>
        <w:t xml:space="preserve">Disclosure makes an object legible. The coordinated actor needs standing.</w:t>
      </w:r>
    </w:p>
    <w:bookmarkEnd w:id="12"/>
    <w:bookmarkStart w:id="13" w:name="the-coordination"/>
    <w:p>
      <w:pPr>
        <w:pStyle w:val="Heading2"/>
      </w:pPr>
      <w:r>
        <w:t xml:space="preserve">4. The coordination</w:t>
      </w:r>
    </w:p>
    <w:p>
      <w:pPr>
        <w:pStyle w:val="FirstParagraph"/>
      </w:pPr>
      <w:r>
        <w:t xml:space="preserve">Platform coordination binds two parties through a third that reads them both and commits determinations neither controls, and the third party’s interest is the firm’s. Organizational theory long recognized three mechanisms for coordinating economic activity: markets coordinate through price, hierarchies through authority, and networks through trust and reciprocity (Adler, 2001; Powell, 1990; G. F. Thompson, 2003; Williamson, 1975). Platforms have been read as a fourth term: whereas actors in hierarchies command, in markets they contract, and in networks collaborate, on platforms they are co-opted, enrolled into an algorithmic system without delegated authority and without the explicit contracts that mark employment or exchange (Stark &amp; Pais, 2020; Stark &amp; Vanden Broeck, 2024). The reading has company, and the company sharpens it. Accounting scholars find platforms governing through evaluative infrastructures, rankings and ratings that order distributed participants from the center (Kornberger et al., 2017). Organizational sociologists find platforms partially organizing markets, deciding membership, rules, monitoring, and sanctions for exchanges they do not employ (Ahrne &amp; Brunsson, 2011; Kirchner &amp; Schüßler, 2019). Strategy scholars find ecosystems coordinating legally autonomous complementors as meta-organizations (Kretschmer et al., 2022), and a relational school insists platforms mix mutuality, autonomy, and domination at once (Schüßler et al., 2021). Each account names a mechanism, and co-optation names the position of the enrolled. Selznick used the word for two things, and the difference carries the point. His informal co-optation absorbed outside actors into an organization’s leadership and gave them real influence in exchange for their compliance. His formal co-optation did not: it</w:t>
      </w:r>
      <w:r>
        <w:t xml:space="preserve"> </w:t>
      </w:r>
      <w:r>
        <w:t xml:space="preserve">“does not envision the transfer of actual power. The forms of participation are emphasized but action is channeled so as to fulfill the administrative functions while preserving the locus of significant decision in the hands of the initiating group”</w:t>
      </w:r>
      <w:r>
        <w:t xml:space="preserve"> </w:t>
      </w:r>
      <w:r>
        <w:t xml:space="preserve">(Selznick, 1949, p. 14). Platform enrollment is formal co-optation with even the forms of participation removed: the seller has no seat and no ceremony of consultation, only a determination.</w:t>
      </w:r>
    </w:p>
    <w:p>
      <w:pPr>
        <w:pStyle w:val="BodyText"/>
      </w:pPr>
      <w:r>
        <w:t xml:space="preserve">Co-optation on a platform has a structure, and the structure is triadic. A driver coordinates with a rider she will never meet, through a system that reads her behavior and the rider’s at once and commits determinations, about routing, pricing, matching, ranking, and deactivation, that neither of them controls. The rider stands in the same position from the other side, and the system pursues objectives set by a firm that neither of them works for (Kellogg et al., 2020; Stark &amp; Pais, 2020). The platform occupies a triangular geometry in which the customer’s evaluative labor does managerial work on the worker (Curchod et al., 2020; Stark &amp; Pais, 2020). Information systems research has fused the two functions in one construct: algorithmic management is matching joined to control, the same system pairing the worker to a client and scoring how the pairing goes (Möhlmann et al., 2021). The triadic recognition is unevenly distributed across fields. Platform economics has carried it since its founding results, which define two-sidedness by the intermediary’s position between two parties whose interaction it prices (Rochet &amp; Tirole, 2003). Labor republicanism by design reads the relation as two-party, the algorithm being the owner’s instrument (Muldoon &amp; Raekstad, 2023). The communication and literacy traditions inherited the dyad from their objects, a reader and a text, a user and a system.</w:t>
      </w:r>
    </w:p>
    <w:p>
      <w:pPr>
        <w:pStyle w:val="BodyText"/>
      </w:pPr>
      <w:r>
        <w:t xml:space="preserve">The coordination logic is old and so is the topology. Platforms largely run the existing logics in algorithmic form, calibrating market and hierarchy principles task by task (Robinson et al., 2026), with algorithmic reputation supplying the evaluative third logic (Rahman, 2021; Vallas &amp; Schor, 2020). A third party standing between two others who never deal directly has been the broker’s, the dealer’s, and the auctioneer’s position for centuries, and the sociological analysis of the triad is itself a century old (Simmel, 1908/1950). Network sociology built a literature on the profits of that position (Burt, 2004; Obstfeld, 2005). The platform occupies what J. D. Thompson (1967) named a mediating technology, linking parties who would otherwise never transact. What is new is what the conjunction of features does to governance. The mediator is opaque, in that high-dimensional systems produce its determinations, and it is adaptive, reconfigured continuously. The interest it carries is the firm’s: the owner pursues objectives of its own and retunes the system in their pursuit, so the apparatus that coordinates the parties is set by a party with a stake in the outcome. None of the three is new, and together they defeat disclosure and give the mediating position an economics.</w:t>
      </w:r>
    </w:p>
    <w:p>
      <w:pPr>
        <w:pStyle w:val="BodyText"/>
      </w:pPr>
      <w:r>
        <w:t xml:space="preserve">The economics is the economics of interested mediation. The mediating position confers bottleneck power over parties who must pass through it to produce anything at all, a position two-sided market theory formalized (Rochet &amp; Tirole, 2003) and Armstrong (2006) named: where one side single-homes and the other multi-homes, each platform holds a monopoly over access to its own single-homing users and extracts from the side that must reach them. Application stores show the configuration, since four in five consumers hold one phone (Competition and Markets Authority, 2022) and the developers with the widest reach publish on both stores and pay the commission. A faithful mediator, optimizing only for the coordination, would still hold that power, and an interested one reshapes the coordination around its own objectives. Intermediaries have equilibrium incentives to divert search toward matches that pay them more (Hagiu &amp; Jullien, 2011), to bias recommendations toward favored sellers (de Cornière &amp; Taylor, 2019), to distort their own governance of seller competition toward their fee structure (Teh, 2022), and to promote complements selectively as an instrument of ecosystem value capture (Rietveld et al., 2019). Platforms extract rents through algorithmic control over the allocation of attention, and the rents follow from discretion over allocation (O’Reilly et al., 2024). Opacity preserves the rent: a platform can profit from disclosing only partial information, because full information reduces the value of the platform’s protection and strengthens the disintermediation incentive (Sekar &amp; Siddiq, 2026). One concession belongs here. Formal analysis shows that an interested mediator’s self-preferencing can raise welfare, since the platform’s own offerings discipline third-party prices, and that biased intermediation harms consumers only under identifiable conditions (de Cornière &amp; Taylor, 2019; Hagiu et al., 2022). Even granting the efficiency cases, the coordinated actor’s problem is unchanged. A disclosed objective it has no standing to contest is still an objective imposed on it, and a welfare-improving bias is still a bias it neither set nor can answer.</w:t>
      </w:r>
    </w:p>
    <w:bookmarkEnd w:id="13"/>
    <w:bookmarkStart w:id="14" w:name="the-device-and-the-principles"/>
    <w:p>
      <w:pPr>
        <w:pStyle w:val="Heading2"/>
      </w:pPr>
      <w:r>
        <w:t xml:space="preserve">5. The device and the principles</w:t>
      </w:r>
    </w:p>
    <w:p>
      <w:pPr>
        <w:pStyle w:val="FirstParagraph"/>
      </w:pPr>
      <w:r>
        <w:t xml:space="preserve">Restore the direct tie between the two parties a mediator stands between, the tie strict mediation forbids, and recompute whether the mediator still binds. Everything institutional turns on what the counterfactual returns.</w:t>
      </w:r>
    </w:p>
    <w:p>
      <w:pPr>
        <w:pStyle w:val="BodyText"/>
      </w:pPr>
      <w:r>
        <w:t xml:space="preserve">Two operations belong to the device, and they can disagree. The first, factoring, asks whether the coordination is triadic as it stands: whether the three parties really act as one system, or only look connected. In some arrangements the mediator is a conduit, relaying between two parties who stay separate, and an actor governs by reading the interface and the terms. In others the mediator binds the two parties into a joint outcome that neither could produce alone and that no clean split of the arrangement reproduces. Call that second kind constitutive. The second operation, the bypass, asks whether the coordination would stay triadic if an external constraint were lifted. A marketplace gate that today carries every buyer-seller match is irreducible as the system is currently wired, and it still dissolves the moment a rule forbidding direct contact is repealed. Reading irreducibility as necessity is how a contingent gate passes for an unavoidable one.</w:t>
      </w:r>
    </w:p>
    <w:p>
      <w:pPr>
        <w:pStyle w:val="BodyText"/>
      </w:pPr>
      <w:r>
        <w:t xml:space="preserve">The bypass sorts mediators into four kinds. A mediator that keeps its grip when the tie opens is necessary: its position rests on integrating work that the direct tie cannot reproduce. A clearinghouse that becomes buyer to every seller and seller to every buyer does what two parties dealing directly could not do for themselves (Berndsen, 2021), so handing the parties a direct line dislodges nothing. An interpreter between parties who share no language holds the same position. A mediator that loses its grip is contingent: its position rested on the absence of the direct tie, an absence usually held in place by an external constraint. The franchised car dealer is the type case, since it relays a vehicle from manufacturer to buyer and occupies the coordination because United States state franchise laws forbid the manufacturer from selling directly. Repealing those laws dissolves the position and leaves whatever service and inventory work survives on its own merits (Crane, 2016; Lafontaine &amp; Scott Morton, 2010). A mediator the parties can already work around is reducible, and a mediator that keeps a constitutive role under the open tie while losing some integration is partial, real integrating work alongside a bypassable gate.</w:t>
      </w:r>
    </w:p>
    <w:p>
      <w:pPr>
        <w:pStyle w:val="BodyText"/>
      </w:pPr>
      <w:r>
        <w:t xml:space="preserve">The counterfactual restores the capability of direct dealing, and it restores no prior relationship, because the parties may never have met. The question is whether these two parties could reach each other at comparable cost if no rule, contract, or architecture stood in the way. For a traveler returning to a hotel chain she has used before, the answer is easy, and the aggregation that would have introduced them is contingent for that booking. For a traveler who would never have learned that an independent hotel exists, no direct channel reproduces the introduction, and the same function is necessary. A mediator’s classification therefore depends on which coordination is at issue, so the device sorts functions for a given dependent party rather than platforms once and for all. The actor-side variable has a name in the sociology of platform work, dependence, and the finding there is the same: the worker with outside options and the worker without them face different mediators in the same app (Schor et al., 2020).</w:t>
      </w:r>
    </w:p>
    <w:p>
      <w:pPr>
        <w:pStyle w:val="BodyText"/>
      </w:pPr>
      <w:r>
        <w:t xml:space="preserve">The device has neighbors, and each runs its counterfactual on a different object. Brokerage research asks what a broker gains from standing between disconnected parties (Burt, 2004; Stovel &amp; Shaw, 2012), formalizes when a broker is non-substitutable to the value a coalition creates (Ryall &amp; Sorenson, 2007), and types the roles a broker can occupy (Gould &amp; Fernandez, 1989). The tertius iungens literature asks when the broker’s orientation is to join the parties it stands between (Obstfeld, 2005). Transaction cost economics asks whether a firm should perform a transaction internally or buy it (Williamson, 1975). Competition law’s essential-facilities doctrine asks whether an excluded rival could viably duplicate the facility it seeks (Case C-7/97, paras. 41–46; Graef, 2019), a test the Court of Justice has since narrowed for platforms built to be opened (Case C-233/23). Supply-chain research watches the bridge position decay or transfer when the bridged parties gain direct contact (Li &amp; Choi, 2009), and platform economics models the platform’s own side of the same event as leakage, the off-platform transaction the design must price or prevent (Hagiu &amp; Wright, 2024). Every one of these deletes, substitutes, or watches the mediator at a node, whereas the bypass test leaves the mediator in place and adds a tie at an edge. The difference decides cases. Delete the franchised dealer, and under franchise law no other party may deliver a new vehicle in that territory, so every node test returns a mediator that cannot be removed; restore the manufacturer-to-buyer tie, and the dealer’s position evaporates. European competition law already runs the edge counterfactual on contract terms: under the ancillary-restraints doctrine, a restriction escapes the prohibition on anticompetitive agreements only where</w:t>
      </w:r>
      <w:r>
        <w:t xml:space="preserve"> </w:t>
      </w:r>
      <w:r>
        <w:t xml:space="preserve">“the implementation of the main operation … would be impossible in the absence of the restriction in question”</w:t>
      </w:r>
      <w:r>
        <w:t xml:space="preserve"> </w:t>
      </w:r>
      <w:r>
        <w:t xml:space="preserve">(Case C-264/23, para. 53). The device generalizes that operation from clauses to a mediator’s functions, runs it from the dependent party’s position, and returns a strategy for that party.</w:t>
      </w:r>
    </w:p>
    <w:p>
      <w:pPr>
        <w:pStyle w:val="BodyText"/>
      </w:pPr>
      <w:r>
        <w:t xml:space="preserve">The same divergence appears at the platform level. Consider an application store’s control of in-app payments. Delete the store’s payment rail as a node and ask whether another rail could practicably reach the same users on that device at comparable cost. The installed base, the default checkout, and the cost of teaching users a second rail all answer no, so every node test returns a mediator that cannot be replaced. That result concerns the rail, and it is no verdict on the rule that makes the rail exclusive. Restore the developer-to-user payment edge, through third-party distribution or a link to an external purchase (Regulation (EU) 2022/1925, Arts. 5(4), 6(4)), and the rule’s force disappears, because a prohibition on a direct tie is a constraint and does no integrating work. The rail may still do authorizing and trust work the open edge does not reproduce, which is the split the portfolio principle runs on a payment network: necessary or partial as a rail, contingent as a gate. The United States courts have now drawn the same line from the other side, upholding contempt against the gate while remanding for a cost-based price on the rail (Epic Games, Inc. v. Apple, Inc., 2023, 2025). The Digital Markets Act’s anti-steering obligations are the edge test a regulator runs on a gate.</w:t>
      </w:r>
    </w:p>
    <w:p>
      <w:pPr>
        <w:pStyle w:val="BodyText"/>
      </w:pPr>
      <w:r>
        <w:t xml:space="preserve">Two limits of the device are structural, and both are borne. Observed behavior can diverge from what the counterfactual establishes, because brokered parties who do not perceive the gap between them do not move to close it, so a structurally contingent mediator can look unassailable in any behavioral record (Hahl et al., 2016). Contingency is also a variable the mediator itself manipulates over time. Platforms open early and close late, inducing relation-specific investment on generous terms and flipping the terms once dependence is locked (Bostoen &amp; Petit, 2024). A platform’s own trust-building raises the rate at which parties transact around it once trust is high enough, which gives a mediator a reason to withhold the very integration that would make it necessary (Gu &amp; Zhu, 2021). A natural experiment that closed an off-platform channel cut direct dealing sharply, so the tie is an architectural fact that design can open and close (Gu, 2024). The classification is therefore dated, and the device must be rerun when the rules move.</w:t>
      </w:r>
    </w:p>
    <w:p>
      <w:pPr>
        <w:pStyle w:val="BodyText"/>
      </w:pPr>
      <w:r>
        <w:t xml:space="preserve">The device’s output is a priority rule. Hirschman (1970) gave the alternatives their names: exit, the power to leave, and voice, the power to stay and press for change. Bypassability is the availability of exit, and necessity forecloses it. The rule has two clauses. Where the counterfactual returns a contingent gate, exit-restoring instruments have priority, and deregulation, mandated interoperability, an antitrust remedy, and the breaking of an exclusive each open the bypass. Platform economics reads the same fact through multihoming, since a bottleneck is contestable where an actor can hold more than one platform at once (Armstrong, 2006; Eisenmann et al., 2006). Where the counterfactual returns a necessary function, no exit instrument reaches it, and voice-building instruments stand alone. What holds many actors inside a contingent mediation is involuntary retention: lock-in, multihoming costs, sunk investment. Hirschman’s loyalty kept the voice-prone from leaving and thereby activated voice, whereas retention suppresses exit and activates nothing. The rule’s second clause carries Hirschman’s own warning. Exit does not reliably strengthen voice and can substitute for it, because the quality-sensitive leave first and their departure removes the complaints that would have forced a remedy, so a monopolist can be comforted by the alternative that removes its critics (Hirschman, 1970, ch. 5). The warning has platform evidence. Where exit is feasible it is the dominant response, and platforms solicit neither loyalty nor voice (Charles &amp; Gunderson, 2024), and where a rival platform opens exit, many complementors still do not take it (Loh &amp; Elsas-Nicolle, 2026). Voice is therefore weakest where it is the only remaining instrument, and the priority rule by itself moves nothing.</w:t>
      </w:r>
    </w:p>
    <w:p>
      <w:pPr>
        <w:pStyle w:val="BodyText"/>
      </w:pPr>
      <w:r>
        <w:t xml:space="preserve">The rule’s third clause is the portfolio principle: the device classifies functions, never firms. A payment network authorizes transactions, a determination that depends jointly on the merchant’s request and the issuer’s approval and that neither could produce alone, which is necessary integrating work. The same network long enforced rules against steering the customer toward a cheaper card at the till, a gate whose force came from the cards both parties already held (Ohio v. American Express Co., 2018; Schwartz &amp; Vincent, 2020). A large marketplace fulfills orders through logistics no direct tie reproduces at scale, which is necessary, and it matches demand to supply, real integrating work that buyers bypass for goods they already know, which is partial. It gates which seller a buyer sees through the featured-offer position, a toll sellers pay to pass (European Commission, 2022a; Farronato et al., 2023; Khan, 2017), which is contingent. It resells goods it buys, a conduit a brand able to reach customers directly can route around (Hagiu &amp; Wright, 2015; Zhu &amp; Liu, 2018), which is reducible. One firm, four kinds of mediator at once. A coordinated actor’s dependence is therefore never monolithic, and the actor contests the bypassable function while accepting the integrating one, treating them as separate decisions. Modularity research supplies the criterion for where the two come apart, cut at the thin crossing points where the interface between functions is narrow (Baldwin, 2008; Jacobides et al., 2018). Firms that both make and buy the same input pursue a distinct strategy with its own logic (Parmigiani, 2007), and an actor that fights one function of a platform while depending on another pursues that same strategy. Managers who read platform dependence as a single risk to diversify miss this.</w:t>
      </w:r>
    </w:p>
    <w:bookmarkEnd w:id="14"/>
    <w:bookmarkStart w:id="15" w:name="the-device-at-work"/>
    <w:p>
      <w:pPr>
        <w:pStyle w:val="Heading2"/>
      </w:pPr>
      <w:r>
        <w:t xml:space="preserve">6. The device at work</w:t>
      </w:r>
    </w:p>
    <w:p>
      <w:pPr>
        <w:pStyle w:val="FirstParagraph"/>
      </w:pPr>
      <w:r>
        <w:t xml:space="preserve">Europe ran the counterfactual on its hotels for a decade, and the outcome sorts the two readings of the online travel agency. The agency does two different things for a commission the European Competition Network’s monitoring exercise put at 10% to above 20% of each booking (European Competition Network, 2017). It aggregates demand, putting an independent hotel in front of travelers who would never have found it, a lift once named the billboard effect (C. K. Anderson, 2009, 2011). Later work has not consistently reproduced that lift (Beritelli &amp; Schegg, 2016; Stangl et al., 2016), though recent evidence finds the participation profitable for most segments (O’Connor et al., 2025). The agency also long held rate parity clauses forbidding the hotel to price lower on its own site, the baseline case of a platform most-favored-nation restraint (Boik &amp; Corts, 2016). Run the bypass on each function. Restored for a traveler who already knows the hotel, the capability of direct dealing leaves the parity clause doing nothing: it was held in place by a contract, and it is contingent. Restored for a traveler who would never have learned the hotel exists, no direct channel at comparable cost reproduces the introduction, so demand aggregation survives the bypass and is necessary. The verdict is a split, and it names two different instruments.</w:t>
      </w:r>
    </w:p>
    <w:p>
      <w:pPr>
        <w:pStyle w:val="BodyText"/>
      </w:pPr>
      <w:r>
        <w:t xml:space="preserve">The gate then opened, in documented steps. Booking.com abandoned wide parity clauses across the Union in July 2015 after commitments to the French, Italian, and Swedish authorities, and France, Austria, Italy, and Belgium banned the clauses by statute between 2015 and 2018. In May 2021 the German Federal Court of Justice upheld the Bundeskartellamt’s prohibition of even the narrow clause (Calzada et al., 2022; Opinion of Advocate General Collins, 2024, paras. 4–13; Wang &amp; Wright, 2020). In September 2024 the Court of Justice held that parity clauses, wide and narrow alike, are not ancillary restraints and so fall within the prohibition on anticompetitive agreements (Case C-264/23), four months after the Commission designated Booking.com a gatekeeper under the Digital Markets Act (European Commission, 2024). Whether the 2015 narrowing opened anything at all is itself contested, since a narrow clause joined to a best-price guarantee can reproduce the wide-parity equilibrium (Wals &amp; Schinkel, 2018). The decade of dismantling is the more secure frame, and the 2024 judgment postdates the distribution data that follow.</w:t>
      </w:r>
    </w:p>
    <w:p>
      <w:pPr>
        <w:pStyle w:val="BodyText"/>
      </w:pPr>
      <w:r>
        <w:t xml:space="preserve">The two readings predict different decades. Treat the agency as one substitutable intermediary, and removing the clause that blocked price competition should erode its position, because hotels can undercut it on their own sites and bookings should move direct. Treat it as a portfolio, and only a contingent function was removed, so the necessary function should hold and dependence should not fall. Between 2013 and 2023, the agencies’ share of European hotel overnight stays rose from 19.7% to 29.6% while direct bookings fell from 57.6% to 50.9% (Schegg, 2024). Dependence did not fall as the gate came open. It deepened. The substitutability reading did register something real, since hotels undercut the agencies more often once parity fell and direct channels became relatively cheaper in the affected markets (Ennis et al., 2023; Hunold, Kesler, Laitenberger, &amp; Schlütter, 2018; Mantovani et al., 2021). The price effect and the share effect together are what the portfolio reading predicts: the contingent gate opened and prices moved, the necessary function held and share did not. The mechanism has since been located in the ranking itself. An agency’s search results place a hotel worse when the hotel’s prices elsewhere are lower, so the gate migrated from the contract into the algorithm, out of the reach of contract law and into the layer only voice reaches (Hunold, Kesler, &amp; Laitenberger, 2020). Legal commentary on the post-judgment regime reaches the same conclusion under the Digital Markets Act’s parity ban, since a gatekeeper can reconstruct parity by ranking demotion and price undercutting (Pantazi, 2026). Part of the share increase owes to consolidation among the agencies themselves, whose top group’s share of agency bookings rose from 60% to 71% over the same decade (Schegg, 2024). The sequence is still enough to sort the two readings. A hotel that spent the decade trying to leave mistook the necessary function for the contingent one, and against a necessary function only voice remains.</w:t>
      </w:r>
    </w:p>
    <w:bookmarkEnd w:id="15"/>
    <w:bookmarkStart w:id="16" w:name="institutions"/>
    <w:p>
      <w:pPr>
        <w:pStyle w:val="Heading2"/>
      </w:pPr>
      <w:r>
        <w:t xml:space="preserve">7. Institutions</w:t>
      </w:r>
    </w:p>
    <w:p>
      <w:pPr>
        <w:pStyle w:val="FirstParagraph"/>
      </w:pPr>
      <w:r>
        <w:t xml:space="preserve">No single instrument confers coordinative sovereignty, which is the cumulative standing a stack of institutions confers, and the device places each one. The placements run instrument by instrument, against the two clauses of the priority rule, with the effectiveness record entered where one exists.</w:t>
      </w:r>
    </w:p>
    <w:p>
      <w:pPr>
        <w:pStyle w:val="BodyText"/>
      </w:pPr>
      <w:r>
        <w:t xml:space="preserve">Interoperability and data portability lower the cost of the direct tie, and their effect follows the classification of the function they touch. Against a contingent gate they restore a measure of the old sovereignty of independence. Against a necessary function the same instrument does something else, because a right to interoperate with a facility no one can bypass forces the mediator to grant access on regulated terms rather than letting the actor leave. That is a voice instrument, and competition law has long understood it as one under the essential-facilities logic it applies to infrastructure that cannot be duplicated (Case C-7/97; Graef, 2019). The Digital Markets Act’s access and interoperability obligations carry the logic into platform regulation (Regulation (EU) 2022/1925, Arts. 6, 7). Reviewing the Act’s first years, the European Commission (2026) reports that messaging interoperability has brought new providers into the market, including a European SME. It judges it too early to extend the same obligation to social networking, where an external study showed mixed evidence, greater technical complexity, and limited demand. A regulator sorting functions by whether interoperability bites is running the device under another name.</w:t>
      </w:r>
    </w:p>
    <w:p>
      <w:pPr>
        <w:pStyle w:val="BodyText"/>
      </w:pPr>
      <w:r>
        <w:t xml:space="preserve">Contestability names two different things. In the Digital Markets Act’s own economics, it names a market condition, the restored possibility of entry and challenge (Crémer et al., 2023). In the design literature the same word names a property of a system: a contestable system is open and responsive to dispute throughout its lifecycle, with mechanisms that let affected parties review, correct, or override a decision (Alfrink et al., 2023). Contestability in this account is the design property, and the two senses divide along the priority rule, since market contestability is an exit concept while system contestability is a voice concept.</w:t>
      </w:r>
    </w:p>
    <w:p>
      <w:pPr>
        <w:pStyle w:val="BodyText"/>
      </w:pPr>
      <w:r>
        <w:t xml:space="preserve">Contestability in the design sense builds voice into the algorithmic system itself, and its statutory floor exists. Article 22 of the GDPR gives a natural person subject to a solely automated decision the right to obtain human intervention and to contest the outcome (Regulation (EU) 2016/679, Art. 22). Platform workers’ collectives have already converted it into disclosure orders against dispatch and deactivation systems. The Digital Services Act’s internal complaint-handling and certified out-of-court dispute-settlement bodies institutionalize case-level contestation at statutory scale (Regulation (EU) 2022/2065, Arts. 20–21). The early record measures the distance between channel and standing. First-year data from the certified bodies show roughly half of submissions inadmissible, platforms found unjustified in more than half of reviewed cases, and implementation of outcomes ranging from near-complete at one platform to near-zero at another (Eder et al., 2026). Users who exhaust a platform’s own appeals conclude that the process changes nothing they can name (Vaccaro et al., 2020), and platform-run voice channels harvest task-level input while excluding participants from decisions about terms (Gegenhuber et al., 2021). Case-level contestation is voice at the level of the case, and the record shows why it stops short of a share in how the system is governed in general. A platform-run oversight board is the weaker private analog, a body with some authority to review determinations, bounded by the platform that constitutes it (Douek, 2019; Klonick, 2020).</w:t>
      </w:r>
    </w:p>
    <w:p>
      <w:pPr>
        <w:pStyle w:val="BodyText"/>
      </w:pPr>
      <w:r>
        <w:t xml:space="preserve">Collective bargaining adapts an older institution of voice to the platform, and it has acquired statutory anchors on both sides of the employment line. Under the European platform-work directive, member states must promote collective bargaining in platform work, including measures to facilitate the exercise of rights related to algorithmic management (Directive (EU) 2024/2831, Art. 25). The Commission’s guidelines exempt collective agreements of solo self-employed platform workers from the cartel prohibition (European Commission, 2022b). Through such channels, workers and dependent firms could negotiate over how assignments are made, how deactivation is decided, and how ranking is governed (Johnston &amp; Land-Kazlauskas, 2018). Whether a bargaining unit can form is itself a fact about the mediation, since platform architecture shapes where grievances pool and whether contention can organize at all (Lei, 2021), and platforms have restructured algorithms in ways that fragmented nascent solidarity. The instrument’s general condition comes from the countervailing-power literature: organized counter-coalitions move terms only under identifiable bargaining conditions, and the power does not always pass through to the weaker side (Fumagalli &amp; Motta, 2008; Gaudin, 2018). The condition can be met by design. Australia’s News Media Bargaining Code paired authorized collective negotiation with final-offer arbitration, and the arbitration threat, by its architect’s account, is what evened the bargaining power (Sims, 2022). Voice moves terms where an institution supplies the threat that retention took away.</w:t>
      </w:r>
    </w:p>
    <w:p>
      <w:pPr>
        <w:pStyle w:val="BodyText"/>
      </w:pPr>
      <w:r>
        <w:t xml:space="preserve">Data trusts and data cooperatives pursue standing through collective control of the data the mediation runs on. A bottom-up data trust pools the data rights of many individuals under a fiduciary bound to act in their interest, giving a collective the bargaining power no individual data subject possesses (Delacroix &amp; Lawrence, 2019; Micheli et al., 2020). The deeper rationale is relational, because the injuries and the leverage are collective where the data’s value lies in aggregation (Viljoen, 2021). Worker-side practice has run ahead of the statutes: pooled pay data has been used to reverse-engineer a platform’s wage algorithm and arm organizing with evidence (Calacci &amp; Pentland, 2022). The European Data Governance Act created a registered category of data intermediary (Regulation (EU) 2022/868), and the November 2025 Digital Omnibus proposal would repeal that Act and move the data-intermediation rules into the Data Act (European Commission, 2025a). Doctrinal assessment of the intermediary regime doubts its uptake (Carovano &amp; Finck, 2023). The statutory vehicle is in motion, and the evidence on whether the mechanism delivers standing in practice is not yet in.</w:t>
      </w:r>
    </w:p>
    <w:p>
      <w:pPr>
        <w:pStyle w:val="BodyText"/>
      </w:pPr>
      <w:r>
        <w:t xml:space="preserve">Platform cooperativism proposes the most direct route: change who owns the platform (Scholz, 2016, 2023). Where a cooperative can be built at the required scale, it converts an enrolled subject into a member with a vote. The limits are documented: capital access, network effects favoring incumbents, member-participation deficits, and governance costs (Bunders &amp; De Moor, 2024; Ghirlanda &amp; Kirov, 2024; Mannan &amp; Pek, 2024). The deeper limit is structural, and the cooperative literature’s own republicans concede it: domination can survive a change of owner, and a driver-owned dispatch platform still coordinates its drivers through a system no single driver can bypass (Christiaens, 2025; Muldoon &amp; Raekstad, 2023). Ownership changes who sets a necessary mediator’s rules, and it cannot make the mediator leaveable. The question of standing within a necessary mediation outlives the question of who holds the title, as the right to quit has long outlived the theory that it answers employer authority (E. Anderson, 2017).</w:t>
      </w:r>
    </w:p>
    <w:p>
      <w:pPr>
        <w:pStyle w:val="BodyText"/>
      </w:pPr>
      <w:r>
        <w:t xml:space="preserve">Two doctrinal instruments complete the stack. Abuse-of-dependence regimes in several jurisdictions condition intervention on whether the weaker party has sufficient and reasonable alternatives, a legal cousin of the bypass counterfactual that reaches platforms below any gatekeeper threshold (Velasco, 2026). Recharacterization dissolves the triad instead of governing it. The platform-work directive’s rebuttable presumption of employment, triggered by facts indicating direction and control, moves the worker out of a mediated triad and into a hierarchy, changing the form of the coordination while conferring no standing within it (Directive (EU) 2024/2831, Art. 5). Recharacterization is a genuine rival to coordinative sovereignty within its domain, and its domain is bounded. It reaches workers whom the facts support, and it has nothing to say to the seller, the developer, or the creator, for whom no employment relation waits to be found.</w:t>
      </w:r>
    </w:p>
    <w:p>
      <w:pPr>
        <w:pStyle w:val="BodyText"/>
      </w:pPr>
      <w:r>
        <w:t xml:space="preserve">The table places the instruments, and the classification is this account’s.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Against a contingent mediator</w:t>
            </w:r>
          </w:p>
        </w:tc>
        <w:tc>
          <w:tcPr/>
          <w:p>
            <w:pPr>
              <w:pStyle w:val="Compact"/>
            </w:pPr>
            <w:r>
              <w:t xml:space="preserve">Against a necessary mediator</w:t>
            </w:r>
          </w:p>
        </w:tc>
      </w:tr>
      <w:tr>
        <w:tc>
          <w:tcPr/>
          <w:p>
            <w:pPr>
              <w:pStyle w:val="Compact"/>
            </w:pPr>
            <w:r>
              <w:t xml:space="preserve">Interoperability and portability</w:t>
            </w:r>
          </w:p>
        </w:tc>
        <w:tc>
          <w:tcPr/>
          <w:p>
            <w:pPr>
              <w:pStyle w:val="Compact"/>
            </w:pPr>
            <w:r>
              <w:t xml:space="preserve">restores exit</w:t>
            </w:r>
          </w:p>
        </w:tc>
        <w:tc>
          <w:tcPr/>
          <w:p>
            <w:pPr>
              <w:pStyle w:val="Compact"/>
            </w:pPr>
            <w:r>
              <w:t xml:space="preserve">access on regulated terms, which is voice</w:t>
            </w:r>
          </w:p>
        </w:tc>
      </w:tr>
      <w:tr>
        <w:tc>
          <w:tcPr/>
          <w:p>
            <w:pPr>
              <w:pStyle w:val="Compact"/>
            </w:pPr>
            <w:r>
              <w:t xml:space="preserve">Antitrust and anti-steering remedies</w:t>
            </w:r>
          </w:p>
        </w:tc>
        <w:tc>
          <w:tcPr/>
          <w:p>
            <w:pPr>
              <w:pStyle w:val="Compact"/>
            </w:pPr>
            <w:r>
              <w:t xml:space="preserve">opens the bypass</w:t>
            </w:r>
          </w:p>
        </w:tc>
        <w:tc>
          <w:tcPr/>
          <w:p>
            <w:pPr>
              <w:pStyle w:val="Compact"/>
            </w:pPr>
            <w:r>
              <w:t xml:space="preserve">alters conduct, not dependence</w:t>
            </w:r>
          </w:p>
        </w:tc>
      </w:tr>
      <w:tr>
        <w:tc>
          <w:tcPr/>
          <w:p>
            <w:pPr>
              <w:pStyle w:val="Compact"/>
            </w:pPr>
            <w:r>
              <w:t xml:space="preserve">Abuse-of-dependence doctrines</w:t>
            </w:r>
          </w:p>
        </w:tc>
        <w:tc>
          <w:tcPr/>
          <w:p>
            <w:pPr>
              <w:pStyle w:val="Compact"/>
            </w:pPr>
            <w:r>
              <w:t xml:space="preserve">opens the bypass below the gatekeeper threshold</w:t>
            </w:r>
          </w:p>
        </w:tc>
        <w:tc>
          <w:tcPr/>
          <w:p>
            <w:pPr>
              <w:pStyle w:val="Compact"/>
            </w:pPr>
            <w:r>
              <w:t xml:space="preserve">disciplines terms case by case</w:t>
            </w:r>
          </w:p>
        </w:tc>
      </w:tr>
      <w:tr>
        <w:tc>
          <w:tcPr/>
          <w:p>
            <w:pPr>
              <w:pStyle w:val="Compact"/>
            </w:pPr>
            <w:r>
              <w:t xml:space="preserve">Contestability of individual decisions</w:t>
            </w:r>
          </w:p>
        </w:tc>
        <w:tc>
          <w:tcPr/>
          <w:p>
            <w:pPr>
              <w:pStyle w:val="Compact"/>
            </w:pPr>
            <w:r>
              <w:t xml:space="preserve">thin case-level channel</w:t>
            </w:r>
          </w:p>
        </w:tc>
        <w:tc>
          <w:tcPr/>
          <w:p>
            <w:pPr>
              <w:pStyle w:val="Compact"/>
            </w:pPr>
            <w:r>
              <w:t xml:space="preserve">voice at the level of the case</w:t>
            </w:r>
          </w:p>
        </w:tc>
      </w:tr>
      <w:tr>
        <w:tc>
          <w:tcPr/>
          <w:p>
            <w:pPr>
              <w:pStyle w:val="Compact"/>
            </w:pPr>
            <w:r>
              <w:t xml:space="preserve">Collective bargaining</w:t>
            </w:r>
          </w:p>
        </w:tc>
        <w:tc>
          <w:tcPr/>
          <w:p>
            <w:pPr>
              <w:pStyle w:val="Compact"/>
            </w:pPr>
            <w:r>
              <w:t xml:space="preserve">marginal</w:t>
            </w:r>
          </w:p>
        </w:tc>
        <w:tc>
          <w:tcPr/>
          <w:p>
            <w:pPr>
              <w:pStyle w:val="Compact"/>
            </w:pPr>
            <w:r>
              <w:t xml:space="preserve">voice at the level of the rule, given a credible threat</w:t>
            </w:r>
          </w:p>
        </w:tc>
      </w:tr>
      <w:tr>
        <w:tc>
          <w:tcPr/>
          <w:p>
            <w:pPr>
              <w:pStyle w:val="Compact"/>
            </w:pPr>
            <w:r>
              <w:t xml:space="preserve">Data trusts and data intermediaries</w:t>
            </w:r>
          </w:p>
        </w:tc>
        <w:tc>
          <w:tcPr/>
          <w:p>
            <w:pPr>
              <w:pStyle w:val="Compact"/>
            </w:pPr>
            <w:r>
              <w:t xml:space="preserve">leverage toward exit</w:t>
            </w:r>
          </w:p>
        </w:tc>
        <w:tc>
          <w:tcPr/>
          <w:p>
            <w:pPr>
              <w:pStyle w:val="Compact"/>
            </w:pPr>
            <w:r>
              <w:t xml:space="preserve">leverage toward voice</w:t>
            </w:r>
          </w:p>
        </w:tc>
      </w:tr>
      <w:tr>
        <w:tc>
          <w:tcPr/>
          <w:p>
            <w:pPr>
              <w:pStyle w:val="Compact"/>
            </w:pPr>
            <w:r>
              <w:t xml:space="preserve">Cooperative ownership</w:t>
            </w:r>
          </w:p>
        </w:tc>
        <w:tc>
          <w:tcPr/>
          <w:p>
            <w:pPr>
              <w:pStyle w:val="Compact"/>
            </w:pPr>
            <w:r>
              <w:t xml:space="preserve">may fund an alternative</w:t>
            </w:r>
          </w:p>
        </w:tc>
        <w:tc>
          <w:tcPr/>
          <w:p>
            <w:pPr>
              <w:pStyle w:val="Compact"/>
            </w:pPr>
            <w:r>
              <w:t xml:space="preserve">changes the owner, not the leaveability</w:t>
            </w:r>
          </w:p>
        </w:tc>
      </w:tr>
      <w:tr>
        <w:tc>
          <w:tcPr/>
          <w:p>
            <w:pPr>
              <w:pStyle w:val="Compact"/>
            </w:pPr>
            <w:r>
              <w:t xml:space="preserve">Oversight boards</w:t>
            </w:r>
          </w:p>
        </w:tc>
        <w:tc>
          <w:tcPr/>
          <w:p>
            <w:pPr>
              <w:pStyle w:val="Compact"/>
            </w:pPr>
            <w:r>
              <w:t xml:space="preserve">marginal</w:t>
            </w:r>
          </w:p>
        </w:tc>
        <w:tc>
          <w:tcPr/>
          <w:p>
            <w:pPr>
              <w:pStyle w:val="Compact"/>
            </w:pPr>
            <w:r>
              <w:t xml:space="preserve">voice, bounded by the constituting platform</w:t>
            </w:r>
          </w:p>
        </w:tc>
      </w:tr>
      <w:tr>
        <w:tc>
          <w:tcPr/>
          <w:p>
            <w:pPr>
              <w:pStyle w:val="Compact"/>
            </w:pPr>
            <w:r>
              <w:t xml:space="preserve">Recharacterization (employment presumption)</w:t>
            </w:r>
          </w:p>
        </w:tc>
        <w:tc>
          <w:tcPr/>
          <w:p>
            <w:pPr>
              <w:pStyle w:val="Compact"/>
            </w:pPr>
            <w:r>
              <w:t xml:space="preserve">moot</w:t>
            </w:r>
          </w:p>
        </w:tc>
        <w:tc>
          <w:tcPr/>
          <w:p>
            <w:pPr>
              <w:pStyle w:val="Compact"/>
            </w:pPr>
            <w:r>
              <w:t xml:space="preserve">dissolves the triad for workers; silent for firms</w:t>
            </w:r>
          </w:p>
        </w:tc>
      </w:tr>
    </w:tbl>
    <w:p>
      <w:pPr>
        <w:pStyle w:val="BodyText"/>
      </w:pPr>
      <w:r>
        <w:t xml:space="preserve">The instruments do not all reach the same bearer. Article 22’s contestation runs to natural persons and the platform-work directive’s rights to workers, while the Platform-to-Business Regulation’s complaint-handling and representative standing run to business users (Regulation (EU) 2019/1150, Arts. 11, 14). A dependent firm and a dependent person therefore face different repertoires against the same mediator. Across the whole stack the common measure is the one the definition supplies: how much effective voice the institution confers, and whether that voice amounts to a share in the governance of the arrangement or only protection against its worst conduct. A data trust can supply the collective leverage that makes a bargaining unit’s demands credible, and the data it pools can feed the audits that give contestation its evidence. An interoperability mandate aimed at the contingent functions relieves pressure on the necessary ones by giving the actor somewhere else to go for what can be gotten elsewhere.</w:t>
      </w:r>
    </w:p>
    <w:bookmarkEnd w:id="16"/>
    <w:bookmarkStart w:id="17" w:name="the-two-sovereignties"/>
    <w:p>
      <w:pPr>
        <w:pStyle w:val="Heading2"/>
      </w:pPr>
      <w:r>
        <w:t xml:space="preserve">8. The two sovereignties</w:t>
      </w:r>
    </w:p>
    <w:p>
      <w:pPr>
        <w:pStyle w:val="FirstParagraph"/>
      </w:pPr>
      <w:r>
        <w:t xml:space="preserve">A firm can be high in digital sovereignty and still leave those it coordinates without coordinative sovereignty. The operator can satisfy every literate duty and confer no standing on the people it binds, and the two conditions predict different outcomes. Digital sovereignty is a literacy construct: organizational operationalizations build it from control over data, regulatory oversight, and technical infrastructure (Hartmann et al., 2025; Moschko et al., 2025). Coordinative sovereignty is an algorithmacy construct: it measures standing within the algorithmic coordination that binds an actor. The two vary independently, and each off-diagonal cell of the pairing now has occupants.</w:t>
      </w:r>
    </w:p>
    <w:p>
      <w:pPr>
        <w:pStyle w:val="BodyText"/>
      </w:pPr>
      <w:r>
        <w:t xml:space="preserve">The first cell is high digital sovereignty beside low coordinative sovereignty. An application store or marketplace can own its infrastructure, meet its data-protection and gatekeeper duties, and still confer no share in the ranking and review algorithms on the developers, merchants, and users those algorithms bind (Cutolo &amp; Kenney, 2021; Kenney et al., 2021). Enforcement has reached platform conduct without reaching that layer, and the Apple decision shows the distance. The Commission fined Apple 500 million euros in April 2025 for restricting how developers steer users to offers outside the App Store (European Commission, 2025b), a decision Apple has appealed (Case T-438/25), and in August 2026 the Commission welcomed revised business terms scheduled to take effect that October. Ranking transparency is a separate and earlier obligation, set by the Platform-to-Business Regulation, which also attaches a channel to the disclosure: internal complaint-handling, mediation, and representative standing (Regulation (EU) 2019/1150, Arts. 5, 11, 12, 14). The Commission has proposed to repeal that Regulation in the Digital Omnibus (European Commission, 2025a). Scholarship on ranking transparency observes that near-identical parameter-disclosure duties now sit in the Platform-to-Business Regulation, the consumer acquis, and the Digital Services Act, and proposes merging them (Nolteernsting, 2025). What repeal would remove is narrower and real: the only version of the duty framed for business users, the only one reaching online search engines and services below the Digital Services Act’s thresholds, and the only one carrying the complaint channel. The Digital Services Act’s recommender transparency runs to a platform’s recipients and replaces none of that (Regulation (EU) 2022/2065, Art. 27). The Commission thus proposes to withdraw an instrument that built a little standing for business users, and nothing else governs the layer it reached.</w:t>
      </w:r>
    </w:p>
    <w:p>
      <w:pPr>
        <w:pStyle w:val="BodyText"/>
      </w:pPr>
      <w:r>
        <w:t xml:space="preserve">The second cell is arriving from the other side: the platform worker owns none of the infrastructure while member states write the worker into standing. Under the platform-work directive, member states must, by 2 December 2026, provide information rights over automated systems, human review of consequential automated decisions, and limits on the data a platform may process (Directive (EU) 2024/2831). No member state had fully transposed the directive as of August 2026, so the standing it describes is a legislative commitment whose force waits on transposition. Article 25 obliges member states to promote collective bargaining in platform work, tying collective voice directly to standing over algorithmic coordination. Member states are building that standing while the workers’ control of infrastructure stays at zero.</w:t>
      </w:r>
    </w:p>
    <w:p>
      <w:pPr>
        <w:pStyle w:val="BodyText"/>
      </w:pPr>
      <w:r>
        <w:t xml:space="preserve">For managers, the device is a decision procedure, and the exposure it addresses falls hardest on small and medium-sized enterprises that depend on platforms they lack the scale to influence (Kenney et al., 2021; Regulation (EU) 2019/1150, Recital 2). Those firms are the coordinated actors, and a store or marketplace that invests in regulatory compliance secures a digital position while conferring no standing over the algorithmic determinations that set those firms’ market outcomes. Where a coordinated actor depends on a contingent mediator, the move is toward exit: support interoperability, build or back an alternative, break the lock-in. Where it depends on a necessary function, exit is closed and the move is toward voice: organize with other dependent firms, pool data, demand contestable systems, seek a standing channel of governance. Treating a necessary mediator as contingent wastes effort on an exit that cannot be had, and Europe’s hotels show what that waste looks like at sector scale. Treating a contingent one as necessary concedes a bypass that could be opened. If algorithmacy enables coordinative sovereignty and can be built, then a coordinated actor’s standing within its platform dependencies is a capability problem. Those capacities can be trained, budgeted, and audited the way compliance now is. None of them will show on a compliance audit of the operator.</w:t>
      </w:r>
    </w:p>
    <w:p>
      <w:pPr>
        <w:pStyle w:val="BodyText"/>
      </w:pPr>
      <w:r>
        <w:t xml:space="preserve">The pairing also reframes the standoff between openness and control that runs through the digital-sovereignty debate. That debate stages a choice: openness invites dependence on foreign platforms, control invites fragmentation. For the coordinated actor the relevant question is whether it has standing within the system, and standing tracks neither pole. A closed national platform in which users have no voice reproduces the co-optation it was meant to escape. WeChat is woven into Chinese public administration to the point of hosting police modules (Bernot, 2025), an arrangement in which nothing confers standing on the user. Russia’s sovereign internet regime has the same shape at the network layer (Sivetc, 2021; Stadnik, 2021). An open or federated platform can run the other way. CoopCycle’s member cooperatives govern their shared software federally and set pay and dispatch rules locally (Fortuny-Sicart et al., 2024; van Doorn &amp; Badger, 2020). Federated social networks give users exit to another instance and the possibility of voice in local governance (Gehl &amp; Zulli, 2023). Structure enables voice without ensuring it, and the New York Drivers Cooperative combines formal member governance with disputes over whether that governance delivered what it promised (Tortorici, 2026), a qualification and no counterexample. Openness and control are properties of the infrastructure, whereas coordinative sovereignty is a property of the coordinated actor’s relation to it.</w:t>
      </w:r>
    </w:p>
    <w:bookmarkEnd w:id="17"/>
    <w:bookmarkStart w:id="18" w:name="the-competence-and-its-diffusion"/>
    <w:p>
      <w:pPr>
        <w:pStyle w:val="Heading2"/>
      </w:pPr>
      <w:r>
        <w:t xml:space="preserve">9. The competence and its diffusion</w:t>
      </w:r>
    </w:p>
    <w:p>
      <w:pPr>
        <w:pStyle w:val="FirstParagraph"/>
      </w:pPr>
      <w:r>
        <w:t xml:space="preserve">Exercising the standing requires a competence, and the competence is unevenly held. The companion paper names it algorithmacy: the competence through which an actor coordinates with another party through an algorithmic third party that reads both of them and commits determinations neither controls (Author, 2026), and it has three parts. The inferential part is the capacity to model the behavior of a system one cannot see, forming and revising a working theory of how it sorts and optimizes from the evidence of its outputs. The translational part is the capacity to render one’s own conduct into the terms the system reads, and to read the system’s determinations back into consequences for oneself and one’s counterpart. The temporal part is the capacity to hold a strategy together across a system whose rules shift without notice.</w:t>
      </w:r>
    </w:p>
    <w:p>
      <w:pPr>
        <w:pStyle w:val="BodyText"/>
      </w:pPr>
      <w:r>
        <w:t xml:space="preserve">Users build imaginaries of the algorithm that shape conduct whether or not the imaginary is accurate (Bucher, 2017), and folk theories of curation were documented as soon as researchers looked for them (Eslami et al., 2016). Algorithmic literacy has a definition, a research agenda, and validated scales measuring awareness of algorithm use and knowledge of how algorithms work (DeVito, 2021; Dogruel et al., 2022; Oeldorf-Hirsch &amp; Neubaum, 2025). Gig researchers introduced algorithmic competencies for how workers understand and appropriate the systems that manage them (Jarrahi &amp; Sutherland, 2019), and described gig literacies among freelancers and their corresponding clients (Sutherland et al., 2020). Others found workers building and revising informal theories of the algorithm (Möhlmann et al., 2023) and pacifying it in advance through anticipatory compliance (Bucher et al., 2021). Critical-literacy scholarship adds the reflexive capacity to identify how one’s data are used and to act on it (Pangrazio &amp; Selwyn, 2019; Sander, 2020). DeVito’s account of adaptive folk theorization already holds an integrated, revisable competence together across platforms that keep changing (DeVito, 2021). What none of these accounts indexes is the triad, since each describes an actor working a system that acts on it. Information systems research supplies the missing structure, a system that simultaneously matches the actor to a counterpart and scores how the match goes (Möhlmann et al., 2021), and algorithmacy is the competence indexed to that structure. The novelty claimed against the literacy constructs is that index and nothing larger, a narrowing consistent with the field’s own call for domain-specific constructs in place of one general capacity (Gagrčin et al., 2026).</w:t>
      </w:r>
    </w:p>
    <w:p>
      <w:pPr>
        <w:pStyle w:val="BodyText"/>
      </w:pPr>
      <w:r>
        <w:t xml:space="preserve">The triadic exercise of the competence is observable. Sellers on eBay manage buyers in order to manage how the system reads them, contacting buyers directly to head off negative feedback before it is filed. They work inside an</w:t>
      </w:r>
      <w:r>
        <w:t xml:space="preserve"> </w:t>
      </w:r>
      <w:r>
        <w:t xml:space="preserve">“implicit coalition between buyers and the platform owner”</w:t>
      </w:r>
      <w:r>
        <w:t xml:space="preserve"> </w:t>
      </w:r>
      <w:r>
        <w:t xml:space="preserve">that the seller must navigate while depending on both (Curchod et al., 2020, Abstract). Ride-hail workers route their resistance through the customer, because the customer’s rating is the surface the platform reads (Cameron &amp; Rahman, 2022). Sellers of creative goods describe learning the ranking system as learning a language, and their skill at it decides their visibility and sales (Klawitter &amp; Hargittai, 2018). Consider an ordinary week on a ranking platform. A seller’s placement drops, and price, stock, and promotion all check out. Watching which listings fell, she concludes that the fall tracks the items where buyers had opened disputes, including disputes resolved in her favor. Her working theory is that the system reads the existence of a dispute rather than its outcome, and the theory has a documented analogue, since payment networks count all disputes toward a merchant’s rate regardless of who wins them. Whether or not the theory is true, she acts on it. She messages first at the smallest sign of trouble, absorbs returns she could contest, prices the difference in, and repeats the inference in six months when the weighting changes. Nothing she needed was readable, and everything she did was addressed to a counterpart under a system scoring the relationship. The seller who can revise that theory holds a competence the seller who cannot lacks. Folk theories discipline conduct even when they are false (Heiland, 2025), which is why the competence’s inferential part is defined by revision against outcomes and why measurement anchors it behaviorally.</w:t>
      </w:r>
    </w:p>
    <w:p>
      <w:pPr>
        <w:pStyle w:val="BodyText"/>
      </w:pPr>
      <w:r>
        <w:t xml:space="preserve">The competence is unevenly held, and the unevenness has a pattern. Building it costs time, attention, and often paid analysts and tooling, so a market in algorithmic expertise has grown up to sell it. What that market teaches is compliance with platform objectives, opacity translated into advice about how to please the system (Bishop, 2020; MacDonald, 2023). Survey evidence finds algorithmic knowledge varying with socioeconomic advantage among citizens, a gradient measured on search engines and feeds rather than on firms (Cotter &amp; Reisdorf, 2020; Gran et al., 2021). Platforms police the competence’s exercise as illegitimate gaming, and the accusation falls hardest on producers who are not already established (Petre et al., 2019). Inside organizations, those who can interpret an opaque system become brokers over those who cannot (Waardenburg et al., 2022). The actors best placed to model the system are therefore the large ones already advantaged within it, and the claim that firm-scale competence concentrates the same way remains an inference from citizen-level evidence, stated here as such. Coordinative sovereignty, which algorithmacy makes possible, concentrates where algorithmacy is already held.</w:t>
      </w:r>
    </w:p>
    <w:p>
      <w:pPr>
        <w:pStyle w:val="BodyText"/>
      </w:pPr>
      <w:r>
        <w:t xml:space="preserve">Whether the competence can be democratized as literacy was is still open, and two findings discipline any optimism. The first is historical: mass literacy did not spread because it was emancipatory. States compelled it through schooling, and primary-schooling expansions followed episodes of internal unrest, with order the motive (Paglayan, 2022, 2024). Literacy diffused first, and democratic sovereignty followed in time without following from it as a cause, so the literacy myth was always partly myth (Graff, 1991). The nearest analog for algorithmic competence is a market, and the market teaches compliance (Bishop, 2020; MacDonald, 2023). The second finding is economic: much of the competence’s private payoff is positional. Sellers who master a ranking rise past sellers who do not, reputation investment pays the investor while the population’s ranks merely reshuffle, and a design change acts as a skill-biased shock that widens gaps without enlarging the pie (Koo &amp; Eesley, 2021; Li et al., 2020). Competence spent on rank is zero-sum across the coordinated, and competence spent on voice is not. Pooled data that reverse-engineers a wage algorithm, an audit that gives a contestation its evidence, a bargaining unit that negotiates the rule rather than the rank, each converts individual inference into collective standing, and the institutions already placed are the converters (Calacci &amp; Pentland, 2022; Shen et al., 2021). Compulsory analogs exist in early form, since the AI Act obliges providers and deployers to take measures supporting a sufficient level of AI literacy among their staff (Regulation (EU) 2024/1689, Art. 4, as amended by Regulation (EU) 2026/1744). The platform-work directive entitles workers’ representatives to an expert of their choosing, at the platform’s proportionate expense where the platform employs more than 250 workers in the member state (Directive (EU) 2024/2831, Art. 13). Whether coordinative sovereignty becomes general or stays with those who can afford the competence turns on which path drives diffusion, the market that teaches rank or the institutions that teach voice.</w:t>
      </w:r>
    </w:p>
    <w:bookmarkEnd w:id="18"/>
    <w:bookmarkStart w:id="19" w:name="future-research-directions"/>
    <w:p>
      <w:pPr>
        <w:pStyle w:val="Heading2"/>
      </w:pPr>
      <w:r>
        <w:t xml:space="preserve">10. Future research directions</w:t>
      </w:r>
    </w:p>
    <w:p>
      <w:pPr>
        <w:pStyle w:val="FirstParagraph"/>
      </w:pPr>
      <w:r>
        <w:t xml:space="preserve">The constructs are built to be measured, and four directions follow.</w:t>
      </w:r>
    </w:p>
    <w:p>
      <w:pPr>
        <w:pStyle w:val="BodyText"/>
      </w:pPr>
      <w:r>
        <w:t xml:space="preserve">The first is a validated instrument for algorithmacy, whose central difficulty is discriminant validity against constructs that already exist. Algorithm-literacy scales measure awareness and knowledge (Dogruel et al., 2022), adaptive folk theorization covers awareness, strategic use, and revision over time (DeVito, 2021), and a four-dimension algorithmic-competency scale for platform workers now exists, spanning understanding, embracing, leveraging, and remediating algorithmic management (Zhou et al., 2025). An algorithmacy instrument must capture what those do not: competence exercised on a counterpart and a system at once, where the system scores the actor on how the coordination goes. Because self-reported competence invites overconfidence and folk theories can discipline conduct while being wrong (Heiland, 2025), the instrument should anchor to a behavioral criterion. That criterion is the accuracy of an actor’s predictions of how a system will treat a set of moves, scored against the system’s behavior, with revision after error weighted as heavily as initial accuracy.</w:t>
      </w:r>
    </w:p>
    <w:p>
      <w:pPr>
        <w:pStyle w:val="BodyText"/>
      </w:pPr>
      <w:r>
        <w:t xml:space="preserve">The second is a validated instrument for coordinative sovereignty. It must measure freedom from the mediator’s arbitrary power, effective voice over the terms of mediation, and a share in the coordination’s governance, under the condition that defines the construct, a mediation the open tie does not dissolve. Lock-in under a contingent gate is involuntary retention and belongs to the exit column. The nearest validated construct is psychological empowerment (Seibert et al., 2011; Spreitzer, 1995). The task is to show that standing within an unbypassable mediation differs from felt empowerment inside an organization one could leave, and differs again from standing withheld by switching costs alone. Republican theory supplies a usable item in the eyeball test, whether an actor can look the mediator’s agents in the eye and speak plainly without needing to ingratiate (Pettit, 2012, pp. 84–85). Because the construct has an individual and an organizational bearer, the instrument needs a form at each level, and their correspondence is itself a question.</w:t>
      </w:r>
    </w:p>
    <w:p>
      <w:pPr>
        <w:pStyle w:val="BodyText"/>
      </w:pPr>
      <w:r>
        <w:t xml:space="preserve">The third is the two-step design the device affords: classify the mediators an organization depends on, then measure whether the organization’s response fits the classification, exit-seeking against contingent gates and voice-building against necessary functions. A firm’s coordinative sovereignty is then how much standing it holds and whether it holds the right kind, and misallocation becomes a measurable predictor of poor outcomes.</w:t>
      </w:r>
    </w:p>
    <w:p>
      <w:pPr>
        <w:pStyle w:val="BodyText"/>
      </w:pPr>
      <w:r>
        <w:t xml:space="preserve">The fourth is the correspondence between reported and afforded standing, operationalized twice. One operationalization surveys the standing an actor reports, and the other reads it as a structural property of a formal model of the actor’s coordination, developed in the companion paper (Author, 2026). Whether actors who report high coordinative sovereignty are those a model would place as pivotal is a construct-validity test a self-report alone cannot supply.</w:t>
      </w:r>
    </w:p>
    <w:bookmarkEnd w:id="19"/>
    <w:bookmarkStart w:id="20" w:name="conclusion"/>
    <w:p>
      <w:pPr>
        <w:pStyle w:val="Heading2"/>
      </w:pPr>
      <w:r>
        <w:t xml:space="preserve">11. Conclusion</w:t>
      </w:r>
    </w:p>
    <w:p>
      <w:pPr>
        <w:pStyle w:val="FirstParagraph"/>
      </w:pPr>
      <w:r>
        <w:t xml:space="preserve">Sovereignty is the standing to hold power to account through the medium in which power is exercised, and the standing has always required a competence equal to the medium. Oracy held the oral order to account, literacy held the literate state to account, and the digital extension of literacy governs data, infrastructure, and code. Platform coordination introduces a medium the prior competences cannot govern, because it does not present authority as a text to be read, enrolling the coordinated actor instead into a system that interprets it and commits its outcomes. The competence equal to that medium is algorithmacy. Where a mediator still binds after the parties can reach each other, the standing that competence makes effective is coordinative sovereignty, voice within the mediation carried far enough to be a share in how the coordination is governed.</w:t>
      </w:r>
    </w:p>
    <w:p>
      <w:pPr>
        <w:pStyle w:val="BodyText"/>
      </w:pPr>
      <w:r>
        <w:t xml:space="preserve">The line between mediators an actor can leave and mediators it can only govern is checkable. The counterfactual asks what a mediator would still do if the parties it stands between could reach each other directly. Where the mediator is contingent, the older sovereignty of exit still works, and exit-restoring instruments apply. Where the mediator is necessary, only voice remains, resting on non-domination, relational autonomy, involvement, and commons governance, and realized, if at all, through cooperatives, trusts, collective bargaining, contestability, and standing channels of governance. Europe’s hotels spent a decade prying open a gate their dependence did not run through, and came out of it more dependent than they went in.</w:t>
      </w:r>
    </w:p>
    <w:p>
      <w:pPr>
        <w:pStyle w:val="BodyText"/>
      </w:pPr>
      <w:r>
        <w:t xml:space="preserve">Literacy was once the possession of a restricted few, and it became, unevenly and incompletely, a general condition of citizenship. Algorithmacy is now held by a narrow class of those who can model and act within the systems that coordinate the rest, and the market that currently teaches it rewards compliance and pays in rank. Coordinative sovereignty requires the standing of the coordinated to govern the coordinations that govern them, and the diffusion, through institutions that convert competence into voice, of the competence that standing requires. Reading alone does not secure it, and control of the infrastructure alone does not secure it either.</w:t>
      </w:r>
    </w:p>
    <w:bookmarkEnd w:id="20"/>
    <w:bookmarkStart w:id="21" w:name="key-terms-and-definitions"/>
    <w:p>
      <w:pPr>
        <w:pStyle w:val="Heading2"/>
      </w:pPr>
      <w:r>
        <w:t xml:space="preserve">Key Terms and Definitions</w:t>
      </w:r>
    </w:p>
    <w:p>
      <w:pPr>
        <w:pStyle w:val="FirstParagraph"/>
      </w:pPr>
      <w:r>
        <w:rPr>
          <w:b/>
          <w:bCs/>
        </w:rPr>
        <w:t xml:space="preserve">Digital sovereignty:</w:t>
      </w:r>
      <w:r>
        <w:t xml:space="preserve"> </w:t>
      </w:r>
      <w:r>
        <w:t xml:space="preserve">The political concept of digital sovereignty, understood as the capacity of a state, organization, or community to exercise control over its digital infrastructure, data, and technologies, is in its regulatory strand a literacy-based form of governance, attained by reading and holding to account what a digital system discloses, whereas its industrial strand works by jurisdiction and ownership.</w:t>
      </w:r>
    </w:p>
    <w:p>
      <w:pPr>
        <w:pStyle w:val="BodyText"/>
      </w:pPr>
      <w:r>
        <w:rPr>
          <w:b/>
          <w:bCs/>
        </w:rPr>
        <w:t xml:space="preserve">Coordinative sovereignty:</w:t>
      </w:r>
      <w:r>
        <w:t xml:space="preserve"> </w:t>
      </w:r>
      <w:r>
        <w:t xml:space="preserve">The political concept of coordinative sovereignty, understood as the autonomy proper to a necessary mediation, is the standing to shape the terms on which one is mediated, to contest the mediator’s arbitrary power, and to hold a share in the governance of an arrangement the open tie does not dissolve. Its currency is effective voice. It is borne by whatever actor occupies that relation, individual or organizational. Irreducibility as the coordination is currently wired does not by itself establish necessity.</w:t>
      </w:r>
    </w:p>
    <w:p>
      <w:pPr>
        <w:pStyle w:val="BodyText"/>
      </w:pPr>
      <w:r>
        <w:rPr>
          <w:b/>
          <w:bCs/>
        </w:rPr>
        <w:t xml:space="preserve">Algorithmacy:</w:t>
      </w:r>
      <w:r>
        <w:t xml:space="preserve"> </w:t>
      </w:r>
      <w:r>
        <w:t xml:space="preserve">The competence of algorithmacy, understood as the capacity through which an actor coordinates with another party through an algorithmic third party that reads both and commits determinations neither controls, has three parts: inferential (modeling an unseen system), translational (acting in the system’s terms), and temporal (holding a strategy through undisclosed change). The term is coined here; its established neighbors, algorithmic literacy, algorithm literacy, algorithmic competency, and algorithmic competence, each name a dyadic capacity, and what distinguishes algorithmacy is the triadic setting.</w:t>
      </w:r>
    </w:p>
    <w:p>
      <w:pPr>
        <w:pStyle w:val="BodyText"/>
      </w:pPr>
      <w:r>
        <w:rPr>
          <w:b/>
          <w:bCs/>
        </w:rPr>
        <w:t xml:space="preserve">Medium competence:</w:t>
      </w:r>
      <w:r>
        <w:t xml:space="preserve"> </w:t>
      </w:r>
      <w:r>
        <w:t xml:space="preserve">A medium competence, understood as a capacity for working the medium through which authority is exercised and contested, takes three historical forms, oracy, literacy, and algorithmacy, each paired with a form of sovereignty and each restricted before it was common.</w:t>
      </w:r>
    </w:p>
    <w:p>
      <w:pPr>
        <w:pStyle w:val="BodyText"/>
      </w:pPr>
      <w:r>
        <w:rPr>
          <w:b/>
          <w:bCs/>
        </w:rPr>
        <w:t xml:space="preserve">Mediated triad:</w:t>
      </w:r>
      <w:r>
        <w:t xml:space="preserve"> </w:t>
      </w:r>
      <w:r>
        <w:t xml:space="preserve">A mediated triad, understood as a coordination in which two parties are bound together through a third party that interprets both and commits outcomes neither controls, is the structural setting of platform enrollment.</w:t>
      </w:r>
    </w:p>
    <w:p>
      <w:pPr>
        <w:pStyle w:val="BodyText"/>
      </w:pPr>
      <w:r>
        <w:rPr>
          <w:b/>
          <w:bCs/>
        </w:rPr>
        <w:t xml:space="preserve">Co-optation:</w:t>
      </w:r>
      <w:r>
        <w:t xml:space="preserve"> </w:t>
      </w:r>
      <w:r>
        <w:t xml:space="preserve">Co-optation, understood as the enrollment of an actor into a coordination authored by an interested third party, is in its platform form a narrowing of what Selznick called formal co-optation, which preserved the forms of participation while withholding real power; platform enrollment withholds the forms as well.</w:t>
      </w:r>
    </w:p>
    <w:p>
      <w:pPr>
        <w:pStyle w:val="BodyText"/>
      </w:pPr>
      <w:r>
        <w:rPr>
          <w:b/>
          <w:bCs/>
        </w:rPr>
        <w:t xml:space="preserve">Bypass test:</w:t>
      </w:r>
      <w:r>
        <w:t xml:space="preserve"> </w:t>
      </w:r>
      <w:r>
        <w:t xml:space="preserve">The bypass test, understood as the counterfactual that sorts mediators, restores the direct tie between the two parties a mediator stands between, the tie strict mediation forbids, and recomputes whether the mediator still binds. The test operates on a tie, which distinguishes it from tests that ask whether a mediator could be removed or replaced.</w:t>
      </w:r>
    </w:p>
    <w:p>
      <w:pPr>
        <w:pStyle w:val="BodyText"/>
      </w:pPr>
      <w:r>
        <w:rPr>
          <w:b/>
          <w:bCs/>
        </w:rPr>
        <w:t xml:space="preserve">Necessary mediator:</w:t>
      </w:r>
      <w:r>
        <w:t xml:space="preserve"> </w:t>
      </w:r>
      <w:r>
        <w:t xml:space="preserve">A necessary mediator, understood as a mediator that remains constitutive of a coordination even when the direct tie is restored, occupies its position by integrating work the direct tie cannot reproduce. It cannot be exited, so the coordinated actor’s remaining power is voice.</w:t>
      </w:r>
    </w:p>
    <w:p>
      <w:pPr>
        <w:pStyle w:val="BodyText"/>
      </w:pPr>
      <w:r>
        <w:rPr>
          <w:b/>
          <w:bCs/>
        </w:rPr>
        <w:t xml:space="preserve">Contingent mediator:</w:t>
      </w:r>
      <w:r>
        <w:t xml:space="preserve"> </w:t>
      </w:r>
      <w:r>
        <w:t xml:space="preserve">A contingent mediator, understood as a mediator that ceases to bind when the direct tie is restored, occupies its position by that tie’s absence, held in place by an external constraint such as a law or a contract. It can be exited, so the actor’s remaining power includes exit.</w:t>
      </w:r>
    </w:p>
    <w:p>
      <w:pPr>
        <w:pStyle w:val="BodyText"/>
      </w:pPr>
      <w:r>
        <w:rPr>
          <w:b/>
          <w:bCs/>
        </w:rPr>
        <w:t xml:space="preserve">Partial mediator:</w:t>
      </w:r>
      <w:r>
        <w:t xml:space="preserve"> </w:t>
      </w:r>
      <w:r>
        <w:t xml:space="preserve">A partial mediator, understood as a mediator that keeps a constitutive role under the open tie while losing part of its integration, combines real integrating work with a bypassable gate. Exit is available against the bypassable part; only voice remains against the integrating one.</w:t>
      </w:r>
    </w:p>
    <w:p>
      <w:pPr>
        <w:pStyle w:val="BodyText"/>
      </w:pPr>
      <w:r>
        <w:rPr>
          <w:b/>
          <w:bCs/>
        </w:rPr>
        <w:t xml:space="preserve">Reducible mediator:</w:t>
      </w:r>
      <w:r>
        <w:t xml:space="preserve"> </w:t>
      </w:r>
      <w:r>
        <w:t xml:space="preserve">A reducible mediator, understood as a mediator that was never in the coordination’s core, is one the parties can already work around without lifting any constraint.</w:t>
      </w:r>
    </w:p>
    <w:p>
      <w:pPr>
        <w:pStyle w:val="BodyText"/>
      </w:pPr>
      <w:r>
        <w:rPr>
          <w:b/>
          <w:bCs/>
        </w:rPr>
        <w:t xml:space="preserve">Exit and voice:</w:t>
      </w:r>
      <w:r>
        <w:t xml:space="preserve"> </w:t>
      </w:r>
      <w:r>
        <w:t xml:space="preserve">Exit and voice, understood as Hirschman’s two responses to a declining relationship, are leaving it, or staying and pressing for change. Exit is available against a contingent mediator; only voice remains against a necessary one.</w:t>
      </w:r>
    </w:p>
    <w:p>
      <w:pPr>
        <w:pStyle w:val="BodyText"/>
      </w:pPr>
      <w:r>
        <w:rPr>
          <w:b/>
          <w:bCs/>
        </w:rPr>
        <w:t xml:space="preserve">Non-domination:</w:t>
      </w:r>
      <w:r>
        <w:t xml:space="preserve"> </w:t>
      </w:r>
      <w:r>
        <w:t xml:space="preserve">The political concept of non-domination, understood as the republican conception of freedom as the absence of another’s arbitrary power, is a stronger condition than the absence of interference. A coordinated actor is free from domination to the degree that rules constrain the mediator’s power over it in ways the actor can contest.</w:t>
      </w:r>
    </w:p>
    <w:p>
      <w:pPr>
        <w:pStyle w:val="BodyText"/>
      </w:pPr>
      <w:r>
        <w:rPr>
          <w:b/>
          <w:bCs/>
        </w:rPr>
        <w:t xml:space="preserve">Irreducibility:</w:t>
      </w:r>
      <w:r>
        <w:t xml:space="preserve"> </w:t>
      </w:r>
      <w:r>
        <w:t xml:space="preserve">Irreducibility, understood as the property of a coordination that does not factor into separable parts, describes a coordination as it stands: a triadic coordination binds its parties into a joint determination no division into parts recovers, and that fact does not by itself establish that a mediator is necessary.</w:t>
      </w:r>
    </w:p>
    <w:bookmarkEnd w:id="21"/>
    <w:bookmarkStart w:id="22" w:name="references"/>
    <w:p>
      <w:pPr>
        <w:pStyle w:val="Heading2"/>
      </w:pPr>
      <w:r>
        <w:t xml:space="preserve">References</w:t>
      </w:r>
    </w:p>
    <w:p>
      <w:pPr>
        <w:pStyle w:val="FirstParagraph"/>
      </w:pPr>
      <w:r>
        <w:t xml:space="preserve">Acheson, J. M. (2003). Capturing the commons: Devising institutions to manage the Maine lobster industry. University Press of New England.</w:t>
      </w:r>
    </w:p>
    <w:p>
      <w:pPr>
        <w:pStyle w:val="BodyText"/>
      </w:pPr>
      <w:r>
        <w:t xml:space="preserve">Adler, P. S. (2001). Market, hierarchy, and trust: The knowledge economy and the future of capitalism. Organization Science, 12(2), 215–234. https://doi.org/10.1287/orsc.12.2.215.10117</w:t>
      </w:r>
    </w:p>
    <w:p>
      <w:pPr>
        <w:pStyle w:val="BodyText"/>
      </w:pPr>
      <w:r>
        <w:t xml:space="preserve">Ahrne, G., &amp; Brunsson, N. (2011). Organization outside organizations: The significance of partial organization. Organization, 18(1), 83–104. https://doi.org/10.1177/1350508410376256</w:t>
      </w:r>
    </w:p>
    <w:p>
      <w:pPr>
        <w:pStyle w:val="BodyText"/>
      </w:pPr>
      <w:r>
        <w:t xml:space="preserve">Alfrink, K., Keller, I., Kortuem, G., &amp; Doorn, N. (2023). Contestable AI by design: Towards a framework. Minds and Machines, 33(4), 613–639. https://doi.org/10.1007/s11023-022-09611-z</w:t>
      </w:r>
    </w:p>
    <w:p>
      <w:pPr>
        <w:pStyle w:val="BodyText"/>
      </w:pPr>
      <w:r>
        <w:t xml:space="preserve">Ananny, M., &amp; Crawford, K. (2018). Seeing without knowing: Limitations of the transparency ideal and its application to algorithmic accountability. New Media &amp; Society, 20(3), 973–989. https://doi.org/10.1177/1461444816676645</w:t>
      </w:r>
    </w:p>
    <w:p>
      <w:pPr>
        <w:pStyle w:val="BodyText"/>
      </w:pPr>
      <w:r>
        <w:t xml:space="preserve">Anderson, B. (2006). Imagined communities: Reflections on the origin and spread of nationalism (Rev. ed.). Verso. (Original work published 1983)</w:t>
      </w:r>
    </w:p>
    <w:p>
      <w:pPr>
        <w:pStyle w:val="BodyText"/>
      </w:pPr>
      <w:r>
        <w:t xml:space="preserve">Anderson, C. K. (2009). The billboard effect: Online travel agent impact on non-OTA reservation volume (Cornell Hospitality Report, Vol. 9, No. 16). Cornell University Center for Hospitality Research. https://ecommons.cornell.edu/items/c9ddec73-3e3a-443b-97be-9467eebb3bcd</w:t>
      </w:r>
    </w:p>
    <w:p>
      <w:pPr>
        <w:pStyle w:val="BodyText"/>
      </w:pPr>
      <w:r>
        <w:t xml:space="preserve">Anderson, C. K. (2011). Search, OTAs, and online booking: An expanded analysis of the billboard effect (Cornell Hospitality Report, Vol. 11, No. 8). Cornell University Center for Hospitality Research. https://ecommons.cornell.edu/items/9923ee6a-ac32-48d3-a73e-0fbf26c32137</w:t>
      </w:r>
    </w:p>
    <w:p>
      <w:pPr>
        <w:pStyle w:val="BodyText"/>
      </w:pPr>
      <w:r>
        <w:t xml:space="preserve">Anderson, E. (2017). Private government: How employers rule our lives (and why we don’t talk about it). Princeton University Press. https://doi.org/10.1515/9781400887781</w:t>
      </w:r>
    </w:p>
    <w:p>
      <w:pPr>
        <w:pStyle w:val="BodyText"/>
      </w:pPr>
      <w:r>
        <w:t xml:space="preserve">Armstrong, M. (2006). Competition in two-sided markets. RAND Journal of Economics, 37(3), 668–691. https://doi.org/10.1111/j.1756-2171.2006.tb00037.x</w:t>
      </w:r>
    </w:p>
    <w:p>
      <w:pPr>
        <w:pStyle w:val="BodyText"/>
      </w:pPr>
      <w:r>
        <w:t xml:space="preserve">Author. (2026). Details omitted for double-anonymized review.</w:t>
      </w:r>
    </w:p>
    <w:p>
      <w:pPr>
        <w:pStyle w:val="BodyText"/>
      </w:pPr>
      <w:r>
        <w:t xml:space="preserve">Baldwin, C. Y. (2008). Where do transactions come from? Modularity, transactions, and the boundaries of firms. Industrial and Corporate Change, 17(1), 155–195. https://doi.org/10.1093/icc/dtm036</w:t>
      </w:r>
    </w:p>
    <w:p>
      <w:pPr>
        <w:pStyle w:val="BodyText"/>
      </w:pPr>
      <w:r>
        <w:t xml:space="preserve">Beritelli, P., &amp; Schegg, R. (2016). Maximizing online bookings through a multi-channel-strategy: Effects of interdependencies and networks. International Journal of Contemporary Hospitality Management, 28(1), 68–88. https://doi.org/10.1108/IJCHM-07-2014-0326</w:t>
      </w:r>
    </w:p>
    <w:p>
      <w:pPr>
        <w:pStyle w:val="BodyText"/>
      </w:pPr>
      <w:r>
        <w:t xml:space="preserve">Berndsen, R. (2021). Fundamental questions on central counterparties: A review of the literature. Journal of Futures Markets, 41(12), 2009–2022. https://doi.org/10.1002/fut.22260</w:t>
      </w:r>
    </w:p>
    <w:p>
      <w:pPr>
        <w:pStyle w:val="BodyText"/>
      </w:pPr>
      <w:r>
        <w:t xml:space="preserve">Bernot, A. (2025). WeChat-as-a-police service. Policy &amp; Internet, 17(4), Article e70018. https://doi.org/10.1002/poi3.70018</w:t>
      </w:r>
    </w:p>
    <w:p>
      <w:pPr>
        <w:pStyle w:val="BodyText"/>
      </w:pPr>
      <w:r>
        <w:t xml:space="preserve">Bishop, S. (2020). Algorithmic experts: Selling algorithmic lore on YouTube. Social Media + Society, 6(1). https://doi.org/10.1177/2056305119897323</w:t>
      </w:r>
    </w:p>
    <w:p>
      <w:pPr>
        <w:pStyle w:val="BodyText"/>
      </w:pPr>
      <w:r>
        <w:t xml:space="preserve">Bloch, M. (Ed.). (1975). Political language and oratory in traditional society. Academic Press.</w:t>
      </w:r>
    </w:p>
    <w:p>
      <w:pPr>
        <w:pStyle w:val="BodyText"/>
      </w:pPr>
      <w:r>
        <w:t xml:space="preserve">Bodin, J. (1992). On sovereignty: Four chapters from the six books of the commonwealth (J. H. Franklin, Ed. &amp; Trans.). Cambridge University Press. (Original work published 1576)</w:t>
      </w:r>
    </w:p>
    <w:p>
      <w:pPr>
        <w:pStyle w:val="BodyText"/>
      </w:pPr>
      <w:r>
        <w:t xml:space="preserve">Boik, A., &amp; Corts, K. S. (2016). The effects of platform most-favored-nation clauses on competition and entry. Journal of Law and Economics, 59(1), 105–134. https://doi.org/10.1086/686971</w:t>
      </w:r>
    </w:p>
    <w:p>
      <w:pPr>
        <w:pStyle w:val="BodyText"/>
      </w:pPr>
      <w:r>
        <w:t xml:space="preserve">Bostoen, F., &amp; Petit, N. (2024). Antitrust rules and remedies against platforms’ treacherous turns. European Law Journal, 30(4), 629–652. https://doi.org/10.1111/eulj.12533</w:t>
      </w:r>
    </w:p>
    <w:p>
      <w:pPr>
        <w:pStyle w:val="BodyText"/>
      </w:pPr>
      <w:r>
        <w:t xml:space="preserve">Bradford, A. (2023). Digital empires: The global battle to regulate technology. Oxford University Press.</w:t>
      </w:r>
    </w:p>
    <w:p>
      <w:pPr>
        <w:pStyle w:val="BodyText"/>
      </w:pPr>
      <w:r>
        <w:t xml:space="preserve">Bucher, E. L., Schou, P. K., &amp; Waldkirch, M. (2021). Pacifying the algorithm – Anticipatory compliance in the face of algorithmic management in the gig economy. Organization, 28(1), 44–67. https://doi.org/10.1177/1350508420961531</w:t>
      </w:r>
    </w:p>
    <w:p>
      <w:pPr>
        <w:pStyle w:val="BodyText"/>
      </w:pPr>
      <w:r>
        <w:t xml:space="preserve">Bucher, T. (2017). The algorithmic imaginary: Exploring the ordinary affects of Facebook algorithms. Information, Communication &amp; Society, 20(1), 30–44. https://doi.org/10.1080/1369118X.2016.1154086</w:t>
      </w:r>
    </w:p>
    <w:p>
      <w:pPr>
        <w:pStyle w:val="BodyText"/>
      </w:pPr>
      <w:r>
        <w:t xml:space="preserve">Bunders, D. J., &amp; De Moor, T. (2024). Paradoxical tensions as a double-edged sword: Analysing the development of platform cooperatives in the European gig economy. Journal of Management Inquiry, 33(4). https://doi.org/10.1177/10564926231202422</w:t>
      </w:r>
    </w:p>
    <w:p>
      <w:pPr>
        <w:pStyle w:val="BodyText"/>
      </w:pPr>
      <w:r>
        <w:t xml:space="preserve">Burrell, J. (2016). How the machine "thinks": Understanding opacity in machine learning algorithms. Big Data &amp; Society, 3(1). https://doi.org/10.1177/2053951715622512</w:t>
      </w:r>
    </w:p>
    <w:p>
      <w:pPr>
        <w:pStyle w:val="BodyText"/>
      </w:pPr>
      <w:r>
        <w:t xml:space="preserve">Burt, R. S. (2004). Structural holes and good ideas. American Journal of Sociology, 110(2), 349–399. https://doi.org/10.1086/421787</w:t>
      </w:r>
    </w:p>
    <w:p>
      <w:pPr>
        <w:pStyle w:val="BodyText"/>
      </w:pPr>
      <w:r>
        <w:t xml:space="preserve">Calacci, D., &amp; Pentland, A. (2022). Bargaining with the black-box: Designing and deploying worker-centric tools to audit algorithmic management. Proceedings of the ACM on Human-Computer Interaction, 6(CSCW2), Article 428. https://doi.org/10.1145/3570601</w:t>
      </w:r>
    </w:p>
    <w:p>
      <w:pPr>
        <w:pStyle w:val="BodyText"/>
      </w:pPr>
      <w:r>
        <w:t xml:space="preserve">Calzada, J., Manna, E., &amp; Mantovani, A. (2022). Platform price parity clauses and market segmentation. Journal of Economics &amp; Management Strategy, 31(3), 609–637. https://doi.org/10.1111/jems.12467</w:t>
      </w:r>
    </w:p>
    <w:p>
      <w:pPr>
        <w:pStyle w:val="BodyText"/>
      </w:pPr>
      <w:r>
        <w:t xml:space="preserve">Cameron, L. D., &amp; Rahman, H. (2022). Expanding the locus of resistance: Understanding the co-constitution of control and resistance in the gig economy. Organization Science, 33(1), 38–58. https://doi.org/10.1287/orsc.2021.1557</w:t>
      </w:r>
    </w:p>
    <w:p>
      <w:pPr>
        <w:pStyle w:val="BodyText"/>
      </w:pPr>
      <w:r>
        <w:t xml:space="preserve">Carovano, G., &amp; Finck, M. (2023). Regulating data intermediaries: The impact of the Data Governance Act on the EU’s data economy. Computer Law &amp; Security Review, 50, Article 105830. https://doi.org/10.1016/j.clsr.2023.105830</w:t>
      </w:r>
    </w:p>
    <w:p>
      <w:pPr>
        <w:pStyle w:val="BodyText"/>
      </w:pPr>
      <w:r>
        <w:t xml:space="preserve">Charles, S., &amp; Gunderson, R. (2024). Exit, voice, and loyalty in the platform economy. Journal for the Theory of Social Behaviour, 54(4), 476–493. https://doi.org/10.1111/jtsb.12428</w:t>
      </w:r>
    </w:p>
    <w:p>
      <w:pPr>
        <w:pStyle w:val="BodyText"/>
      </w:pPr>
      <w:r>
        <w:t xml:space="preserve">Christiaens, T. (2025). Platform cooperativism and freedom as non-domination in the gig economy. European Journal of Political Theory, 24(2), 176–199. https://doi.org/10.1177/14748851241227121</w:t>
      </w:r>
    </w:p>
    <w:p>
      <w:pPr>
        <w:pStyle w:val="BodyText"/>
      </w:pPr>
      <w:r>
        <w:t xml:space="preserve">Christin, A. (2020). The ethnographer and the algorithm: Beyond the black box. Theory and Society, 49(5), 897–918. https://doi.org/10.1007/s11186-020-09411-3</w:t>
      </w:r>
    </w:p>
    <w:p>
      <w:pPr>
        <w:pStyle w:val="BodyText"/>
      </w:pPr>
      <w:r>
        <w:t xml:space="preserve">Cicerchia, L. (2022). Structural domination in the labor market. European Journal of Political Theory, 21(1), 4–24. https://doi.org/10.1177/1474885119851094</w:t>
      </w:r>
    </w:p>
    <w:p>
      <w:pPr>
        <w:pStyle w:val="BodyText"/>
      </w:pPr>
      <w:r>
        <w:t xml:space="preserve">Clanchy, M. T. (2013). From memory to written record: England 1066–1307 (3rd ed.). Wiley-Blackwell.</w:t>
      </w:r>
    </w:p>
    <w:p>
      <w:pPr>
        <w:pStyle w:val="BodyText"/>
      </w:pPr>
      <w:r>
        <w:t xml:space="preserve">Cohen, J. E. (2017). Law for the platform economy. UC Davis Law Review, 51(1), 133–204. https://lawreview.law.ucdavis.edu/archives/51/1/law-platform-economy</w:t>
      </w:r>
    </w:p>
    <w:p>
      <w:pPr>
        <w:pStyle w:val="BodyText"/>
      </w:pPr>
      <w:r>
        <w:t xml:space="preserve">Competition and Markets Authority. (2022). Mobile ecosystems market study: Final report. https://assets.publishing.service.gov.uk/media/63f61bc0d3bf7f62e8c34a02/Mobile_Ecosystems_Final_Report_amended_2.pdf</w:t>
      </w:r>
    </w:p>
    <w:p>
      <w:pPr>
        <w:pStyle w:val="BodyText"/>
      </w:pPr>
      <w:r>
        <w:t xml:space="preserve">Cotter, K. (2023). "Shadowbanning is not a thing": Black box gaslighting and the power to independently know and credibly critique algorithms. Information, Communication &amp; Society, 26(6), 1226–1243. https://doi.org/10.1080/1369118X.2021.1994624</w:t>
      </w:r>
    </w:p>
    <w:p>
      <w:pPr>
        <w:pStyle w:val="BodyText"/>
      </w:pPr>
      <w:r>
        <w:t xml:space="preserve">Cotter, K., &amp; Reisdorf, B. C. (2020). Algorithmic knowledge gaps: A new horizon of (digital) inequality. International Journal of Communication, 14, 745–765.</w:t>
      </w:r>
    </w:p>
    <w:p>
      <w:pPr>
        <w:pStyle w:val="BodyText"/>
      </w:pPr>
      <w:r>
        <w:t xml:space="preserve">Couture, S., &amp; Toupin, S. (2019). What does the notion of "sovereignty" mean when referring to the digital? New Media &amp; Society, 21(10), 2305–2322. https://doi.org/10.1177/1461444819865984</w:t>
      </w:r>
    </w:p>
    <w:p>
      <w:pPr>
        <w:pStyle w:val="BodyText"/>
      </w:pPr>
      <w:r>
        <w:t xml:space="preserve">Couture, S., Toupin, S., &amp; Mayoral Baños, A. (2025). Resisting and claiming digital sovereignty: The cases of civil society and Indigenous groups. Policy &amp; Internet, 16(4), 739–749. https://doi.org/10.1002/poi3.434</w:t>
      </w:r>
    </w:p>
    <w:p>
      <w:pPr>
        <w:pStyle w:val="BodyText"/>
      </w:pPr>
      <w:r>
        <w:t xml:space="preserve">Crane, D. A. (2016). Tesla, dealer franchise laws, and the politics of crony capitalism. Iowa Law Review, 101(2), 573–607. https://ilr.law.uiowa.edu/sites/ilr.law.uiowa.edu/files/2023-02/ILR-101-2-Crane.pdf</w:t>
      </w:r>
    </w:p>
    <w:p>
      <w:pPr>
        <w:pStyle w:val="BodyText"/>
      </w:pPr>
      <w:r>
        <w:t xml:space="preserve">Crémer, J., Crawford, G. S., Dinielli, D., Fletcher, A., Heidhues, P., Schnitzer, M., &amp; Scott Morton, F. M. (2023). Fairness and contestability in the Digital Markets Act. Yale Journal on Regulation, 40(3), 973–1011.</w:t>
      </w:r>
    </w:p>
    <w:p>
      <w:pPr>
        <w:pStyle w:val="BodyText"/>
      </w:pPr>
      <w:r>
        <w:t xml:space="preserve">Curchod, C., Patriotta, G., Cohen, L., &amp; Neysen, N. (2020). Working for an algorithm: Power asymmetries and agency in online work settings. Administrative Science Quarterly, 65(3), 644–676. https://doi.org/10.1177/0001839219867024</w:t>
      </w:r>
    </w:p>
    <w:p>
      <w:pPr>
        <w:pStyle w:val="BodyText"/>
      </w:pPr>
      <w:r>
        <w:t xml:space="preserve">Cutolo, D., &amp; Kenney, M. (2021). Platform-dependent entrepreneurs: Power asymmetries, risks, and strategies in the platform economy. Academy of Management Perspectives, 35(4), 584–605. https://doi.org/10.5465/amp.2019.0103</w:t>
      </w:r>
    </w:p>
    <w:p>
      <w:pPr>
        <w:pStyle w:val="BodyText"/>
      </w:pPr>
      <w:r>
        <w:t xml:space="preserve">de Cornière, A., &amp; Taylor, G. (2019). A model of biased intermediation. RAND Journal of Economics, 50(4), 854–882. https://doi.org/10.1111/1756-2171.12298</w:t>
      </w:r>
    </w:p>
    <w:p>
      <w:pPr>
        <w:pStyle w:val="BodyText"/>
      </w:pPr>
      <w:r>
        <w:t xml:space="preserve">Delacroix, S., &amp; Lawrence, N. D. (2019). Bottom-up data trusts: Disturbing the "one size fits all" approach to data governance. International Data Privacy Law, 9(4), 236–252. https://doi.org/10.1093/idpl/ipz014</w:t>
      </w:r>
    </w:p>
    <w:p>
      <w:pPr>
        <w:pStyle w:val="BodyText"/>
      </w:pPr>
      <w:r>
        <w:t xml:space="preserve">DeVito, M. A. (2021). Adaptive folk theorization as a path to algorithmic literacy on changing platforms. Proceedings of the ACM on Human-Computer Interaction, 5(CSCW2), Article 339. https://doi.org/10.1145/3476080</w:t>
      </w:r>
    </w:p>
    <w:p>
      <w:pPr>
        <w:pStyle w:val="BodyText"/>
      </w:pPr>
      <w:r>
        <w:t xml:space="preserve">Dogruel, L., Masur, P., &amp; Joeckel, S. (2022). Development and validation of an algorithm literacy scale for internet users. Communication Methods and Measures, 16(2), 115–133. https://doi.org/10.1080/19312458.2021.1968361</w:t>
      </w:r>
    </w:p>
    <w:p>
      <w:pPr>
        <w:pStyle w:val="BodyText"/>
      </w:pPr>
      <w:r>
        <w:t xml:space="preserve">Douek, E. (2019). Facebook’s</w:t>
      </w:r>
      <w:r>
        <w:t xml:space="preserve"> </w:t>
      </w:r>
      <w:r>
        <w:t xml:space="preserve">‘Oversight Board’</w:t>
      </w:r>
      <w:r>
        <w:t xml:space="preserve">: Move fast with stable infrastructure and humility. North Carolina Journal of Law &amp; Technology, 21(1), 1–78. https://scholarship.law.unc.edu/ncjolt/vol21/iss1/2/</w:t>
      </w:r>
    </w:p>
    <w:p>
      <w:pPr>
        <w:pStyle w:val="BodyText"/>
      </w:pPr>
      <w:r>
        <w:t xml:space="preserve">Dubal, V. (2023). On algorithmic wage discrimination. Columbia Law Review, 123(7), 1929–1992.</w:t>
      </w:r>
    </w:p>
    <w:p>
      <w:pPr>
        <w:pStyle w:val="BodyText"/>
      </w:pPr>
      <w:r>
        <w:t xml:space="preserve">Eder, N., Russo, A., Kaarlep, A., Zurdo, L., &amp; Sengupta, T. (2026, June 8). State of play of DSA dispute settlement: Meaningful redress, uneven results. DSA Observatory. https://dsa-observatory.eu/2026/06/08/state-of-play-of-dsa-dispute-settlement-meaningful-redress-uneven-results/</w:t>
      </w:r>
    </w:p>
    <w:p>
      <w:pPr>
        <w:pStyle w:val="BodyText"/>
      </w:pPr>
      <w:r>
        <w:t xml:space="preserve">Edler, J., Blind, K., Kroll, H., &amp; Schubert, T. (2023). Technology sovereignty as an emerging frame for innovation policy: Defining rationales, ends and means. Research Policy, 52(6), Article 104765. https://doi.org/10.1016/j.respol.2023.104765</w:t>
      </w:r>
    </w:p>
    <w:p>
      <w:pPr>
        <w:pStyle w:val="BodyText"/>
      </w:pPr>
      <w:r>
        <w:t xml:space="preserve">Eisenmann, T., Parker, G., &amp; Van Alstyne, M. W. (2006). Strategies for two-sided markets. Harvard Business Review, 84(10), 92–101.</w:t>
      </w:r>
    </w:p>
    <w:p>
      <w:pPr>
        <w:pStyle w:val="BodyText"/>
      </w:pPr>
      <w:r>
        <w:t xml:space="preserve">Eisenstein, E. L. (1979). The printing press as an agent of change: Communications and cultural transformations in early-modern Europe (2 vols.). Cambridge University Press.</w:t>
      </w:r>
    </w:p>
    <w:p>
      <w:pPr>
        <w:pStyle w:val="BodyText"/>
      </w:pPr>
      <w:r>
        <w:t xml:space="preserve">Ennis, S. F., Ivaldi, M., &amp; Lagos, V. (2023). Price-parity clauses for hotel room booking: Empirical evidence from regulatory change. Journal of Law and Economics, 66(2), 309–[end page unconfirmed]. https://chicagounbound.uchicago.edu/jle/vol66/iss2/4</w:t>
      </w:r>
    </w:p>
    <w:p>
      <w:pPr>
        <w:pStyle w:val="BodyText"/>
      </w:pPr>
      <w:r>
        <w:t xml:space="preserve">Eslami, M., Karahalios, K., Sandvig, C., Vaccaro, K., Rickman, A., Hamilton, K., &amp; Kirlik, A. (2016). First I "like" it, then I hide it: Folk theories of social feeds. In Proceedings of the 2016 CHI Conference on Human Factors in Computing Systems (pp. 2371–2382). ACM. https://doi.org/10.1145/2858036.2858494</w:t>
      </w:r>
    </w:p>
    <w:p>
      <w:pPr>
        <w:pStyle w:val="BodyText"/>
      </w:pPr>
      <w:r>
        <w:t xml:space="preserve">Espeland, W. N., &amp; Sauder, M. (2007). Rankings and reactivity: How public measures recreate social worlds. American Journal of Sociology, 113(1), 1–40. https://doi.org/10.1086/517897</w:t>
      </w:r>
    </w:p>
    <w:p>
      <w:pPr>
        <w:pStyle w:val="BodyText"/>
      </w:pPr>
      <w:r>
        <w:t xml:space="preserve">European Commission. (2022). Guidelines on the application of Union competition law to collective agreements regarding the working conditions of solo self-employed persons (2022/C 374/02). Official Journal of the European Union, C 374, 2–13.</w:t>
      </w:r>
    </w:p>
    <w:p>
      <w:pPr>
        <w:pStyle w:val="BodyText"/>
      </w:pPr>
      <w:r>
        <w:t xml:space="preserve">European Commission. (2022, December 20). Antitrust: Commission accepts commitments by Amazon barring it from using marketplace seller data, and ensuring equal access to Buy Box and Prime [Press release IP/22/7777]. https://ec.europa.eu/commission/presscorner/detail/en/ip_22_7777</w:t>
      </w:r>
    </w:p>
    <w:p>
      <w:pPr>
        <w:pStyle w:val="BodyText"/>
      </w:pPr>
      <w:r>
        <w:t xml:space="preserve">European Commission. (2023). Report from the Commission to the European Parliament, the Council, the European Economic and Social Committee and the Committee of the Regions on the first preliminary review on the implementation of Regulation (EU) 2019/1150 on promoting fairness and transparency for business users of online intermediation services (COM(2023) 525 final). https://eur-lex.europa.eu/legal-content/EN/TXT/?uri=CELEX:52023DC0525</w:t>
      </w:r>
    </w:p>
    <w:p>
      <w:pPr>
        <w:pStyle w:val="BodyText"/>
      </w:pPr>
      <w:r>
        <w:t xml:space="preserve">European Commission. (2024, May 13). Commission designates Booking as a gatekeeper and opens a market investigation into X [Press release]. IP/24/2561. https://ec.europa.eu/commission/presscorner/detail/en/ip_24_2561</w:t>
      </w:r>
    </w:p>
    <w:p>
      <w:pPr>
        <w:pStyle w:val="BodyText"/>
      </w:pPr>
      <w:r>
        <w:t xml:space="preserve">European Commission. (2025). Proposal for a regulation of the European Parliament and of the Council amending Regulations (EU) 2016/679, (EU) 2018/1724, (EU) 2018/1725, (EU) 2023/2854 and Directives 2002/58/EC, (EU) 2022/2555 and (EU) 2022/2557 as regards the simplification of the digital legislative framework, and repealing Regulations (EU) 2018/1807, (EU) 2019/1150, (EU) 2022/868, and Directive (EU) 2019/1024 (Digital Omnibus) (COM(2025) 837 final). https://eur-lex.europa.eu/legal-content/EN/TXT/?uri=CELEX:52025PC0837</w:t>
      </w:r>
    </w:p>
    <w:p>
      <w:pPr>
        <w:pStyle w:val="BodyText"/>
      </w:pPr>
      <w:r>
        <w:t xml:space="preserve">European Commission. (2025b). Summary of Commission decision of 23 April 2025 relating to a decision pursuant to Articles 29(1), point (a), 30(1), point (a), and 31(1), point (h), of Regulation (EU) 2022/1925 (Case DMA.100109 – Apple – Online intermediation services – app stores – AppStore – Art. 5(4)) (OJ C/2025/3348, 16 June 2025).</w:t>
      </w:r>
    </w:p>
    <w:p>
      <w:pPr>
        <w:pStyle w:val="BodyText"/>
      </w:pPr>
      <w:r>
        <w:t xml:space="preserve">European Commission. (2026). Report from the Commission to the European Parliament, the Council and the European Economic and Social Committee on the review of Regulation (EU) 2022/1925 of the European Parliament and of the Council on contestable and fair markets in the digital sector and amending Directives (EU) 2019/1937 and (EU) 2020/1828 (Digital Markets Act) (COM(2026) 178 final). https://eur-lex.europa.eu/legal-content/EN/TXT/?uri=CELEX:52026DC0178</w:t>
      </w:r>
    </w:p>
    <w:p>
      <w:pPr>
        <w:pStyle w:val="BodyText"/>
      </w:pPr>
      <w:r>
        <w:t xml:space="preserve">European Competition Network. (2017). Report on the monitoring exercise carried out in the online hotel booking sector by EU competition authorities in 2016. European Commission, DG Competition. https://competition-policy.ec.europa.eu/document/download/c50b5e61-1ea3-47bc-ac4c-57d35f8f77fa_en?filename=hotel_monitoring_report_en.pdf</w:t>
      </w:r>
    </w:p>
    <w:p>
      <w:pPr>
        <w:pStyle w:val="BodyText"/>
      </w:pPr>
      <w:r>
        <w:t xml:space="preserve">Falkner, G., Heidebrecht, S., Obendiek, A. S., &amp; Seidl, T. (2024). Digital sovereignty – Rhetoric and reality. Journal of European Public Policy, 31(8), 2099–2120. https://doi.org/10.1080/13501763.2024.2358984</w:t>
      </w:r>
    </w:p>
    <w:p>
      <w:pPr>
        <w:pStyle w:val="BodyText"/>
      </w:pPr>
      <w:r>
        <w:t xml:space="preserve">Farronato, C., Fradkin, A., &amp; MacKay, A. (2023). Self-preferencing at Amazon: Evidence from search rankings. AEA Papers and Proceedings, 113, 239–243. https://doi.org/10.1257/pandp.20231068</w:t>
      </w:r>
    </w:p>
    <w:p>
      <w:pPr>
        <w:pStyle w:val="BodyText"/>
      </w:pPr>
      <w:r>
        <w:t xml:space="preserve">Finnegan, R. (1988). Literacy and orality: Studies in the technology of communication. Basil Blackwell.</w:t>
      </w:r>
    </w:p>
    <w:p>
      <w:pPr>
        <w:pStyle w:val="BodyText"/>
      </w:pPr>
      <w:r>
        <w:t xml:space="preserve">Fitz, L. R., &amp; Scheeg, J. (2025). Coping practices of small- and medium-sized enterprises facing power asymmetry in digital platform business. Strategic Change. Advance online publication. https://doi.org/10.1002/jsc.2657</w:t>
      </w:r>
    </w:p>
    <w:p>
      <w:pPr>
        <w:pStyle w:val="BodyText"/>
      </w:pPr>
      <w:r>
        <w:t xml:space="preserve">Floridi, L. (2020). The fight for digital sovereignty: What it is, and why it matters, especially for the EU. Philosophy &amp; Technology, 33(3), 369–378. https://doi.org/10.1007/s13347-020-00423-6</w:t>
      </w:r>
    </w:p>
    <w:p>
      <w:pPr>
        <w:pStyle w:val="BodyText"/>
      </w:pPr>
      <w:r>
        <w:t xml:space="preserve">Fortuny-Sicart, A., Pansera, M., &amp; Lloveras, J. (2024). Directing innovation through confrontation and democratisation: The case of platform cooperativism. Journal of Responsible Innovation, 11(1), Article 2414512. https://doi.org/10.1080/23299460.2024.2414512</w:t>
      </w:r>
    </w:p>
    <w:p>
      <w:pPr>
        <w:pStyle w:val="BodyText"/>
      </w:pPr>
      <w:r>
        <w:t xml:space="preserve">Fox, J. (2007). The uncertain relationship between transparency and accountability. Development in Practice, 17(4–5), 663–671. https://doi.org/10.1080/09614520701469955</w:t>
      </w:r>
    </w:p>
    <w:p>
      <w:pPr>
        <w:pStyle w:val="BodyText"/>
      </w:pPr>
      <w:r>
        <w:t xml:space="preserve">Fratini, S., Hine, E., Novelli, C., Roberts, H., &amp; Floridi, L. (2024). Digital sovereignty: A descriptive analysis and a critical evaluation of existing models. Digital Society, 3(3), Article 59. https://doi.org/10.1007/s44206-024-00146-7</w:t>
      </w:r>
    </w:p>
    <w:p>
      <w:pPr>
        <w:pStyle w:val="BodyText"/>
      </w:pPr>
      <w:r>
        <w:t xml:space="preserve">Fumagalli, C., &amp; Motta, M. (2008). Buyer power and quality improvement. Economic Journal, 118(531), 1196–1222.</w:t>
      </w:r>
    </w:p>
    <w:p>
      <w:pPr>
        <w:pStyle w:val="BodyText"/>
      </w:pPr>
      <w:r>
        <w:t xml:space="preserve">Gagrčin, E., Naab, T. K., &amp; Grub, M. F. (2026). Algorithmic media use and algorithm literacy: An integrative literature review. New Media &amp; Society, 28(1), 423–447. https://doi.org/10.1177/14614448241291137</w:t>
      </w:r>
    </w:p>
    <w:p>
      <w:pPr>
        <w:pStyle w:val="BodyText"/>
      </w:pPr>
      <w:r>
        <w:t xml:space="preserve">Gaudin, G. (2018). Vertical bargaining and retail competition: What drives countervailing power? Economic Journal, 128(614), 2380–2413. https://doi.org/10.1111/ecoj.12506</w:t>
      </w:r>
    </w:p>
    <w:p>
      <w:pPr>
        <w:pStyle w:val="BodyText"/>
      </w:pPr>
      <w:r>
        <w:t xml:space="preserve">Gegenhuber, T., Ellmer, M., &amp; Schüßler, E. (2021). Microphones, not megaphones: Functional crowdworker voice regimes on digital work platforms. Human Relations, 74(9), 1473–1503. https://doi.org/10.1177/0018726720915761</w:t>
      </w:r>
    </w:p>
    <w:p>
      <w:pPr>
        <w:pStyle w:val="BodyText"/>
      </w:pPr>
      <w:r>
        <w:t xml:space="preserve">Gehl, R. W., &amp; Zulli, D. (2023). The digital covenant: Non-centralized platform governance on the Mastodon social network. Information, Communication &amp; Society, 26(16), 3275–3291. https://doi.org/10.1080/1369118X.2022.2147400</w:t>
      </w:r>
    </w:p>
    <w:p>
      <w:pPr>
        <w:pStyle w:val="BodyText"/>
      </w:pPr>
      <w:r>
        <w:t xml:space="preserve">Ghirlanda, P., &amp; Kirov, V. (2024). An alternative organizational model for a more democratic and equitable digital economy: A systematic literature review on platform cooperativism through the lens of stakeholder theory. Competitive advantages and challenges. Annals of Public and Cooperative Economics, 95(4), 1197–1221. https://doi.org/10.1111/apce.12478</w:t>
      </w:r>
    </w:p>
    <w:p>
      <w:pPr>
        <w:pStyle w:val="BodyText"/>
      </w:pPr>
      <w:r>
        <w:t xml:space="preserve">Goody, J. (1986). The logic of writing and the organization of society. Cambridge University Press. https://doi.org/10.1017/CBO9780511621598</w:t>
      </w:r>
    </w:p>
    <w:p>
      <w:pPr>
        <w:pStyle w:val="BodyText"/>
      </w:pPr>
      <w:r>
        <w:t xml:space="preserve">Goody, J., &amp; Watt, I. (1963). The consequences of literacy. Comparative Studies in Society and History, 5(3), 304–345. https://doi.org/10.1017/S0010417500001730</w:t>
      </w:r>
    </w:p>
    <w:p>
      <w:pPr>
        <w:pStyle w:val="BodyText"/>
      </w:pPr>
      <w:r>
        <w:t xml:space="preserve">Gould, R. V., &amp; Fernandez, R. M. (1989). Structures of mediation: A formal approach to brokerage in transaction networks. Sociological Methodology, 19, 89–126. https://doi.org/10.2307/270949</w:t>
      </w:r>
    </w:p>
    <w:p>
      <w:pPr>
        <w:pStyle w:val="BodyText"/>
      </w:pPr>
      <w:r>
        <w:t xml:space="preserve">Graef, I. (2019). Rethinking the essential facilities doctrine for the EU digital economy. Revue juridique Thémis de l’Université de Montréal, 53(1), 33–72.</w:t>
      </w:r>
    </w:p>
    <w:p>
      <w:pPr>
        <w:pStyle w:val="BodyText"/>
      </w:pPr>
      <w:r>
        <w:t xml:space="preserve">Graff, H. J. (1991). The literacy myth: Cultural integration and social structure in the nineteenth century. Transaction. (Original work published 1979)</w:t>
      </w:r>
    </w:p>
    <w:p>
      <w:pPr>
        <w:pStyle w:val="BodyText"/>
      </w:pPr>
      <w:r>
        <w:t xml:space="preserve">Gran, A.-B., Booth, P., &amp; Bucher, T. (2021). To be or not to be algorithm aware: A question of a new digital divide? Information, Communication &amp; Society, 24(12), 1779–1796. https://doi.org/10.1080/1369118X.2020.1736124</w:t>
      </w:r>
    </w:p>
    <w:p>
      <w:pPr>
        <w:pStyle w:val="BodyText"/>
      </w:pPr>
      <w:r>
        <w:t xml:space="preserve">Gu, G. Y. (2024). Technology and disintermediation in online marketplaces. Management Science, 70(11), 7868–7891. https://doi.org/10.1287/mnsc.2021.02736</w:t>
      </w:r>
    </w:p>
    <w:p>
      <w:pPr>
        <w:pStyle w:val="BodyText"/>
      </w:pPr>
      <w:r>
        <w:t xml:space="preserve">Gu, G., &amp; Zhu, F. (2021). Trust and disintermediation: Evidence from an online freelance marketplace. Management Science, 67(2), 794–807. https://doi.org/10.1287/mnsc.2020.3583</w:t>
      </w:r>
    </w:p>
    <w:p>
      <w:pPr>
        <w:pStyle w:val="BodyText"/>
      </w:pPr>
      <w:r>
        <w:t xml:space="preserve">Gädeke, D. (2020). Does a mugger dominate? Episodic power and the structural dimension of domination. Journal of Political Philosophy, 28(2), 199–221. https://doi.org/10.1111/jopp.12202</w:t>
      </w:r>
    </w:p>
    <w:p>
      <w:pPr>
        <w:pStyle w:val="BodyText"/>
      </w:pPr>
      <w:r>
        <w:t xml:space="preserve">Habermas, J. (1989). The structural transformation of the public sphere: An inquiry into a category of bourgeois society (T. Burger &amp; F. Lawrence, Trans.). MIT Press. (Original work published 1962)</w:t>
      </w:r>
    </w:p>
    <w:p>
      <w:pPr>
        <w:pStyle w:val="BodyText"/>
      </w:pPr>
      <w:r>
        <w:t xml:space="preserve">Habermas, J. (1996). Between facts and norms: Contributions to a discourse theory of law and democracy (W. Rehg, Trans.). MIT Press.</w:t>
      </w:r>
    </w:p>
    <w:p>
      <w:pPr>
        <w:pStyle w:val="BodyText"/>
      </w:pPr>
      <w:r>
        <w:t xml:space="preserve">Hagiu, A., &amp; Jullien, B. (2011). Why do intermediaries divert search? RAND Journal of Economics, 42(2), 337–362. https://doi.org/10.1111/j.1756-2171.2011.00136.x</w:t>
      </w:r>
    </w:p>
    <w:p>
      <w:pPr>
        <w:pStyle w:val="BodyText"/>
      </w:pPr>
      <w:r>
        <w:t xml:space="preserve">Hagiu, A., &amp; Wright, J. (2015). Marketplace or reseller? Management Science, 61(1), 184–203. https://doi.org/10.1287/mnsc.2014.2042</w:t>
      </w:r>
    </w:p>
    <w:p>
      <w:pPr>
        <w:pStyle w:val="BodyText"/>
      </w:pPr>
      <w:r>
        <w:t xml:space="preserve">Hagiu, A., &amp; Wright, J. (2024). Marketplace leakage. Management Science, 70(3), 1529–1553. https://doi.org/10.1287/mnsc.2023.4757</w:t>
      </w:r>
    </w:p>
    <w:p>
      <w:pPr>
        <w:pStyle w:val="BodyText"/>
      </w:pPr>
      <w:r>
        <w:t xml:space="preserve">Hagiu, A., Teh, T.-H., &amp; Wright, J. (2022). Should platforms be allowed to sell on their own marketplaces? RAND Journal of Economics, 53(2), 297–327. https://doi.org/10.1111/1756-2171.12408</w:t>
      </w:r>
    </w:p>
    <w:p>
      <w:pPr>
        <w:pStyle w:val="BodyText"/>
      </w:pPr>
      <w:r>
        <w:t xml:space="preserve">Hahl, O., Kacperczyk, A., &amp; Davis, J. P. (2016). Knowledge asymmetry and brokerage: Linking network perception to position in structural holes. Strategic Organization, 14(2), 118–143. https://doi.org/10.1177/1476127015624274</w:t>
      </w:r>
    </w:p>
    <w:p>
      <w:pPr>
        <w:pStyle w:val="BodyText"/>
      </w:pPr>
      <w:r>
        <w:t xml:space="preserve">Harris, W. V. (1989). Ancient literacy. Harvard University Press.</w:t>
      </w:r>
    </w:p>
    <w:p>
      <w:pPr>
        <w:pStyle w:val="BodyText"/>
      </w:pPr>
      <w:r>
        <w:t xml:space="preserve">Hartmann, E. A., Shajek, A., &amp; Schmuntzsch, U. (2025). Digital sovereignty of companies and other organizations: An introduction. In U. Schmuntzsch, A. Shajek, &amp; E. A. Hartmann (Eds.), New digital work II: Digital sovereignty of companies and organizations (pp. 1–16). Springer. https://doi.org/10.1007/978-3-031-69994-8_1</w:t>
      </w:r>
    </w:p>
    <w:p>
      <w:pPr>
        <w:pStyle w:val="BodyText"/>
      </w:pPr>
      <w:r>
        <w:t xml:space="preserve">Hasan, R. (2021). Republicanism and structural domination. Pacific Philosophical Quarterly, 102(2), 292–319. https://doi.org/10.1111/papq.12337</w:t>
      </w:r>
    </w:p>
    <w:p>
      <w:pPr>
        <w:pStyle w:val="BodyText"/>
      </w:pPr>
      <w:r>
        <w:t xml:space="preserve">Heidebrecht, S. (2024). From market liberalism to public intervention: Digital sovereignty and changing European Union digital single market governance. JCMS: Journal of Common Market Studies, 62(1), 205–223. https://doi.org/10.1111/jcms.13488</w:t>
      </w:r>
    </w:p>
    <w:p>
      <w:pPr>
        <w:pStyle w:val="BodyText"/>
      </w:pPr>
      <w:r>
        <w:t xml:space="preserve">Heiland, H. (2025). The social construction of algorithms: A reassessment of algorithmic management in food delivery gig work. New Technology, Work and Employment, 40(1), 1–19. https://doi.org/10.1111/ntwe.12282</w:t>
      </w:r>
    </w:p>
    <w:p>
      <w:pPr>
        <w:pStyle w:val="BodyText"/>
      </w:pPr>
      <w:r>
        <w:t xml:space="preserve">Hildebrandt, M. (2015). Smart technologies and the end(s) of law: Novel entanglements of law and technology. Edward Elgar Publishing. https://doi.org/10.4337/9781849808774</w:t>
      </w:r>
    </w:p>
    <w:p>
      <w:pPr>
        <w:pStyle w:val="BodyText"/>
      </w:pPr>
      <w:r>
        <w:t xml:space="preserve">Hirschman, A. O. (1970). Exit, voice, and loyalty: Responses to decline in firms, organizations, and states. Harvard University Press.</w:t>
      </w:r>
    </w:p>
    <w:p>
      <w:pPr>
        <w:pStyle w:val="BodyText"/>
      </w:pPr>
      <w:r>
        <w:t xml:space="preserve">Hummel, P., Braun, M., Tretter, M., &amp; Dabrock, P. (2021). Data sovereignty: A review. Big Data &amp; Society, 8(1). https://doi.org/10.1177/2053951720982012</w:t>
      </w:r>
    </w:p>
    <w:p>
      <w:pPr>
        <w:pStyle w:val="BodyText"/>
      </w:pPr>
      <w:r>
        <w:t xml:space="preserve">Hunold, M., Kesler, R., &amp; Laitenberger, U. (2020). Rankings of online travel agents, channel pricing, and consumer protection. Marketing Science, 39(1), 92–116. https://doi.org/10.1287/mksc.2019.1167</w:t>
      </w:r>
    </w:p>
    <w:p>
      <w:pPr>
        <w:pStyle w:val="BodyText"/>
      </w:pPr>
      <w:r>
        <w:t xml:space="preserve">Hunold, M., Kesler, R., Laitenberger, U., &amp; Schlütter, F. (2018). Evaluation of best price clauses in online hotel bookings. International Journal of Industrial Organization, 61, 542–571. https://doi.org/10.1016/j.ijindorg.2018.03.008</w:t>
      </w:r>
    </w:p>
    <w:p>
      <w:pPr>
        <w:pStyle w:val="BodyText"/>
      </w:pPr>
      <w:r>
        <w:t xml:space="preserve">Innis, H. A. (1951). The bias of communication. University of Toronto Press.</w:t>
      </w:r>
    </w:p>
    <w:p>
      <w:pPr>
        <w:pStyle w:val="BodyText"/>
      </w:pPr>
      <w:r>
        <w:t xml:space="preserve">Jacobides, M. G., Cennamo, C., &amp; Gawer, A. (2018). Towards a theory of ecosystems. Strategic Management Journal, 39(8), 2255–2276. https://doi.org/10.1002/smj.2904</w:t>
      </w:r>
    </w:p>
    <w:p>
      <w:pPr>
        <w:pStyle w:val="BodyText"/>
      </w:pPr>
      <w:r>
        <w:t xml:space="preserve">Jarrahi, M. H., &amp; Sutherland, W. (2019). Algorithmic management and algorithmic competencies: Understanding and appropriating algorithms in gig work. In Information in contemporary society: iConference 2019 (Lecture Notes in Computer Science, Vol. 11420, pp. 578–589). Springer, Cham. https://doi.org/10.1007/978-3-030-15742-5_55</w:t>
      </w:r>
    </w:p>
    <w:p>
      <w:pPr>
        <w:pStyle w:val="BodyText"/>
      </w:pPr>
      <w:r>
        <w:t xml:space="preserve">Johnston, H., &amp; Land-Kazlauskas, C. (2018). Organizing on-demand: Representation, voice, and collective bargaining in the gig economy (Conditions of Work and Employment Series No. 94). International Labour Office.</w:t>
      </w:r>
    </w:p>
    <w:p>
      <w:pPr>
        <w:pStyle w:val="BodyText"/>
      </w:pPr>
      <w:r>
        <w:t xml:space="preserve">Kaminski, M. E., &amp; Urban, J. M. (2021). The right to contest AI. Columbia Law Review, 121(7), 1957–2048. https://columbialawreview.org/content/the-right-to-contest-ai/</w:t>
      </w:r>
    </w:p>
    <w:p>
      <w:pPr>
        <w:pStyle w:val="BodyText"/>
      </w:pPr>
      <w:r>
        <w:t xml:space="preserve">Kellogg, K. C., Valentine, M. A., &amp; Christin, A. (2020). Algorithms at work: The new contested terrain of control. Academy of Management Annals, 14(1), 366–410. https://doi.org/10.5465/annals.2018.0174</w:t>
      </w:r>
    </w:p>
    <w:p>
      <w:pPr>
        <w:pStyle w:val="BodyText"/>
      </w:pPr>
      <w:r>
        <w:t xml:space="preserve">Kenney, M., Bearson, D., &amp; Zysman, J. (2021). The platform economy matures: Measuring pervasiveness and exploring power. Socio-Economic Review, 19(4), 1451–1483. https://doi.org/10.1093/ser/mwab014</w:t>
      </w:r>
    </w:p>
    <w:p>
      <w:pPr>
        <w:pStyle w:val="BodyText"/>
      </w:pPr>
      <w:r>
        <w:t xml:space="preserve">Khan, L. M. (2017). Amazon’s antitrust paradox. Yale Law Journal, 126(3), 710–805. https://www.yalelawjournal.org/note/amazons-antitrust-paradox</w:t>
      </w:r>
    </w:p>
    <w:p>
      <w:pPr>
        <w:pStyle w:val="BodyText"/>
      </w:pPr>
      <w:r>
        <w:t xml:space="preserve">Kirchner, S., &amp; Schüßler, E. (2019). The organization of digital marketplaces: Unmasking the role of Internet platforms in the sharing economy. In G. Ahrne &amp; N. Brunsson (Eds.), Organization outside organizations: The abundance of partial organization in social life (pp. 131–154). Cambridge University Press. https://doi.org/10.1017/9781108604994.006</w:t>
      </w:r>
    </w:p>
    <w:p>
      <w:pPr>
        <w:pStyle w:val="BodyText"/>
      </w:pPr>
      <w:r>
        <w:t xml:space="preserve">Klawitter, E., &amp; Hargittai, E. (2018).</w:t>
      </w:r>
      <w:r>
        <w:t xml:space="preserve"> </w:t>
      </w:r>
      <w:r>
        <w:t xml:space="preserve">“It’s like learning a whole other language”</w:t>
      </w:r>
      <w:r>
        <w:t xml:space="preserve">: The role of algorithmic skills in the curation of creative goods. International Journal of Communication, 12, 3490–3510. https://ijoc.org/index.php/ijoc/article/view/7864</w:t>
      </w:r>
    </w:p>
    <w:p>
      <w:pPr>
        <w:pStyle w:val="BodyText"/>
      </w:pPr>
      <w:r>
        <w:t xml:space="preserve">Klonick, K. (2020). The Facebook Oversight Board: Creating an independent institution to adjudicate online free expression. Yale Law Journal, 129(8), 2418–2499.</w:t>
      </w:r>
    </w:p>
    <w:p>
      <w:pPr>
        <w:pStyle w:val="BodyText"/>
      </w:pPr>
      <w:r>
        <w:t xml:space="preserve">Koo, W. W., &amp; Eesley, C. E. (2021). Platform governance and the rural–urban divide: Sellers’ responses to design change. Strategic Management Journal, 42(5), 941–967. https://doi.org/10.1002/smj.3259</w:t>
      </w:r>
    </w:p>
    <w:p>
      <w:pPr>
        <w:pStyle w:val="BodyText"/>
      </w:pPr>
      <w:r>
        <w:t xml:space="preserve">Kornberger, M., Pflueger, D., &amp; Mouritsen, J. (2017). Evaluative infrastructures: Accounting for platform organization. Accounting, Organizations and Society, 60, 79–95. https://doi.org/10.1016/j.aos.2017.05.002</w:t>
      </w:r>
    </w:p>
    <w:p>
      <w:pPr>
        <w:pStyle w:val="BodyText"/>
      </w:pPr>
      <w:r>
        <w:t xml:space="preserve">Kretschmer, T., Leiponen, A., Schilling, M., &amp; Vasudeva, G. (2022). Platform ecosystems as meta-organizations: Implications for platform strategies. Strategic Management Journal, 43(3), 405–424. https://doi.org/10.1002/smj.3250</w:t>
      </w:r>
    </w:p>
    <w:p>
      <w:pPr>
        <w:pStyle w:val="BodyText"/>
      </w:pPr>
      <w:r>
        <w:t xml:space="preserve">Kude, T., &amp; Huber, T. L. (2025). Responding to platform owner moves: A 14-year qualitative study of four enterprise software complementors. Information Systems Journal, 35(1), 209–246. https://doi.org/10.1111/isj.12527</w:t>
      </w:r>
    </w:p>
    <w:p>
      <w:pPr>
        <w:pStyle w:val="BodyText"/>
      </w:pPr>
      <w:r>
        <w:t xml:space="preserve">Lafontaine, F., &amp; Scott Morton, F. (2010). Markets: State franchise laws, dealer terminations, and the auto crisis. Journal of Economic Perspectives, 24(3), 233–250. https://doi.org/10.1257/jep.24.3.233</w:t>
      </w:r>
    </w:p>
    <w:p>
      <w:pPr>
        <w:pStyle w:val="BodyText"/>
      </w:pPr>
      <w:r>
        <w:t xml:space="preserve">Lazar, S. (2025). Governing the algorithmic city. Philosophy &amp; Public Affairs, 53(2), 102–168. https://doi.org/10.1111/papa.12279</w:t>
      </w:r>
    </w:p>
    <w:p>
      <w:pPr>
        <w:pStyle w:val="BodyText"/>
      </w:pPr>
      <w:r>
        <w:t xml:space="preserve">Leerssen, P. (2023). An end to shadow banning? Transparency rights in the Digital Services Act between content moderation and curation. Computer Law &amp; Security Review, 48, Article 105790. https://doi.org/10.1016/j.clsr.2023.105790</w:t>
      </w:r>
    </w:p>
    <w:p>
      <w:pPr>
        <w:pStyle w:val="BodyText"/>
      </w:pPr>
      <w:r>
        <w:t xml:space="preserve">Lei, Y.-W. (2021). Delivering solidarity: Platform architecture and collective contention in China’s platform economy. American Sociological Review, 86(2), 279–309. https://doi.org/10.1177/0003122420979980</w:t>
      </w:r>
    </w:p>
    <w:p>
      <w:pPr>
        <w:pStyle w:val="BodyText"/>
      </w:pPr>
      <w:r>
        <w:t xml:space="preserve">Li, L., Tadelis, S., &amp; Zhou, X. (2020). Buying reputation as a signal of quality: Evidence from an online marketplace. RAND Journal of Economics, 51(4), 965–988. https://doi.org/10.1111/1756-2171.12346</w:t>
      </w:r>
    </w:p>
    <w:p>
      <w:pPr>
        <w:pStyle w:val="BodyText"/>
      </w:pPr>
      <w:r>
        <w:t xml:space="preserve">Li, M., &amp; Choi, T. Y. (2009). Triads in services outsourcing: Bridge, bridge decay and bridge transfer. Journal of Supply Chain Management, 45(3), 27–39. https://doi.org/10.1111/j.1745-493X.2009.03169.x</w:t>
      </w:r>
    </w:p>
    <w:p>
      <w:pPr>
        <w:pStyle w:val="BodyText"/>
      </w:pPr>
      <w:r>
        <w:t xml:space="preserve">Loh, J., &amp; Elsas-Nicolle, A. (2026). Platform competition and strategic trade-offs for complementors: Heterogeneous reactions to the entry of a new platform. Strategic Management Journal, 47(6), 1671–1729. https://doi.org/10.1002/smj.70062</w:t>
      </w:r>
    </w:p>
    <w:p>
      <w:pPr>
        <w:pStyle w:val="BodyText"/>
      </w:pPr>
      <w:r>
        <w:t xml:space="preserve">MacDonald, T. W. L. (2023). "How it actually works": Algorithmic lore videos as market devices. New Media &amp; Society, 25(6), 1412–1431. https://doi.org/10.1177/14614448211021404</w:t>
      </w:r>
    </w:p>
    <w:p>
      <w:pPr>
        <w:pStyle w:val="BodyText"/>
      </w:pPr>
      <w:r>
        <w:t xml:space="preserve">Mackenzie, C., &amp; Stoljar, N. (Eds.). (2000). Relational autonomy: Feminist perspectives on autonomy, agency, and the social self. Oxford University Press.</w:t>
      </w:r>
    </w:p>
    <w:p>
      <w:pPr>
        <w:pStyle w:val="BodyText"/>
      </w:pPr>
      <w:r>
        <w:t xml:space="preserve">Mannan, M., &amp; Pek, S. (2024). Platform cooperatives and the dilemmas of platform worker-member participation. New Technology, Work and Employment, 39(2), 219–237. https://doi.org/10.1111/ntwe.12273</w:t>
      </w:r>
    </w:p>
    <w:p>
      <w:pPr>
        <w:pStyle w:val="BodyText"/>
      </w:pPr>
      <w:r>
        <w:t xml:space="preserve">Mantovani, A., Piga, C. A., &amp; Reggiani, C. (2021). Online platform price parity clauses: Evidence from the EU Booking.com case. European Economic Review, 131, Article 103625. https://doi.org/10.1016/j.euroecorev.2020.103625</w:t>
      </w:r>
    </w:p>
    <w:p>
      <w:pPr>
        <w:pStyle w:val="BodyText"/>
      </w:pPr>
      <w:r>
        <w:t xml:space="preserve">Markell, P. (2008). The insufficiency of non-domination. Political Theory, 36(1), 9–36. https://doi.org/10.1177/0090591707310084</w:t>
      </w:r>
    </w:p>
    <w:p>
      <w:pPr>
        <w:pStyle w:val="BodyText"/>
      </w:pPr>
      <w:r>
        <w:t xml:space="preserve">Micheli, M., Ponti, M., Craglia, M., &amp; Berti Suman, A. (2020). Emerging models of data governance in the age of datafication. Big Data &amp; Society, 7(2). https://doi.org/10.1177/2053951720948087</w:t>
      </w:r>
    </w:p>
    <w:p>
      <w:pPr>
        <w:pStyle w:val="BodyText"/>
      </w:pPr>
      <w:r>
        <w:t xml:space="preserve">Moschko, L., Blazevic, V., &amp; Piller, F. T. (2025). Managing data sovereignty: An organizational competence for successful open value creation. R&amp;D Management, 55(4), 1124–1137. https://doi.org/10.1111/radm.12740</w:t>
      </w:r>
    </w:p>
    <w:p>
      <w:pPr>
        <w:pStyle w:val="BodyText"/>
      </w:pPr>
      <w:r>
        <w:t xml:space="preserve">Muldoon, J., &amp; Raekstad, P. (2023). Algorithmic domination in the gig economy. European Journal of Political Theory, 22(4), 587–607. https://doi.org/10.1177/14748851221082078</w:t>
      </w:r>
    </w:p>
    <w:p>
      <w:pPr>
        <w:pStyle w:val="BodyText"/>
      </w:pPr>
      <w:r>
        <w:t xml:space="preserve">Möhlmann, M., Alves de Lima Salge, C., &amp; Marabelli, M. (2023). Algorithm sensemaking: How platform workers make sense of algorithmic management. Journal of the Association for Information Systems, 24(1), 35–64. https://doi.org/10.17705/1jais.00774</w:t>
      </w:r>
    </w:p>
    <w:p>
      <w:pPr>
        <w:pStyle w:val="BodyText"/>
      </w:pPr>
      <w:r>
        <w:t xml:space="preserve">Möhlmann, M., Zalmanson, L., Henfridsson, O., &amp; Gregory, R. W. (2021). Algorithmic management of work on online labor platforms: When matching meets control. MIS Quarterly, 45(4), 1999–2022. https://doi.org/10.25300/MISQ/2021/15333</w:t>
      </w:r>
    </w:p>
    <w:p>
      <w:pPr>
        <w:pStyle w:val="BodyText"/>
      </w:pPr>
      <w:r>
        <w:t xml:space="preserve">Nambisan, S., Siegel, D., &amp; Kenney, M. (2018). On open innovation, platforms, and entrepreneurship. Strategic Entrepreneurship Journal, 12(3), 354–368. https://doi.org/10.1002/sej.1300</w:t>
      </w:r>
    </w:p>
    <w:p>
      <w:pPr>
        <w:pStyle w:val="BodyText"/>
      </w:pPr>
      <w:r>
        <w:t xml:space="preserve">Nanni, R., Bizzaro, P. G., &amp; Napolitano, M. (2024). The false promise of individual digital sovereignty in Europe: Comparing artificial intelligence and data regulations in China and the European Union. Policy &amp; Internet, 16(4), 711–726. https://doi.org/10.1002/poi3.424</w:t>
      </w:r>
    </w:p>
    <w:p>
      <w:pPr>
        <w:pStyle w:val="BodyText"/>
      </w:pPr>
      <w:r>
        <w:t xml:space="preserve">Nedelsky, J. (2011). Law’s relations: A relational theory of self, autonomy, and law. Oxford University Press. https://doi.org/10.1093/acprof:oso/9780195147964.001.0001</w:t>
      </w:r>
    </w:p>
    <w:p>
      <w:pPr>
        <w:pStyle w:val="BodyText"/>
      </w:pPr>
      <w:r>
        <w:t xml:space="preserve">Nolteernsting, K. (2025). The European regulatory framework of ranking transparency on platform markets – P2B + P2C = P2U. IIC – International Review of Intellectual Property and Competition Law, 56(7), 1359–1391. https://doi.org/10.1007/s40319-025-01625-1</w:t>
      </w:r>
    </w:p>
    <w:p>
      <w:pPr>
        <w:pStyle w:val="BodyText"/>
      </w:pPr>
      <w:r>
        <w:t xml:space="preserve">Nussbaum, M. C. (2006). Education and democratic citizenship: Capabilities and quality education. Journal of Human Development, 7(3), 385–395. https://doi.org/10.1080/14649880600815974</w:t>
      </w:r>
    </w:p>
    <w:p>
      <w:pPr>
        <w:pStyle w:val="BodyText"/>
      </w:pPr>
      <w:r>
        <w:t xml:space="preserve">O’Connor, P., Assaker, G., &amp; El Haddad, R. (2025). Online travel agency participation: An empirical investigation of its financial contribution to U.S. hotel profitability. Cornell Hospitality Quarterly, 66(4), 527–538. https://doi.org/10.1177/19389655251318185</w:t>
      </w:r>
    </w:p>
    <w:p>
      <w:pPr>
        <w:pStyle w:val="BodyText"/>
      </w:pPr>
      <w:r>
        <w:t xml:space="preserve">O’Reilly, T., Strauss, I., &amp; Mazzucato, M. (2024). Algorithmic attention rents: A theory of digital platform market power. Data &amp; Policy, 6, Article e6. https://doi.org/10.1017/dap.2024.1</w:t>
      </w:r>
    </w:p>
    <w:p>
      <w:pPr>
        <w:pStyle w:val="BodyText"/>
      </w:pPr>
      <w:r>
        <w:t xml:space="preserve">Obstfeld, D. (2005). Social networks, the tertius iungens orientation, and involvement in innovation. Administrative Science Quarterly, 50(1), 100–130. https://doi.org/10.2189/asqu.2005.50.1.100</w:t>
      </w:r>
    </w:p>
    <w:p>
      <w:pPr>
        <w:pStyle w:val="BodyText"/>
      </w:pPr>
      <w:r>
        <w:t xml:space="preserve">Oeldorf-Hirsch, A., &amp; Neubaum, G. (2025). What do we know about algorithmic literacy? The status quo and a research agenda for a growing field. New Media &amp; Society, 27(2), 681–701. https://doi.org/10.1177/14614448231182662</w:t>
      </w:r>
    </w:p>
    <w:p>
      <w:pPr>
        <w:pStyle w:val="BodyText"/>
      </w:pPr>
      <w:r>
        <w:t xml:space="preserve">Ostrom, E. (1990). Governing the commons: The evolution of institutions for collective action. Cambridge University Press. https://doi.org/10.1017/CBO9780511807763</w:t>
      </w:r>
    </w:p>
    <w:p>
      <w:pPr>
        <w:pStyle w:val="BodyText"/>
      </w:pPr>
      <w:r>
        <w:t xml:space="preserve">Paglayan, A. S. (2022). Education or indoctrination? The violent origins of public school systems in an era of state-building. American Political Science Review, 116(4), 1242–1257. https://doi.org/10.1017/S0003055422000247</w:t>
      </w:r>
    </w:p>
    <w:p>
      <w:pPr>
        <w:pStyle w:val="BodyText"/>
      </w:pPr>
      <w:r>
        <w:t xml:space="preserve">Paglayan, A. S. (2024). Raised to obey: The rise and spread of mass education. Princeton University Press. https://doi.org/10.1515/9780691261775</w:t>
      </w:r>
    </w:p>
    <w:p>
      <w:pPr>
        <w:pStyle w:val="BodyText"/>
      </w:pPr>
      <w:r>
        <w:t xml:space="preserve">Pangrazio, L., &amp; Selwyn, N. (2019). "Personal data literacies": A critical literacies approach to enhancing understandings of personal digital data. New Media &amp; Society, 21(2), 419–437. https://doi.org/10.1177/1461444818799523</w:t>
      </w:r>
    </w:p>
    <w:p>
      <w:pPr>
        <w:pStyle w:val="BodyText"/>
      </w:pPr>
      <w:r>
        <w:t xml:space="preserve">Pantazi, T. (2026). The scope and the limits of the parity clause prohibition in the Digital Markets Act. European Competition Journal, 22(1), 247–263. https://doi.org/10.1080/17441056.2025.2511420</w:t>
      </w:r>
    </w:p>
    <w:p>
      <w:pPr>
        <w:pStyle w:val="BodyText"/>
      </w:pPr>
      <w:r>
        <w:t xml:space="preserve">Parmigiani, A. (2007). Why do firms both make and buy? An investigation of concurrent sourcing. Strategic Management Journal, 28(3), 285–311. https://doi.org/10.1002/smj.580</w:t>
      </w:r>
    </w:p>
    <w:p>
      <w:pPr>
        <w:pStyle w:val="BodyText"/>
      </w:pPr>
      <w:r>
        <w:t xml:space="preserve">Pasquale, F. (2023). Two visions for data governance: Territorial vs. functional sovereignty. In A. Chander &amp; H. Sun (Eds.), Data sovereignty: From the digital silk road to the return of the state (pp. 35–48). Oxford University Press. https://doi.org/10.1093/oso/9780197582794.003.0002</w:t>
      </w:r>
    </w:p>
    <w:p>
      <w:pPr>
        <w:pStyle w:val="BodyText"/>
      </w:pPr>
      <w:r>
        <w:t xml:space="preserve">Paul, S. (2020). Antitrust as allocator of coordination rights. UCLA Law Review, 67(2), 378–431. https://www.uclalawreview.org/antitrust-as-allocator-of-coordination-rights/</w:t>
      </w:r>
    </w:p>
    <w:p>
      <w:pPr>
        <w:pStyle w:val="BodyText"/>
      </w:pPr>
      <w:r>
        <w:t xml:space="preserve">Petre, C., Duffy, B. E., &amp; Hund, E. (2019). "Gaming the system": Platform paternalism and the politics of algorithmic visibility. Social Media + Society, 5(4). https://doi.org/10.1177/2056305119879995</w:t>
      </w:r>
    </w:p>
    <w:p>
      <w:pPr>
        <w:pStyle w:val="BodyText"/>
      </w:pPr>
      <w:r>
        <w:t xml:space="preserve">Pettit, P. (1997). Republicanism: A theory of freedom and government. Oxford University Press.</w:t>
      </w:r>
    </w:p>
    <w:p>
      <w:pPr>
        <w:pStyle w:val="BodyText"/>
      </w:pPr>
      <w:r>
        <w:t xml:space="preserve">Pettit, P. (2012). On the people’s terms: A republican theory and model of democracy. Cambridge University Press. https://doi.org/10.1017/CBO9781139017428</w:t>
      </w:r>
    </w:p>
    <w:p>
      <w:pPr>
        <w:pStyle w:val="BodyText"/>
      </w:pPr>
      <w:r>
        <w:t xml:space="preserve">Pettit, P. (2016). The globalized republican ideal. Global Justice: Theory Practice Rhetoric, 9(1), 47–68. https://doi.org/10.21248/gjn.9.1.101</w:t>
      </w:r>
    </w:p>
    <w:p>
      <w:pPr>
        <w:pStyle w:val="BodyText"/>
      </w:pPr>
      <w:r>
        <w:t xml:space="preserve">Pohle, J., &amp; Thiel, T. (2020). Digital sovereignty. Internet Policy Review, 9(4). https://doi.org/10.14763/2020.4.1532</w:t>
      </w:r>
    </w:p>
    <w:p>
      <w:pPr>
        <w:pStyle w:val="BodyText"/>
      </w:pPr>
      <w:r>
        <w:t xml:space="preserve">Pohle, J., Nanni, R., &amp; Santaniello, M. (2025). Unthinking digital sovereignty: A critical reflection on origins, objectives, and practices. Policy &amp; Internet, 16(4), 666–671. https://doi.org/10.1002/poi3.437</w:t>
      </w:r>
    </w:p>
    <w:p>
      <w:pPr>
        <w:pStyle w:val="BodyText"/>
      </w:pPr>
      <w:r>
        <w:t xml:space="preserve">Powell, W. W. (1990). Neither market nor hierarchy: Network forms of organization. Research in Organizational Behavior, 12, 295–336.</w:t>
      </w:r>
    </w:p>
    <w:p>
      <w:pPr>
        <w:pStyle w:val="BodyText"/>
      </w:pPr>
      <w:r>
        <w:t xml:space="preserve">Rahman, H. A. (2021). The invisible cage: Workers’ reactivity to opaque algorithmic evaluations. Administrative Science Quarterly, 66(4), 945–988. https://doi.org/10.1177/00018392211010118</w:t>
      </w:r>
    </w:p>
    <w:p>
      <w:pPr>
        <w:pStyle w:val="BodyText"/>
      </w:pPr>
      <w:r>
        <w:t xml:space="preserve">Rahman, H. A., Karunakaran, A., &amp; Cameron, L. D. (2024). Taming platform power: Taking accountability into account in the management of platforms. Academy of Management Annals, 18(1), 251–294. https://doi.org/10.5465/annals.2022.0090</w:t>
      </w:r>
    </w:p>
    <w:p>
      <w:pPr>
        <w:pStyle w:val="BodyText"/>
      </w:pPr>
      <w:r>
        <w:t xml:space="preserve">Repetto, E. (2025). Concept</w:t>
      </w:r>
      <w:r>
        <w:t xml:space="preserve"> </w:t>
      </w:r>
      <w:r>
        <w:t xml:space="preserve">‘stretching’</w:t>
      </w:r>
      <w:r>
        <w:t xml:space="preserve"> </w:t>
      </w:r>
      <w:r>
        <w:t xml:space="preserve">or concept innovation? A review of the usages of sovereignty in the digital sovereignty literature. Policy &amp; Internet, 17(3), Article e70011. https://doi.org/10.1002/poi3.70011</w:t>
      </w:r>
    </w:p>
    <w:p>
      <w:pPr>
        <w:pStyle w:val="BodyText"/>
      </w:pPr>
      <w:r>
        <w:t xml:space="preserve">Rietveld, J., Schilling, M. A., &amp; Bellavitis, C. (2019). Platform strategy: Managing ecosystem value through selective promotion of complements. Organization Science, 30(6), 1232–1251. https://doi.org/10.1287/orsc.2019.1290</w:t>
      </w:r>
    </w:p>
    <w:p>
      <w:pPr>
        <w:pStyle w:val="BodyText"/>
      </w:pPr>
      <w:r>
        <w:t xml:space="preserve">Roberts, H., Cowls, J., Casolari, F., Morley, J., Taddeo, M., &amp; Floridi, L. (2021). Safeguarding European values with digital sovereignty: An analysis of statements and policies. Internet Policy Review, 10(3). https://doi.org/10.14763/2021.3.1575</w:t>
      </w:r>
    </w:p>
    <w:p>
      <w:pPr>
        <w:pStyle w:val="BodyText"/>
      </w:pPr>
      <w:r>
        <w:t xml:space="preserve">Robinson, A. P., Jarrahi, M. H., Keegan, A., &amp; Meijerink, J. (2026). Algorithmic management in limbo: Task-driven interweaving of hierarchy and market management. Human Resource Management, 65(1), 117–131. https://doi.org/10.1002/hrm.70019</w:t>
      </w:r>
    </w:p>
    <w:p>
      <w:pPr>
        <w:pStyle w:val="BodyText"/>
      </w:pPr>
      <w:r>
        <w:t xml:space="preserve">Rochet, J.-C., &amp; Tirole, J. (2003). Platform competition in two-sided markets. Journal of the European Economic Association, 1(4), 990–1029. https://doi.org/10.1162/154247603322493212</w:t>
      </w:r>
    </w:p>
    <w:p>
      <w:pPr>
        <w:pStyle w:val="BodyText"/>
      </w:pPr>
      <w:r>
        <w:t xml:space="preserve">Ryall, M. D., &amp; Sorenson, O. (2007). Brokers and competitive advantage. Management Science, 53(4), 566–583. https://doi.org/10.1287/mnsc.1060.0675</w:t>
      </w:r>
    </w:p>
    <w:p>
      <w:pPr>
        <w:pStyle w:val="BodyText"/>
      </w:pPr>
      <w:r>
        <w:t xml:space="preserve">Sander, I. (2020). What is critical big data literacy and how can it be implemented? Internet Policy Review, 9(2). https://doi.org/10.14763/2020.2.1479</w:t>
      </w:r>
    </w:p>
    <w:p>
      <w:pPr>
        <w:pStyle w:val="BodyText"/>
      </w:pPr>
      <w:r>
        <w:t xml:space="preserve">Savolainen, L., &amp; Ruckenstein, M. (2024). Dimensions of autonomy in human–algorithm relations. New Media &amp; Society, 26(6), 3472–3490. https://doi.org/10.1177/14614448221100802</w:t>
      </w:r>
    </w:p>
    <w:p>
      <w:pPr>
        <w:pStyle w:val="BodyText"/>
      </w:pPr>
      <w:r>
        <w:t xml:space="preserve">Schegg, R. (2024). European hotel distribution study 2024: Results for the reference year 2023. HES-SO Valais-Wallis, Institute of Tourism, for HOTREC. https://www.hotrec.eu/media/static/files/import/all_news_2024_2024_21/hotrec-distribution-study-2024.pdf</w:t>
      </w:r>
    </w:p>
    <w:p>
      <w:pPr>
        <w:pStyle w:val="BodyText"/>
      </w:pPr>
      <w:r>
        <w:t xml:space="preserve">Schlager, E., &amp; Ostrom, E. (1992). Property-rights regimes and natural resources: A conceptual analysis. Land Economics, 68(3), 249–262. https://doi.org/10.2307/3146375</w:t>
      </w:r>
    </w:p>
    <w:p>
      <w:pPr>
        <w:pStyle w:val="BodyText"/>
      </w:pPr>
      <w:r>
        <w:t xml:space="preserve">Scholz, T. (2016). Platform cooperativism: Challenging the corporate sharing economy. Rosa Luxemburg Stiftung, New York Office.</w:t>
      </w:r>
    </w:p>
    <w:p>
      <w:pPr>
        <w:pStyle w:val="BodyText"/>
      </w:pPr>
      <w:r>
        <w:t xml:space="preserve">Scholz, T. (2023). Own this! How platform cooperatives help workers build a democratic internet. Verso.</w:t>
      </w:r>
    </w:p>
    <w:p>
      <w:pPr>
        <w:pStyle w:val="BodyText"/>
      </w:pPr>
      <w:r>
        <w:t xml:space="preserve">Schor, J. B., Attwood-Charles, W., Cansoy, M., Ladegaard, I., &amp; Wengronowitz, R. (2020). Dependence and precarity in the platform economy. Theory and Society, 49(5–6), 833–861. https://doi.org/10.1007/s11186-020-09408-y</w:t>
      </w:r>
    </w:p>
    <w:p>
      <w:pPr>
        <w:pStyle w:val="BodyText"/>
      </w:pPr>
      <w:r>
        <w:t xml:space="preserve">Schwartz, M., &amp; Vincent, D. R. (2020). Platform competition with cash-back rebates under no surcharge rules. Journal of Industrial Economics, 68(2), 298–327. https://doi.org/10.1111/joie.12210</w:t>
      </w:r>
    </w:p>
    <w:p>
      <w:pPr>
        <w:pStyle w:val="BodyText"/>
      </w:pPr>
      <w:r>
        <w:t xml:space="preserve">Schüßler, E., Attwood-Charles, W., Kirchner, S., &amp; Schor, J. B. (2021). Between mutuality, autonomy and domination: Rethinking digital platforms as contested relational structures. Socio-Economic Review, 19(4), 1217–1243. https://doi.org/10.1093/ser/mwab038</w:t>
      </w:r>
    </w:p>
    <w:p>
      <w:pPr>
        <w:pStyle w:val="BodyText"/>
      </w:pPr>
      <w:r>
        <w:t xml:space="preserve">Scott, J. C. (1998). Seeing like a state: How certain schemes to improve the human condition have failed. Yale University Press.</w:t>
      </w:r>
    </w:p>
    <w:p>
      <w:pPr>
        <w:pStyle w:val="BodyText"/>
      </w:pPr>
      <w:r>
        <w:t xml:space="preserve">Scribner, S., &amp; Cole, M. (1981). The psychology of literacy. Harvard University Press.</w:t>
      </w:r>
    </w:p>
    <w:p>
      <w:pPr>
        <w:pStyle w:val="BodyText"/>
      </w:pPr>
      <w:r>
        <w:t xml:space="preserve">Seibert, S. E., Wang, G., &amp; Courtright, S. H. (2011). Antecedents and consequences of psychological and team empowerment in organizations: A meta-analytic review. Journal of Applied Psychology, 96(5), 981–1003. https://doi.org/10.1037/a0022676</w:t>
      </w:r>
    </w:p>
    <w:p>
      <w:pPr>
        <w:pStyle w:val="BodyText"/>
      </w:pPr>
      <w:r>
        <w:t xml:space="preserve">Sekar, S., &amp; Siddiq, A. (2026). Platform disintermediation: Information effects and pricing remedies. Operations Research, 74(3), 1304–1320. https://doi.org/10.1287/opre.2025.2046</w:t>
      </w:r>
    </w:p>
    <w:p>
      <w:pPr>
        <w:pStyle w:val="BodyText"/>
      </w:pPr>
      <w:r>
        <w:t xml:space="preserve">Selznick, P. (1949). TVA and the grass roots: A study in the sociology of formal organization. University of California Press.</w:t>
      </w:r>
    </w:p>
    <w:p>
      <w:pPr>
        <w:pStyle w:val="BodyText"/>
      </w:pPr>
      <w:r>
        <w:t xml:space="preserve">Sen, A. (1999). Development as freedom. Alfred A. Knopf.</w:t>
      </w:r>
    </w:p>
    <w:p>
      <w:pPr>
        <w:pStyle w:val="BodyText"/>
      </w:pPr>
      <w:r>
        <w:t xml:space="preserve">Shen, H., DeVos, A., Eslami, M., &amp; Holstein, K. (2021). Everyday algorithm auditing: Understanding the power of everyday users in surfacing harmful algorithmic behaviors. Proceedings of the ACM on Human-Computer Interaction, 5(CSCW2), Article 433. https://doi.org/10.1145/3479577</w:t>
      </w:r>
    </w:p>
    <w:p>
      <w:pPr>
        <w:pStyle w:val="BodyText"/>
      </w:pPr>
      <w:r>
        <w:t xml:space="preserve">Simmel, G. (1950). The sociology of Georg Simmel (K. H. Wolff, Ed. &amp; Trans.). Free Press. (Original work published 1908)</w:t>
      </w:r>
    </w:p>
    <w:p>
      <w:pPr>
        <w:pStyle w:val="BodyText"/>
      </w:pPr>
      <w:r>
        <w:t xml:space="preserve">Sims, R. (2022, May 2). The logic behind Australia’s News Media Bargaining Code. VoxEU/CEPR. https://cepr.org/voxeu/columns/logic-behind-australias-news-media-bargaining-code</w:t>
      </w:r>
    </w:p>
    <w:p>
      <w:pPr>
        <w:pStyle w:val="BodyText"/>
      </w:pPr>
      <w:r>
        <w:t xml:space="preserve">Sivetc, L. (2021). Controlling free expression "by infrastructure" in the Russian Internet: The consequences of RuNet sovereignization. First Monday, 26(5). https://doi.org/10.5210/fm.v26i5.11698</w:t>
      </w:r>
    </w:p>
    <w:p>
      <w:pPr>
        <w:pStyle w:val="BodyText"/>
      </w:pPr>
      <w:r>
        <w:t xml:space="preserve">Skinner, Q. (1998). Liberty before liberalism. Cambridge University Press. https://doi.org/10.1017/CBO9781139171274</w:t>
      </w:r>
    </w:p>
    <w:p>
      <w:pPr>
        <w:pStyle w:val="BodyText"/>
      </w:pPr>
      <w:r>
        <w:t xml:space="preserve">Spreitzer, G. M. (1995). Psychological empowerment in the workplace: Dimensions, measurement, and validation. Academy of Management Journal, 38(5), 1442–1465. https://doi.org/10.5465/256865</w:t>
      </w:r>
    </w:p>
    <w:p>
      <w:pPr>
        <w:pStyle w:val="BodyText"/>
      </w:pPr>
      <w:r>
        <w:t xml:space="preserve">Stadnik, I. (2021). Control by infrastructure: Political ambitions meet technical implementations in RuNet. First Monday, 26(5). https://doi.org/10.5210/fm.v26i5.11693</w:t>
      </w:r>
    </w:p>
    <w:p>
      <w:pPr>
        <w:pStyle w:val="BodyText"/>
      </w:pPr>
      <w:r>
        <w:t xml:space="preserve">Stangl, B., Inversini, A., &amp; Schegg, R. (2016). Hotels’ dependency on online intermediaries and their chosen distribution channel portfolios: Three country insights. International Journal of Hospitality Management, 52, 87–96. https://doi.org/10.1016/j.ijhm.2015.09.015</w:t>
      </w:r>
    </w:p>
    <w:p>
      <w:pPr>
        <w:pStyle w:val="BodyText"/>
      </w:pPr>
      <w:r>
        <w:t xml:space="preserve">Stark, D., &amp; Pais, I. (2020). Algorithmic management in the platform economy. Sociologica, 14(3), 47–72. https://doi.org/10.6092/issn.1971-8853/12221</w:t>
      </w:r>
    </w:p>
    <w:p>
      <w:pPr>
        <w:pStyle w:val="BodyText"/>
      </w:pPr>
      <w:r>
        <w:t xml:space="preserve">Stark, D., &amp; Vanden Broeck, P. (2024). Principles of algorithmic management. Organization Theory, 5(2), 1–24. https://doi.org/10.1177/26317877241257213</w:t>
      </w:r>
    </w:p>
    <w:p>
      <w:pPr>
        <w:pStyle w:val="BodyText"/>
      </w:pPr>
      <w:r>
        <w:t xml:space="preserve">Stovel, K., &amp; Shaw, L. (2012). Brokerage. Annual Review of Sociology, 38, 139–158. https://doi.org/10.1146/annurev-soc-081309-150054</w:t>
      </w:r>
    </w:p>
    <w:p>
      <w:pPr>
        <w:pStyle w:val="BodyText"/>
      </w:pPr>
      <w:r>
        <w:t xml:space="preserve">Street, B. V. (1984). Literacy in theory and practice. Cambridge University Press.</w:t>
      </w:r>
    </w:p>
    <w:p>
      <w:pPr>
        <w:pStyle w:val="BodyText"/>
      </w:pPr>
      <w:r>
        <w:t xml:space="preserve">Sutherland, W., Jarrahi, M. H., Dunn, M., &amp; Nelson, S. B. (2020). Work precarity and gig literacies in online freelancing. Work, Employment and Society, 34(3), 457–475. https://doi.org/10.1177/0950017019886511</w:t>
      </w:r>
    </w:p>
    <w:p>
      <w:pPr>
        <w:pStyle w:val="BodyText"/>
      </w:pPr>
      <w:r>
        <w:t xml:space="preserve">Teh, T.-H. (2022). Platform governance. American Economic Journal: Microeconomics, 14(3), 213–254. https://doi.org/10.1257/mic.20190307</w:t>
      </w:r>
    </w:p>
    <w:p>
      <w:pPr>
        <w:pStyle w:val="BodyText"/>
      </w:pPr>
      <w:r>
        <w:t xml:space="preserve">Thompson, G. F. (2003). Between hierarchies and markets: The logic and limits of network forms of organization. Oxford University Press. https://doi.org/10.1093/acprof:oso/9780198775270.001.0001</w:t>
      </w:r>
    </w:p>
    <w:p>
      <w:pPr>
        <w:pStyle w:val="BodyText"/>
      </w:pPr>
      <w:r>
        <w:t xml:space="preserve">Thompson, J. D. (1967). Organizations in action: Social science bases of administrative theory. McGraw-Hill.</w:t>
      </w:r>
    </w:p>
    <w:p>
      <w:pPr>
        <w:pStyle w:val="BodyText"/>
      </w:pPr>
      <w:r>
        <w:t xml:space="preserve">Tortorici, S. (2026). The blown head gasket effect: Rise and struggles of The Drivers Cooperative in New York City. Internet Policy Review, 15(1). https://doi.org/10.14763/2026.1.2063</w:t>
      </w:r>
    </w:p>
    <w:p>
      <w:pPr>
        <w:pStyle w:val="BodyText"/>
      </w:pPr>
      <w:r>
        <w:t xml:space="preserve">Vaccaro, K., Sandvig, C., &amp; Karahalios, K. (2020).</w:t>
      </w:r>
      <w:r>
        <w:t xml:space="preserve"> </w:t>
      </w:r>
      <w:r>
        <w:t xml:space="preserve">“At the end of the day Facebook does what it wants”</w:t>
      </w:r>
      <w:r>
        <w:t xml:space="preserve">: How users experience contesting algorithmic content moderation. Proceedings of the ACM on Human-Computer Interaction, 4(CSCW2), Article 167. https://doi.org/10.1145/3415238</w:t>
      </w:r>
    </w:p>
    <w:p>
      <w:pPr>
        <w:pStyle w:val="BodyText"/>
      </w:pPr>
      <w:r>
        <w:t xml:space="preserve">Vallas, S., &amp; Schor, J. B. (2020). What do platforms do? Understanding the gig economy. Annual Review of Sociology, 46(1), 273–294. https://doi.org/10.1146/annurev-soc-121919-054857</w:t>
      </w:r>
    </w:p>
    <w:p>
      <w:pPr>
        <w:pStyle w:val="BodyText"/>
      </w:pPr>
      <w:r>
        <w:t xml:space="preserve">van Doorn, N., &amp; Badger, A. (2020). Platform capitalism’s hidden abode: Producing data assets in the gig economy. Antipode, 52(5), 1475–1495. https://doi.org/10.1111/anti.12641</w:t>
      </w:r>
    </w:p>
    <w:p>
      <w:pPr>
        <w:pStyle w:val="BodyText"/>
      </w:pPr>
      <w:r>
        <w:t xml:space="preserve">Velasco, J. (2026). Economic dependence: A new frontier in EU competition law? European Law Journal, 32(1), 55–69. https://doi.org/10.1111/eulj.70025</w:t>
      </w:r>
    </w:p>
    <w:p>
      <w:pPr>
        <w:pStyle w:val="BodyText"/>
      </w:pPr>
      <w:r>
        <w:t xml:space="preserve">Viljoen, S. (2021). A relational theory of data governance. Yale Law Journal, 131(2), 573–654. https://www.yalelawjournal.org/article/a-relational-theory-of-data-governance</w:t>
      </w:r>
    </w:p>
    <w:p>
      <w:pPr>
        <w:pStyle w:val="BodyText"/>
      </w:pPr>
      <w:r>
        <w:t xml:space="preserve">Waardenburg, L., Huysman, M., &amp; Sergeeva, A. V. (2022). In the land of the blind, the one-eyed man is king: Knowledge brokerage in the age of learning algorithms. Organization Science, 33(1), 59–82. https://doi.org/10.1287/orsc.2021.1544</w:t>
      </w:r>
    </w:p>
    <w:p>
      <w:pPr>
        <w:pStyle w:val="BodyText"/>
      </w:pPr>
      <w:r>
        <w:t xml:space="preserve">Wals, F., &amp; Schinkel, M. P. (2018). Platform monopolization by narrow-PPC-BPG combination: Booking et al. International Journal of Industrial Organization, 61, 572–589. https://doi.org/10.1016/j.ijindorg.2018.03.006</w:t>
      </w:r>
    </w:p>
    <w:p>
      <w:pPr>
        <w:pStyle w:val="BodyText"/>
      </w:pPr>
      <w:r>
        <w:t xml:space="preserve">Wang, C., &amp; Wright, J. (2020). Search platforms: Showrooming and price parity clauses. RAND Journal of Economics, 51(1), 32–58. https://doi.org/10.1111/1756-2171.12305</w:t>
      </w:r>
    </w:p>
    <w:p>
      <w:pPr>
        <w:pStyle w:val="BodyText"/>
      </w:pPr>
      <w:r>
        <w:t xml:space="preserve">Wang, C., &amp; Wright, J. (2023). Platform investment and price parity clauses. Journal of Industrial Economics, 71(2), 538–569. https://doi.org/10.1111/joie.12329</w:t>
      </w:r>
    </w:p>
    <w:p>
      <w:pPr>
        <w:pStyle w:val="BodyText"/>
      </w:pPr>
      <w:r>
        <w:t xml:space="preserve">Williamson, O. E. (1975). Markets and hierarchies: Analysis and antitrust implications. Free Press.</w:t>
      </w:r>
    </w:p>
    <w:p>
      <w:pPr>
        <w:pStyle w:val="BodyText"/>
      </w:pPr>
      <w:r>
        <w:t xml:space="preserve">Wood, A. J., Graham, M., Lehdonvirta, V., &amp; Hjorth, I. (2019). Good gig, bad gig: Autonomy and algorithmic control in the global gig economy. Work, Employment and Society, 33(1), 56–75. https://doi.org/10.1177/0950017018785616</w:t>
      </w:r>
    </w:p>
    <w:p>
      <w:pPr>
        <w:pStyle w:val="BodyText"/>
      </w:pPr>
      <w:r>
        <w:t xml:space="preserve">Zhou, L., Lei, X., Liu, M., Huang, X., &amp; Hou, R. (2025). Algorithmic competency of on-demand labor platform workers: Scale development, antecedents, and consequences. Asia Pacific Journal of Human Resources, 63(2). https://doi.org/10.1111/1744-7941.70004</w:t>
      </w:r>
    </w:p>
    <w:p>
      <w:pPr>
        <w:pStyle w:val="BodyText"/>
      </w:pPr>
      <w:r>
        <w:t xml:space="preserve">Zhu, F., &amp; Liu, Q. (2018). Competing with complementors: An empirical look at Amazon.com. Strategic Management Journal, 39(10), 2618–2642. https://doi.org/10.1002/smj.2932</w:t>
      </w:r>
    </w:p>
    <w:bookmarkEnd w:id="22"/>
    <w:bookmarkStart w:id="23" w:name="legislation"/>
    <w:p>
      <w:pPr>
        <w:pStyle w:val="Heading2"/>
      </w:pPr>
      <w:r>
        <w:t xml:space="preserve">Legislation</w:t>
      </w:r>
    </w:p>
    <w:p>
      <w:pPr>
        <w:pStyle w:val="FirstParagraph"/>
      </w:pPr>
      <w:r>
        <w:t xml:space="preserve">Directive (EU) 2022/2555 of the European Parliament and of the Council of 14 December 2022 on measures for a high common level of cybersecurity across the Union, amending Regulation (EU) No 910/2014 and Directive (EU) 2018/1972, and repealing Directive (EU) 2016/1148 (NIS 2 Directive), OJ L 333, 27.12.2022, pp. 80–152. http://data.europa.eu/eli/dir/2022/2555/oj</w:t>
      </w:r>
    </w:p>
    <w:p>
      <w:pPr>
        <w:pStyle w:val="BodyText"/>
      </w:pPr>
      <w:r>
        <w:t xml:space="preserve">Directive (EU) 2024/2831 of the European Parliament and of the Council of 23 October 2024 on improving working conditions in platform work, OJ L, 2024/2831 (11 November 2024). http://data.europa.eu/eli/dir/2024/2831/oj</w:t>
      </w:r>
    </w:p>
    <w:p>
      <w:pPr>
        <w:pStyle w:val="BodyText"/>
      </w:pPr>
      <w: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1–88. http://data.europa.eu/eli/reg/2016/679/oj</w:t>
      </w:r>
    </w:p>
    <w:p>
      <w:pPr>
        <w:pStyle w:val="BodyText"/>
      </w:pPr>
      <w:r>
        <w:t xml:space="preserve">Regulation (EU) 2019/1150 of the European Parliament and of the Council of 20 June 2019 on promoting fairness and transparency for business users of online intermediation services, OJ L 186, 11.7.2019, pp. 57–79. http://data.europa.eu/eli/reg/2019/1150/oj</w:t>
      </w:r>
    </w:p>
    <w:p>
      <w:pPr>
        <w:pStyle w:val="BodyText"/>
      </w:pPr>
      <w:r>
        <w:t xml:space="preserve">Regulation (EU) 2022/2065 of the European Parliament and of the Council of 19 October 2022 on a Single Market for Digital Services and amending Directive 2000/31/EC (Digital Services Act), OJ L 277, 27.10.2022. http://data.europa.eu/eli/reg/2022/2065/oj</w:t>
      </w:r>
    </w:p>
    <w:p>
      <w:pPr>
        <w:pStyle w:val="BodyText"/>
      </w:pPr>
      <w:r>
        <w:t xml:space="preserve">Regulation (EU) 2022/868 of the European Parliament and of the Council of 30 May 2022 on European data governance and amending Regulation (EU) 2018/1724 (Data Governance Act), OJ L 152, 3.6.2022, pp. 1–44. http://data.europa.eu/eli/reg/2022/868/oj</w:t>
      </w:r>
    </w:p>
    <w:p>
      <w:pPr>
        <w:pStyle w:val="BodyText"/>
      </w:pPr>
      <w:r>
        <w:t xml:space="preserve">Regulation (EU) 2024/1689 of the European Parliament and of the Council of 13 June 2024 laying down harmonised rules on artificial intelligence (Artificial Intelligence Act), OJ L, 2024/1689, 12.7.2024, as amended by Regulation (EU) 2026/1744 (Digital Omnibus on AI), OJ L, 2026/1744. http://data.europa.eu/eli/reg/2024/1689/oj</w:t>
      </w:r>
    </w:p>
    <w:p>
      <w:pPr>
        <w:pStyle w:val="BodyText"/>
      </w:pPr>
      <w:r>
        <w:t xml:space="preserve">Regulation (EU) 2026/1744 of the European Parliament and of the Council of 8 July 2026 amending Regulations (EU) 2024/1689, (EU) 2018/1139 and (EU) 2023/1230 as regards the simplification of the implementation of harmonised rules on artificial intelligence (Digital Omnibus on AI), OJ L, 24.7.2026. https://eur-lex.europa.eu/eli/reg/2026/1744/oj</w:t>
      </w:r>
    </w:p>
    <w:bookmarkEnd w:id="23"/>
    <w:bookmarkStart w:id="24" w:name="cases"/>
    <w:p>
      <w:pPr>
        <w:pStyle w:val="Heading2"/>
      </w:pPr>
      <w:r>
        <w:t xml:space="preserve">Cases</w:t>
      </w:r>
    </w:p>
    <w:p>
      <w:pPr>
        <w:pStyle w:val="FirstParagraph"/>
      </w:pPr>
      <w:r>
        <w:t xml:space="preserve">Case C-203/22, CK v Magistrat der Stadt Wien (Dun &amp; Bradstreet Austria), ECLI:EU:C:2025:117 (Judgment of the Court, 27 February 2025).</w:t>
      </w:r>
    </w:p>
    <w:p>
      <w:pPr>
        <w:pStyle w:val="BodyText"/>
      </w:pPr>
      <w:r>
        <w:t xml:space="preserve">Case C-233/23, Alphabet Inc. and Others v Autorità Garante della Concorrenza e del Mercato (Android Auto), ECLI:EU:C:2025:110 (Judgment of the Court, Grand Chamber, 25 February 2025).</w:t>
      </w:r>
    </w:p>
    <w:p>
      <w:pPr>
        <w:pStyle w:val="BodyText"/>
      </w:pPr>
      <w:r>
        <w:t xml:space="preserve">Case C-264/23, Booking.com BV and Booking.com (Deutschland) GmbH v. 25hours Hotel Company Berlin GmbH and Others, ECLI:EU:C:2024:764 (Judgment of the Court (Second Chamber), 19 September 2024).</w:t>
      </w:r>
    </w:p>
    <w:p>
      <w:pPr>
        <w:pStyle w:val="BodyText"/>
      </w:pPr>
      <w:r>
        <w:t xml:space="preserve">Case C-634/21, OQ v Land Hessen (SCHUFA Holding, Scoring), ECLI:EU:C:2023:957 (CJEU 7 December 2023). https://eur-lex.europa.eu/legal-content/EN/TXT/?uri=CELEX:62021CJ0634</w:t>
      </w:r>
    </w:p>
    <w:p>
      <w:pPr>
        <w:pStyle w:val="BodyText"/>
      </w:pPr>
      <w:r>
        <w:t xml:space="preserve">Case C-7/97, Oscar Bronner GmbH &amp; Co. KG v. Mediaprint Zeitungs- und Zeitschriftenverlag GmbH &amp; Co. KG and Others, ECLI:EU:C:1998:569 (Judgment of the Court, 26 November 1998).</w:t>
      </w:r>
    </w:p>
    <w:p>
      <w:pPr>
        <w:pStyle w:val="BodyText"/>
      </w:pPr>
      <w:r>
        <w:t xml:space="preserve">Case T-438/25, Apple v. Commission (action brought 7 July 2025, pending), OJ C/2025/5215. https://eur-lex.europa.eu/legal-content/EN/TXT/?uri=OJ:C_202505215</w:t>
      </w:r>
    </w:p>
    <w:p>
      <w:pPr>
        <w:pStyle w:val="BodyText"/>
      </w:pPr>
      <w:r>
        <w:t xml:space="preserve">Epic Games, Inc. v. Apple Inc., No. 25-2935 (9th Cir. Dec. 11, 2025). https://cdn.ca9.uscourts.gov/datastore/opinions/2025/12/11/25-2935.pdf</w:t>
      </w:r>
    </w:p>
    <w:p>
      <w:pPr>
        <w:pStyle w:val="BodyText"/>
      </w:pPr>
      <w:r>
        <w:t xml:space="preserve">Epic Games, Inc. v. Apple, Inc., 67 F.4th 946 (9th Cir. 2023).</w:t>
      </w:r>
    </w:p>
    <w:p>
      <w:pPr>
        <w:pStyle w:val="BodyText"/>
      </w:pPr>
      <w:r>
        <w:t xml:space="preserve">Ohio v. American Express Co., 585 U.S. 529 (2018).</w:t>
      </w:r>
    </w:p>
    <w:p>
      <w:pPr>
        <w:pStyle w:val="BodyText"/>
      </w:pPr>
      <w:r>
        <w:t xml:space="preserve">Opinion of Advocate General Collins, Case C-264/23, Booking.com BV and Booking.com (Deutschland) GmbH v 25hours Hotel Company Berlin GmbH and Others, ECLI:EU:C:2024:470 (CJEU 6 June 2024). https://eur-lex.europa.eu/legal-content/EN/TXT/?uri=CELEX:62023CC0264</w:t>
      </w:r>
    </w:p>
    <w:bookmarkEnd w:id="24"/>
    <w:bookmarkStart w:id="25" w:name="additional-reading"/>
    <w:p>
      <w:pPr>
        <w:pStyle w:val="Heading2"/>
      </w:pPr>
      <w:r>
        <w:t xml:space="preserve">Additional Reading</w:t>
      </w:r>
    </w:p>
    <w:p>
      <w:pPr>
        <w:pStyle w:val="FirstParagraph"/>
      </w:pPr>
      <w:r>
        <w:t xml:space="preserve">Benkler, Y. (2006).</w:t>
      </w:r>
      <w:r>
        <w:t xml:space="preserve"> </w:t>
      </w:r>
      <w:r>
        <w:rPr>
          <w:i/>
          <w:iCs/>
        </w:rPr>
        <w:t xml:space="preserve">The wealth of networks: How social production transforms markets and freedom</w:t>
      </w:r>
      <w:r>
        <w:t xml:space="preserve">. Yale University Press.</w:t>
      </w:r>
    </w:p>
    <w:p>
      <w:pPr>
        <w:pStyle w:val="BodyText"/>
      </w:pPr>
      <w:r>
        <w:t xml:space="preserve">Bratton, B. H. (2015).</w:t>
      </w:r>
      <w:r>
        <w:t xml:space="preserve"> </w:t>
      </w:r>
      <w:r>
        <w:rPr>
          <w:i/>
          <w:iCs/>
        </w:rPr>
        <w:t xml:space="preserve">The stack: On software and sovereignty</w:t>
      </w:r>
      <w:r>
        <w:t xml:space="preserve">. MIT Press.</w:t>
      </w:r>
    </w:p>
    <w:p>
      <w:pPr>
        <w:pStyle w:val="BodyText"/>
      </w:pPr>
      <w:r>
        <w:t xml:space="preserve">Couldry, N., &amp; Mejias, U. A. (2019).</w:t>
      </w:r>
      <w:r>
        <w:t xml:space="preserve"> </w:t>
      </w:r>
      <w:r>
        <w:rPr>
          <w:i/>
          <w:iCs/>
        </w:rPr>
        <w:t xml:space="preserve">The costs of connection: How data is colonizing human life and appropriating it for capitalism</w:t>
      </w:r>
      <w:r>
        <w:t xml:space="preserve">. Stanford University Press.</w:t>
      </w:r>
    </w:p>
    <w:p>
      <w:pPr>
        <w:pStyle w:val="BodyText"/>
      </w:pPr>
      <w:r>
        <w:t xml:space="preserve">Crawford, K. (2021).</w:t>
      </w:r>
      <w:r>
        <w:t xml:space="preserve"> </w:t>
      </w:r>
      <w:r>
        <w:rPr>
          <w:i/>
          <w:iCs/>
        </w:rPr>
        <w:t xml:space="preserve">Atlas of AI: Power, politics, and the planetary costs of artificial intelligence</w:t>
      </w:r>
      <w:r>
        <w:t xml:space="preserve">. Yale University Press.</w:t>
      </w:r>
    </w:p>
    <w:p>
      <w:pPr>
        <w:pStyle w:val="BodyText"/>
      </w:pPr>
      <w:r>
        <w:t xml:space="preserve">Gillespie, T. (2018).</w:t>
      </w:r>
      <w:r>
        <w:t xml:space="preserve"> </w:t>
      </w:r>
      <w:r>
        <w:rPr>
          <w:i/>
          <w:iCs/>
        </w:rPr>
        <w:t xml:space="preserve">Custodians of the Internet: Platforms, content moderation, and the hidden decisions that shape social media</w:t>
      </w:r>
      <w:r>
        <w:t xml:space="preserve">. Yale University Press.</w:t>
      </w:r>
    </w:p>
    <w:p>
      <w:pPr>
        <w:pStyle w:val="BodyText"/>
      </w:pPr>
      <w:r>
        <w:t xml:space="preserve">Gowder, P. (2023).</w:t>
      </w:r>
      <w:r>
        <w:t xml:space="preserve"> </w:t>
      </w:r>
      <w:r>
        <w:rPr>
          <w:i/>
          <w:iCs/>
        </w:rPr>
        <w:t xml:space="preserve">The networked Leviathan: For democratic platforms</w:t>
      </w:r>
      <w:r>
        <w:t xml:space="preserve">. Cambridge University Press.</w:t>
      </w:r>
    </w:p>
    <w:p>
      <w:pPr>
        <w:pStyle w:val="BodyText"/>
      </w:pPr>
      <w:r>
        <w:t xml:space="preserve">Krasner, S. D. (1999).</w:t>
      </w:r>
      <w:r>
        <w:t xml:space="preserve"> </w:t>
      </w:r>
      <w:r>
        <w:rPr>
          <w:i/>
          <w:iCs/>
        </w:rPr>
        <w:t xml:space="preserve">Sovereignty: Organized hypocrisy</w:t>
      </w:r>
      <w:r>
        <w:t xml:space="preserve">. Princeton University Press.</w:t>
      </w:r>
    </w:p>
    <w:p>
      <w:pPr>
        <w:pStyle w:val="BodyText"/>
      </w:pPr>
      <w:r>
        <w:t xml:space="preserve">Lehdonvirta, V. (2022).</w:t>
      </w:r>
      <w:r>
        <w:t xml:space="preserve"> </w:t>
      </w:r>
      <w:r>
        <w:rPr>
          <w:i/>
          <w:iCs/>
        </w:rPr>
        <w:t xml:space="preserve">Cloud empires: How digital platforms are overtaking the state and how we can regain control</w:t>
      </w:r>
      <w:r>
        <w:t xml:space="preserve">. MIT Press.</w:t>
      </w:r>
    </w:p>
    <w:p>
      <w:pPr>
        <w:pStyle w:val="BodyText"/>
      </w:pPr>
      <w:r>
        <w:t xml:space="preserve">Pasquale, F. (2015).</w:t>
      </w:r>
      <w:r>
        <w:t xml:space="preserve"> </w:t>
      </w:r>
      <w:r>
        <w:rPr>
          <w:i/>
          <w:iCs/>
        </w:rPr>
        <w:t xml:space="preserve">The black box society: The secret algorithms that control money and information</w:t>
      </w:r>
      <w:r>
        <w:t xml:space="preserve">. Harvard University Press.</w:t>
      </w:r>
    </w:p>
    <w:p>
      <w:pPr>
        <w:pStyle w:val="BodyText"/>
      </w:pPr>
      <w:r>
        <w:t xml:space="preserve">Srnicek, N. (2017).</w:t>
      </w:r>
      <w:r>
        <w:t xml:space="preserve"> </w:t>
      </w:r>
      <w:r>
        <w:rPr>
          <w:i/>
          <w:iCs/>
        </w:rPr>
        <w:t xml:space="preserve">Platform capitalism</w:t>
      </w:r>
      <w:r>
        <w:t xml:space="preserve">. Polity Press.</w:t>
      </w:r>
    </w:p>
    <w:bookmarkEnd w:id="25"/>
    <w:bookmarkEnd w:id="26"/>
    <w:sectPr>
      <w:headerReference xmlns:r="http://schemas.openxmlformats.org/officeDocument/2006/relationships" r:id="rIdHeaderPage" w:type="default"/>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pPr>
      <w:keepNext/>
      <w:spacing w:after="0" w:before="240" w:line="480" w:lineRule="auto"/>
      <w:jc w:val="center"/>
    </w:pPr>
    <w:rPr>
      <w:rFonts w:ascii="Times New Roman" w:hAnsi="Times New Roman"/>
      <w:b/>
      <w:sz w:val="24"/>
      <w:szCs w:val="24"/>
    </w:rPr>
  </w:style>
  <w:style w:styleId="Heading2" w:type="paragraph">
    <w:name w:val="heading 2"/>
    <w:basedOn w:val="Normal"/>
    <w:pPr>
      <w:keepNext/>
      <w:spacing w:after="0" w:before="240" w:line="480" w:lineRule="auto"/>
    </w:pPr>
    <w:rPr>
      <w:rFonts w:ascii="Times New Roman" w:hAnsi="Times New Roman"/>
      <w:b/>
      <w:sz w:val="24"/>
      <w:szCs w:val="24"/>
    </w:rPr>
  </w:style>
  <w:style w:styleId="Heading3" w:type="paragraph">
    <w:name w:val="heading 3"/>
    <w:basedOn w:val="Normal"/>
    <w:pPr>
      <w:keepNext/>
      <w:spacing w:after="0" w:before="240" w:line="480" w:lineRule="auto"/>
    </w:pPr>
    <w:rPr>
      <w:rFonts w:ascii="Times New Roman" w:hAnsi="Times New Roman"/>
      <w:b/>
      <w:i/>
      <w:sz w:val="24"/>
      <w:szCs w:val="24"/>
    </w:rPr>
  </w:style>
  <w:style w:styleId="Heading4" w:type="paragraph">
    <w:name w:val="heading 4"/>
    <w:basedOn w:val="Normal"/>
    <w:pPr>
      <w:keepNext/>
      <w:spacing w:after="0" w:before="240" w:line="480" w:lineRule="auto"/>
    </w:pPr>
    <w:rPr>
      <w:rFonts w:ascii="Times New Roman" w:hAnsi="Times New Roman"/>
      <w:b/>
      <w:i/>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eaderPage"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2026-08-24T01:37:39Z</dcterms:created>
  <dcterms:modified xsi:type="dcterms:W3CDTF">2026-08-24T01:37:39Z</dcterms:modified>
</cp:coreProperties>
</file>

<file path=docProps/custom.xml><?xml version="1.0" encoding="utf-8"?>
<Properties xmlns="http://schemas.openxmlformats.org/officeDocument/2006/custom-properties" xmlns:vt="http://schemas.openxmlformats.org/officeDocument/2006/docPropsVTypes"/>
</file>