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18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01"/>
        <w:gridCol w:w="6378"/>
      </w:tblGrid>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mc:AlternateContent>
                <mc:Choice Requires="wps">
                  <w:drawing>
                    <wp:anchor behindDoc="0" distT="0" distB="0" distL="0" distR="0" simplePos="0" locked="0" layoutInCell="1" allowOverlap="1" relativeHeight="3" wp14:anchorId="0D7D6C37">
                      <wp:simplePos x="0" y="0"/>
                      <wp:positionH relativeFrom="column">
                        <wp:posOffset>-281305</wp:posOffset>
                      </wp:positionH>
                      <wp:positionV relativeFrom="paragraph">
                        <wp:posOffset>-40640</wp:posOffset>
                      </wp:positionV>
                      <wp:extent cx="1556385" cy="374015"/>
                      <wp:effectExtent l="0" t="0" r="0" b="0"/>
                      <wp:wrapNone/>
                      <wp:docPr id="1" name="Imagen 4" descr="http://indret.b.wetopi.com/wp-content/themes/indret/img/logo.png">
                        <a:hlinkClick xmlns:a="http://schemas.openxmlformats.org/drawingml/2006/main" r:id="rId2"/>
                      </wp:docPr>
                      <a:graphic xmlns:a="http://schemas.openxmlformats.org/drawingml/2006/main">
                        <a:graphicData uri="http://schemas.openxmlformats.org/drawingml/2006/picture">
                          <pic:pic xmlns:pic="http://schemas.openxmlformats.org/drawingml/2006/picture">
                            <pic:nvPicPr>
                              <pic:cNvPr id="2" name="Imagen 4" descr="http://indret.b.wetopi.com/wp-content/themes/indret/img/logo.png"/>
                              <pic:cNvPicPr/>
                            </pic:nvPicPr>
                            <pic:blipFill>
                              <a:blip r:embed="rId3">
                                <a:extLst>
                                  <a:ext uri="{BEBA8EAE-BF5A-486C-A8C5-ECC9F3942E4B}">
                                    <a14:imgProps xmlns:a14="http://schemas.microsoft.com/office/drawing/2010/main">
                                      <a14:imgLayer r:embed="rId4">
                                        <a14:imgEffect>
                                          <a14:brightnessContrast amount="-21000" bright="2000" contrast="-100000"/>
                                        </a14:imgEffect>
                                      </a14:imgLayer>
                                    </a14:imgProps>
                                  </a:ext>
                                </a:extLst>
                              </a:blip>
                              <a:stretch/>
                            </pic:blipFill>
                            <pic:spPr>
                              <a:xfrm>
                                <a:off x="0" y="0"/>
                                <a:ext cx="1556280" cy="37404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 stroked="f" href="http://indret.b.wetopi.com/" o:allowincell="t" style="position:absolute;margin-left:-22.15pt;margin-top:-3.2pt;width:122.5pt;height:29.4pt;mso-wrap-style:none;v-text-anchor:middle" wp14:anchorId="0D7D6C37" type="_x0000_t75">
                      <v:imagedata r:id="rId5" o:detectmouseclick="t"/>
                      <v:stroke color="#3465a4" joinstyle="round" endcap="flat"/>
                      <w10:wrap type="none"/>
                    </v:shape>
                  </w:pict>
                </mc:Fallback>
              </mc:AlternateConten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t>InDret 1.2025</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Luis Andrés Cucarella Galiana</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Universitat de València</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jc w:val="both"/>
              <w:rPr>
                <w:rFonts w:ascii="PT Serif" w:hAnsi="PT Serif" w:cs="Open Sans"/>
                <w:b/>
                <w:bCs/>
                <w:sz w:val="28"/>
                <w:szCs w:val="28"/>
              </w:rPr>
            </w:pPr>
            <w:r>
              <w:rPr>
                <w:rFonts w:cs="Open Sans" w:ascii="PT Serif" w:hAnsi="PT Serif"/>
                <w:b/>
                <w:bCs/>
                <w:sz w:val="28"/>
                <w:szCs w:val="28"/>
              </w:rPr>
              <w:t>Jurisdicción ordinaria y control de convencionalidad en violencia de género y otros supuestos de afectación de derechos humanos (a propósito del ATC 301/2023, 6 junio)</w:t>
            </w:r>
          </w:p>
          <w:p>
            <w:pPr>
              <w:pStyle w:val="Normal"/>
              <w:spacing w:lineRule="auto" w:line="240" w:before="0" w:after="0"/>
              <w:jc w:val="both"/>
              <w:rPr>
                <w:rFonts w:ascii="PT Serif" w:hAnsi="PT Serif" w:cs="Open Sans"/>
                <w:i/>
                <w:i/>
                <w:sz w:val="24"/>
                <w:szCs w:val="28"/>
              </w:rPr>
            </w:pPr>
            <w:r>
              <w:rPr>
                <w:rFonts w:cs="Open Sans" w:ascii="PT Serif" w:hAnsi="PT Serif"/>
                <w:i/>
                <w:sz w:val="24"/>
                <w:szCs w:val="28"/>
              </w:rPr>
            </w:r>
          </w:p>
          <w:p>
            <w:pPr>
              <w:pStyle w:val="Normal"/>
              <w:spacing w:lineRule="auto" w:line="240" w:before="0" w:after="0"/>
              <w:jc w:val="both"/>
              <w:rPr>
                <w:rFonts w:ascii="PT Serif" w:hAnsi="PT Serif" w:cs="Open Sans"/>
                <w:b/>
                <w:bCs/>
                <w:i/>
                <w:i/>
                <w:sz w:val="24"/>
                <w:szCs w:val="28"/>
              </w:rPr>
            </w:pPr>
            <w:r>
              <w:rPr>
                <w:rFonts w:cs="Open Sans" w:ascii="PT Serif" w:hAnsi="PT Serif"/>
                <w:b/>
                <w:bCs/>
                <w:i/>
                <w:sz w:val="24"/>
                <w:szCs w:val="28"/>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t>Sumario</w:t>
            </w:r>
          </w:p>
          <w:p>
            <w:pPr>
              <w:pStyle w:val="Normal"/>
              <w:spacing w:lineRule="auto" w:line="240" w:before="0" w:after="0"/>
              <w:rPr>
                <w:rFonts w:ascii="PT Serif" w:hAnsi="PT Serif" w:cs="Open Sans"/>
                <w:b/>
                <w:bCs/>
                <w:sz w:val="20"/>
                <w:szCs w:val="20"/>
              </w:rPr>
            </w:pPr>
            <w:r>
              <w:rPr>
                <w:rFonts w:cs="Open Sans" w:ascii="PT Serif" w:hAnsi="PT Serif"/>
                <w:b/>
                <w:bCs/>
                <w:sz w:val="20"/>
                <w:szCs w:val="20"/>
              </w:rPr>
              <w:t>-</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t>El artículo 834 del Código Civil reconoce el derecho del cónyuge supérstite a la legítima viudal. No obstante, se condiciona a que, en el momento del fallecimiento, los cónyuges no estén separados de hecho o legalmente. En el supuesto en que la causa de separación sea la existencia de una orden de protección en el ámbito de la violencia de género se planteó al Tribunal Constitucional una cuestión de inconstitucionalidad por entender que el artículo citado era inconvencional. En concreto, el Juzgado de Primera Instancia promotor de la cuestión consideró que la norma interna civil no respetaba diferentes derechos reconocidos en el Convenio de 11 de mayo de 2011, de Estambul. En el trabajo se analiza el auto del Tribunal Constitucional con el que se inadmitió la cuestión planteada y a propósito de este se profundiza en la concreción del papel que desempeña la Jurisdicción ordinaria en la se analiza la construcción jurisprudencial constitucional en torno al control difuso de convencionalidad. En concreto, se platean dos cuestiones investigativas relevantes. Por un lado, si en caso de conflicto entre norma interna e internacional, la Jurisdicción ordinaria debe promover una cuestión de inconstitucionalidad ante el Tribunal Constitucional. En segundo lugar, se concreta con base a qué principios deben resolverse los concursos entre normas internas y convencionales sin que ninguna de ellas sea declarada inválida, pero sea desplazada, en cuanto a la aplicación, por la otra.</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r>
          </w:p>
          <w:p>
            <w:pPr>
              <w:pStyle w:val="Normal"/>
              <w:spacing w:lineRule="auto" w:line="240" w:before="0" w:after="0"/>
              <w:rPr>
                <w:rFonts w:ascii="PT Serif" w:hAnsi="PT Serif" w:cs="PTSerif-Bold"/>
                <w:b/>
                <w:bCs/>
                <w:i/>
                <w:i/>
                <w:sz w:val="20"/>
                <w:szCs w:val="20"/>
              </w:rPr>
            </w:pPr>
            <w:r>
              <w:rPr>
                <w:rFonts w:cs="PTSerif-Bold" w:ascii="PT Serif" w:hAnsi="PT Serif"/>
                <w:b/>
                <w:bCs/>
                <w:i/>
                <w:sz w:val="20"/>
                <w:szCs w:val="20"/>
              </w:rPr>
              <w:t>Abstract</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t>-</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t>Art. 834 of the Spanish Civil Code recognises the right of the surviving spouse to a statutory legacy. Nevertheless, it is conditional on the fact that, in the moment of the decease, the spouses are not legally or de facto divorced. In case that the reason of divorce is the existence of a restraining order in the scope of gender violence, a question of unconstitutionality was presented to the Constitutional Court, as it was understood that article 834 was unconventional. Specifically, the court of first instance that promoted this question considered that the internal civil precept did not respect different rights recognised on Convention of 11 May 2011, of Istanbul. This paper analyzes the order of the Constitutional Court by which the question raised was declared inadmissible and, on that basis, further examines the specific role played by the ordinary jurisdiction, as well as the constitutional jurisprudential construction surrounding diffuse control of conventionality. In particular, two relevant research questions are addressed. First, whether, in the event of a conflict between domestic and international legislative precepts, the ordinary jurisdiction must refer a question of constitutionality to the Constitutional Court. Second, the paper specifies the principles on the basis of which conflicts between domestic and conventional norms should be resolved when neither is declared invalid, but one is set aside in its application in favour of the other.</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r>
          </w:p>
          <w:p>
            <w:pPr>
              <w:pStyle w:val="Normal"/>
              <w:spacing w:lineRule="auto" w:line="240" w:before="0" w:after="0"/>
              <w:jc w:val="both"/>
              <w:rPr>
                <w:rFonts w:ascii="PT Serif" w:hAnsi="PT Serif" w:cs="PTSerif-Bold"/>
                <w:bCs/>
                <w:i/>
                <w:i/>
                <w:sz w:val="16"/>
                <w:szCs w:val="20"/>
              </w:rPr>
            </w:pPr>
            <w:r>
              <w:rPr>
                <w:rFonts w:ascii="PT Serif" w:hAnsi="PT Serif"/>
                <w:b/>
                <w:i/>
                <w:sz w:val="18"/>
              </w:rPr>
              <w:t xml:space="preserve">Title: </w:t>
            </w:r>
            <w:r>
              <w:rPr>
                <w:rFonts w:ascii="PT Serif" w:hAnsi="PT Serif"/>
                <w:b w:val="false"/>
                <w:i/>
                <w:sz w:val="18"/>
              </w:rPr>
              <w:t>Ordinary jurisdiction and control of conventionality in gender violence and other human rights violation (in light of ATC 301/2023, of 6 June).</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t>-</w:t>
            </w:r>
          </w:p>
          <w:p>
            <w:pPr>
              <w:pStyle w:val="Normal"/>
              <w:spacing w:lineRule="auto" w:line="240" w:before="0" w:after="0"/>
              <w:jc w:val="both"/>
              <w:rPr>
                <w:rFonts w:ascii="PT Serif" w:hAnsi="PT Serif" w:cs="PTSerif-Bold"/>
                <w:bCs/>
                <w:sz w:val="18"/>
                <w:szCs w:val="18"/>
              </w:rPr>
            </w:pPr>
            <w:r>
              <w:rPr>
                <w:rFonts w:ascii="PT Serif" w:hAnsi="PT Serif"/>
                <w:b/>
                <w:i w:val="false"/>
                <w:sz w:val="18"/>
              </w:rPr>
              <w:t xml:space="preserve">Palabras clave: </w:t>
            </w:r>
            <w:r>
              <w:rPr>
                <w:rFonts w:ascii="PT Serif" w:hAnsi="PT Serif"/>
                <w:b w:val="false"/>
                <w:i w:val="false"/>
                <w:sz w:val="18"/>
              </w:rPr>
              <w:t>Jurisdicción ordinaria; control de convencionalidad; derechos humanos; control de constitucionalidad; violencia de género, sumisión jurisdiccional a la ley.</w:t>
            </w:r>
          </w:p>
          <w:p>
            <w:pPr>
              <w:pStyle w:val="Normal"/>
              <w:spacing w:lineRule="auto" w:line="240" w:before="0" w:after="0"/>
              <w:jc w:val="both"/>
              <w:rPr>
                <w:rFonts w:ascii="PT Serif" w:hAnsi="PT Serif" w:cs="PTSerif-Bold"/>
                <w:bCs/>
                <w:sz w:val="18"/>
                <w:szCs w:val="18"/>
              </w:rPr>
            </w:pPr>
            <w:r>
              <w:rPr>
                <w:rFonts w:cs="PTSerif-Bold" w:ascii="PT Serif" w:hAnsi="PT Serif"/>
                <w:bCs/>
                <w:sz w:val="18"/>
                <w:szCs w:val="18"/>
              </w:rPr>
            </w:r>
          </w:p>
          <w:p>
            <w:pPr>
              <w:pStyle w:val="Normal"/>
              <w:spacing w:lineRule="auto" w:line="240" w:before="0" w:after="0"/>
              <w:jc w:val="both"/>
              <w:rPr>
                <w:rFonts w:ascii="PT Serif" w:hAnsi="PT Serif" w:cs="PTSerif-Bold"/>
                <w:bCs/>
                <w:sz w:val="18"/>
                <w:szCs w:val="18"/>
                <w:lang w:val="en-US"/>
              </w:rPr>
            </w:pPr>
            <w:r>
              <w:rPr>
                <w:rFonts w:ascii="PT Serif" w:hAnsi="PT Serif"/>
                <w:b/>
                <w:i/>
                <w:sz w:val="18"/>
              </w:rPr>
              <w:t xml:space="preserve">Keywords: </w:t>
            </w:r>
            <w:r>
              <w:rPr>
                <w:rFonts w:ascii="PT Serif" w:hAnsi="PT Serif"/>
                <w:b w:val="false"/>
                <w:i/>
                <w:sz w:val="18"/>
              </w:rPr>
              <w:t>ordinary jurisdiction, control of conventionality, human rights, constitutional control, gender-violence, jurisdictional submission to the law</w:t>
            </w:r>
          </w:p>
          <w:p>
            <w:pPr>
              <w:pStyle w:val="Normal"/>
              <w:spacing w:lineRule="auto" w:line="240" w:before="0" w:after="0"/>
              <w:rPr>
                <w:rFonts w:ascii="PT Serif" w:hAnsi="PT Serif" w:cs="PTSerif-Bold"/>
                <w:b/>
                <w:bCs/>
                <w:sz w:val="24"/>
                <w:szCs w:val="24"/>
              </w:rPr>
            </w:pPr>
            <w:r>
              <w:rPr>
                <w:rFonts w:cs="PTSerif-Bold" w:ascii="PT Serif" w:hAnsi="PT Serif"/>
                <w:b/>
                <w:bCs/>
                <w:sz w:val="20"/>
                <w:szCs w:val="20"/>
                <w:lang w:val="en-US"/>
              </w:rPr>
              <w:t>-</w:t>
            </w:r>
          </w:p>
          <w:p>
            <w:pPr>
              <w:pStyle w:val="Normal"/>
              <w:spacing w:before="0" w:after="200"/>
              <w:jc w:val="both"/>
              <w:rPr/>
            </w:pPr>
            <w:r>
              <w:rPr>
                <w:rFonts w:ascii="PT Serif" w:hAnsi="PT Serif"/>
                <w:b/>
                <w:sz w:val="18"/>
              </w:rPr>
              <w:t xml:space="preserve">DOI: </w:t>
            </w:r>
            <w:r>
              <w:rPr>
                <w:rFonts w:ascii="PT Serif" w:hAnsi="PT Serif"/>
                <w:b w:val="false"/>
                <w:sz w:val="18"/>
              </w:rPr>
            </w:r>
          </w:p>
        </w:tc>
      </w:tr>
    </w:tbl>
    <w:p>
      <w:pPr>
        <w:sectPr>
          <w:headerReference w:type="even" r:id="rId6"/>
          <w:headerReference w:type="default" r:id="rId7"/>
          <w:headerReference w:type="first" r:id="rId8"/>
          <w:footerReference w:type="default" r:id="rId28"/>
          <w:footerReference w:type="first" r:id="rId29"/>
          <w:type w:val="nextPage"/>
          <w:pgSz w:w="11906" w:h="16838"/>
          <w:pgMar w:left="1701" w:right="1701" w:gutter="0" w:header="708" w:top="1417" w:footer="0" w:bottom="1417"/>
          <w:pgNumType w:fmt="decimal"/>
          <w:formProt w:val="false"/>
          <w:textDirection w:val="lrTb"/>
          <w:docGrid w:type="default" w:linePitch="360" w:charSpace="4096"/>
        </w:sectPr>
      </w:pPr>
    </w:p>
    <w:tbl>
      <w:tblPr>
        <w:tblW w:w="918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01"/>
        <w:gridCol w:w="6378"/>
      </w:tblGrid>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mc:AlternateContent>
                <mc:Choice Requires="wps">
                  <w:drawing>
                    <wp:anchor behindDoc="0" distT="0" distB="0" distL="0" distR="0" simplePos="0" locked="0" layoutInCell="1" allowOverlap="1" relativeHeight="4" wp14:anchorId="542856FB">
                      <wp:simplePos x="0" y="0"/>
                      <wp:positionH relativeFrom="column">
                        <wp:posOffset>-279400</wp:posOffset>
                      </wp:positionH>
                      <wp:positionV relativeFrom="paragraph">
                        <wp:posOffset>-102870</wp:posOffset>
                      </wp:positionV>
                      <wp:extent cx="1556385" cy="374015"/>
                      <wp:effectExtent l="0" t="0" r="0" b="0"/>
                      <wp:wrapNone/>
                      <wp:docPr id="3" name="Imagen 3" descr="http://indret.b.wetopi.com/wp-content/themes/indret/img/logo.png">
                        <a:hlinkClick xmlns:a="http://schemas.openxmlformats.org/drawingml/2006/main" r:id="rId9"/>
                      </wp:docPr>
                      <a:graphic xmlns:a="http://schemas.openxmlformats.org/drawingml/2006/main">
                        <a:graphicData uri="http://schemas.openxmlformats.org/drawingml/2006/picture">
                          <pic:pic xmlns:pic="http://schemas.openxmlformats.org/drawingml/2006/picture">
                            <pic:nvPicPr>
                              <pic:cNvPr id="4" name="Imagen 3" descr="http://indret.b.wetopi.com/wp-content/themes/indret/img/logo.png"/>
                              <pic:cNvPicPr/>
                            </pic:nvPicPr>
                            <pic:blipFill>
                              <a:blip r:embed="rId10">
                                <a:extLst>
                                  <a:ext uri="{BEBA8EAE-BF5A-486C-A8C5-ECC9F3942E4B}">
                                    <a14:imgProps xmlns:a14="http://schemas.microsoft.com/office/drawing/2010/main">
                                      <a14:imgLayer r:embed="rId4">
                                        <a14:imgEffect>
                                          <a14:brightnessContrast amount="-21000" bright="2000" contrast="-100000"/>
                                        </a14:imgEffect>
                                      </a14:imgLayer>
                                    </a14:imgProps>
                                  </a:ext>
                                </a:extLst>
                              </a:blip>
                              <a:stretch/>
                            </pic:blipFill>
                            <pic:spPr>
                              <a:xfrm>
                                <a:off x="0" y="0"/>
                                <a:ext cx="1556280" cy="374040"/>
                              </a:xfrm>
                              <a:prstGeom prst="rect">
                                <a:avLst/>
                              </a:prstGeom>
                              <a:noFill/>
                              <a:ln w="0">
                                <a:noFill/>
                              </a:ln>
                            </pic:spPr>
                          </pic:pic>
                        </a:graphicData>
                      </a:graphic>
                    </wp:anchor>
                  </w:drawing>
                </mc:Choice>
                <mc:Fallback>
                  <w:pict>
                    <v:shape id="shape_0" ID="Imagen 3" stroked="f" href="http://indret.b.wetopi.com/" o:allowincell="t" style="position:absolute;margin-left:-22pt;margin-top:-8.1pt;width:122.5pt;height:29.4pt;mso-wrap-style:none;v-text-anchor:middle" wp14:anchorId="542856FB" type="_x0000_t75">
                      <v:imagedata r:id="rId11" o:detectmouseclick="t"/>
                      <v:stroke color="#3465a4" joinstyle="round" endcap="flat"/>
                      <w10:wrap type="none"/>
                    </v:shape>
                  </w:pict>
                </mc:Fallback>
              </mc:AlternateConten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t>InDret 1.2025</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Recepción</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Aceptación</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jc w:val="both"/>
              <w:rPr>
                <w:rFonts w:ascii="PT Serif" w:hAnsi="PT Serif" w:cs="Open Sans"/>
                <w:b/>
                <w:bCs/>
                <w:sz w:val="20"/>
                <w:szCs w:val="20"/>
              </w:rPr>
            </w:pPr>
            <w:r>
              <w:rPr>
                <w:rFonts w:cs="Open Sans" w:ascii="PT Serif" w:hAnsi="PT Serif"/>
                <w:b/>
                <w:bCs/>
                <w:sz w:val="20"/>
                <w:szCs w:val="20"/>
              </w:rPr>
              <w:t>Índice</w:t>
            </w:r>
          </w:p>
          <w:p>
            <w:pPr>
              <w:pStyle w:val="Normal"/>
              <w:spacing w:lineRule="auto" w:line="240" w:before="0" w:after="0"/>
              <w:jc w:val="both"/>
              <w:rPr>
                <w:rFonts w:ascii="PT Serif" w:hAnsi="PT Serif" w:cs="Open Sans"/>
                <w:b/>
                <w:bCs/>
                <w:sz w:val="20"/>
                <w:szCs w:val="20"/>
              </w:rPr>
            </w:pPr>
            <w:r>
              <w:rPr>
                <w:rFonts w:cs="Open Sans" w:ascii="PT Serif" w:hAnsi="PT Serif"/>
                <w:b/>
                <w:bCs/>
                <w:sz w:val="20"/>
                <w:szCs w:val="20"/>
              </w:rPr>
              <w:t>-</w:t>
            </w:r>
          </w:p>
          <w:p>
            <w:pPr>
              <w:pStyle w:val="Normal"/>
              <w:spacing w:lineRule="auto" w:line="240" w:before="0" w:after="0"/>
              <w:jc w:val="both"/>
              <w:rPr>
                <w:rFonts w:ascii="PT Serif" w:hAnsi="PT Serif"/>
                <w:sz w:val="18"/>
                <w:szCs w:val="18"/>
              </w:rPr>
            </w:pPr>
            <w:r>
              <w:rPr>
                <w:rFonts w:ascii="PT Serif" w:hAnsi="PT Serif"/>
                <w:sz w:val="18"/>
                <w:szCs w:val="18"/>
              </w:rPr>
            </w:r>
          </w:p>
          <w:p>
            <w:pPr>
              <w:pStyle w:val="Normal"/>
              <w:spacing w:lineRule="auto" w:line="240" w:before="0" w:after="0"/>
              <w:jc w:val="both"/>
              <w:rPr>
                <w:rFonts w:ascii="PT Serif" w:hAnsi="PT Serif"/>
                <w:sz w:val="18"/>
                <w:szCs w:val="18"/>
              </w:rPr>
            </w:pPr>
            <w:r>
              <w:rPr>
                <w:rFonts w:ascii="PT Serif" w:hAnsi="PT Serif"/>
                <w:sz w:val="18"/>
                <w:szCs w:val="18"/>
              </w:rPr>
            </w:r>
          </w:p>
          <w:p>
            <w:pPr>
              <w:spacing w:line="240" w:lineRule="auto" w:after="0" w:before="0"/>
              <w:ind w:left="480" w:hanging="480"/>
              <w:tabs>
                <w:tab w:val="left" w:pos="480"/>
              </w:tabs>
              <w:jc w:val="left"/>
            </w:pPr>
            <w:r>
              <w:rPr>
                <w:rFonts w:ascii="PT Serif" w:hAnsi="PT Serif" w:cs="PT Serif"/>
                <w:b/>
                <w:i/>
                <w:sz w:val="18"/>
                <w:szCs w:val="18"/>
              </w:rPr>
              <w:t xml:space="preserve">1.	Sumisión exclusiva a la ley, examen de legitimidad y garantía jurisdiccional de derechos humanos</w:t>
            </w:r>
          </w:p>
          <w:p>
            <w:pPr>
              <w:spacing w:line="240" w:lineRule="auto" w:after="0" w:before="0"/>
              <w:ind w:left="480" w:hanging="480"/>
              <w:tabs>
                <w:tab w:val="left" w:pos="480"/>
              </w:tabs>
              <w:jc w:val="left"/>
            </w:pPr>
            <w:r>
              <w:rPr>
                <w:rFonts w:ascii="PT Serif" w:hAnsi="PT Serif" w:cs="PT Serif"/>
                <w:b/>
                <w:i/>
                <w:sz w:val="18"/>
                <w:szCs w:val="18"/>
              </w:rPr>
              <w:t xml:space="preserve">2.	Cuestión de inconstitucionalidad e inconvencionalidad de normas internas: a propósito de los derechos humanos de víctimas de violencia de género (ATC 301/2023, 6 junio)</w:t>
            </w:r>
          </w:p>
          <w:p>
            <w:pPr>
              <w:spacing w:line="240" w:lineRule="auto" w:after="0" w:before="0"/>
              <w:ind w:left="960" w:hanging="480"/>
              <w:tabs>
                <w:tab w:val="left" w:pos="960"/>
              </w:tabs>
              <w:jc w:val="left"/>
            </w:pPr>
            <w:r>
              <w:rPr>
                <w:rFonts w:ascii="PT Serif" w:hAnsi="PT Serif" w:cs="PT Serif"/>
                <w:sz w:val="18"/>
                <w:szCs w:val="18"/>
              </w:rPr>
              <w:t xml:space="preserve">2.1.	Antecedentes</w:t>
            </w:r>
          </w:p>
          <w:p>
            <w:pPr>
              <w:spacing w:line="240" w:lineRule="auto" w:after="0" w:before="0"/>
              <w:ind w:left="960" w:hanging="480"/>
              <w:tabs>
                <w:tab w:val="left" w:pos="960"/>
              </w:tabs>
              <w:jc w:val="left"/>
            </w:pPr>
            <w:r>
              <w:rPr>
                <w:rFonts w:ascii="PT Serif" w:hAnsi="PT Serif" w:cs="PT Serif"/>
                <w:sz w:val="18"/>
                <w:szCs w:val="18"/>
              </w:rPr>
              <w:t xml:space="preserve">2.2.	Violencia de género y legítima viudal</w:t>
            </w:r>
          </w:p>
          <w:p>
            <w:pPr>
              <w:spacing w:line="240" w:lineRule="auto" w:after="0" w:before="0"/>
              <w:ind w:left="1440" w:hanging="480"/>
              <w:tabs>
                <w:tab w:val="left" w:pos="1440"/>
              </w:tabs>
              <w:jc w:val="left"/>
            </w:pPr>
            <w:r>
              <w:rPr>
                <w:rFonts w:ascii="PT Serif" w:hAnsi="PT Serif" w:cs="PT Serif"/>
                <w:sz w:val="18"/>
                <w:szCs w:val="18"/>
              </w:rPr>
              <w:t xml:space="preserve">2.2.1.	Convenio de Estambul y derechos de las víctimas</w:t>
            </w:r>
          </w:p>
          <w:p>
            <w:pPr>
              <w:spacing w:line="240" w:lineRule="auto" w:after="0" w:before="0"/>
              <w:ind w:left="1440" w:hanging="480"/>
              <w:tabs>
                <w:tab w:val="left" w:pos="1440"/>
              </w:tabs>
              <w:jc w:val="left"/>
            </w:pPr>
            <w:r>
              <w:rPr>
                <w:rFonts w:ascii="PT Serif" w:hAnsi="PT Serif" w:cs="PT Serif"/>
                <w:sz w:val="18"/>
                <w:szCs w:val="18"/>
              </w:rPr>
              <w:t xml:space="preserve">2.2.2.	Ratio del art. 834 CC</w:t>
            </w:r>
          </w:p>
          <w:p>
            <w:pPr>
              <w:spacing w:line="240" w:lineRule="auto" w:after="0" w:before="0"/>
              <w:ind w:left="960" w:hanging="480"/>
              <w:tabs>
                <w:tab w:val="left" w:pos="960"/>
              </w:tabs>
              <w:jc w:val="left"/>
            </w:pPr>
            <w:r>
              <w:rPr>
                <w:rFonts w:ascii="PT Serif" w:hAnsi="PT Serif" w:cs="PT Serif"/>
                <w:sz w:val="18"/>
                <w:szCs w:val="18"/>
              </w:rPr>
              <w:t xml:space="preserve">2.3.	Inadmisión de la cuestión: los tratados internacionales no integran el bloque de constitucionalidad</w:t>
            </w:r>
          </w:p>
          <w:p>
            <w:pPr>
              <w:spacing w:line="240" w:lineRule="auto" w:after="0" w:before="0"/>
              <w:ind w:left="480" w:hanging="480"/>
              <w:tabs>
                <w:tab w:val="left" w:pos="480"/>
              </w:tabs>
              <w:jc w:val="left"/>
            </w:pPr>
            <w:r>
              <w:rPr>
                <w:rFonts w:ascii="PT Serif" w:hAnsi="PT Serif" w:cs="PT Serif"/>
                <w:b/>
                <w:i/>
                <w:sz w:val="18"/>
                <w:szCs w:val="18"/>
              </w:rPr>
              <w:t xml:space="preserve">3.	Parámetros y principios para el control de convencionalidad en general, y en especial, en materia de derechos humanos</w:t>
            </w:r>
          </w:p>
          <w:p>
            <w:pPr>
              <w:spacing w:line="240" w:lineRule="auto" w:after="0" w:before="0"/>
              <w:ind w:left="960" w:hanging="480"/>
              <w:tabs>
                <w:tab w:val="left" w:pos="960"/>
              </w:tabs>
              <w:jc w:val="left"/>
            </w:pPr>
            <w:r>
              <w:rPr>
                <w:rFonts w:ascii="PT Serif" w:hAnsi="PT Serif" w:cs="PT Serif"/>
                <w:sz w:val="18"/>
                <w:szCs w:val="18"/>
              </w:rPr>
              <w:t xml:space="preserve">3.1.	Introducción</w:t>
            </w:r>
          </w:p>
          <w:p>
            <w:pPr>
              <w:spacing w:line="240" w:lineRule="auto" w:after="0" w:before="0"/>
              <w:ind w:left="960" w:hanging="480"/>
              <w:tabs>
                <w:tab w:val="left" w:pos="960"/>
              </w:tabs>
              <w:jc w:val="left"/>
            </w:pPr>
            <w:r>
              <w:rPr>
                <w:rFonts w:ascii="PT Serif" w:hAnsi="PT Serif" w:cs="PT Serif"/>
                <w:sz w:val="18"/>
                <w:szCs w:val="18"/>
              </w:rPr>
              <w:t xml:space="preserve">3.2.	Parámetros en la jurisprudencia constitucional</w:t>
            </w:r>
          </w:p>
          <w:p>
            <w:pPr>
              <w:spacing w:line="240" w:lineRule="auto" w:after="0" w:before="0"/>
              <w:ind w:left="1440" w:hanging="480"/>
              <w:tabs>
                <w:tab w:val="left" w:pos="1440"/>
              </w:tabs>
              <w:jc w:val="left"/>
            </w:pPr>
            <w:r>
              <w:rPr>
                <w:rFonts w:ascii="PT Serif" w:hAnsi="PT Serif" w:cs="PT Serif"/>
                <w:sz w:val="18"/>
                <w:szCs w:val="18"/>
              </w:rPr>
              <w:t xml:space="preserve">3.2.1.	Debate en torno al carácter abstracto o difuso (STC 270/2015, 17 diciembre (Pleno)</w:t>
            </w:r>
          </w:p>
          <w:p>
            <w:pPr>
              <w:spacing w:line="240" w:lineRule="auto" w:after="0" w:before="0"/>
              <w:ind w:left="1440" w:hanging="480"/>
              <w:tabs>
                <w:tab w:val="left" w:pos="1440"/>
              </w:tabs>
              <w:jc w:val="left"/>
            </w:pPr>
            <w:r>
              <w:rPr>
                <w:rFonts w:ascii="PT Serif" w:hAnsi="PT Serif" w:cs="PT Serif"/>
                <w:sz w:val="18"/>
                <w:szCs w:val="18"/>
              </w:rPr>
              <w:t xml:space="preserve">3.2.2.	Fijación del carácter difuso (STC 140/2018, 20 diciembre (Pleno)</w:t>
            </w:r>
          </w:p>
          <w:p>
            <w:pPr>
              <w:spacing w:line="240" w:lineRule="auto" w:after="0" w:before="0"/>
              <w:ind w:left="1440" w:hanging="480"/>
              <w:tabs>
                <w:tab w:val="left" w:pos="1440"/>
              </w:tabs>
              <w:jc w:val="left"/>
            </w:pPr>
            <w:r>
              <w:rPr>
                <w:rFonts w:ascii="PT Serif" w:hAnsi="PT Serif" w:cs="PT Serif"/>
                <w:sz w:val="18"/>
                <w:szCs w:val="18"/>
              </w:rPr>
              <w:t xml:space="preserve">3.2.3.	Alcance de la intervención del TC ex post vía “recurso” de amparo</w:t>
            </w:r>
          </w:p>
          <w:p>
            <w:pPr>
              <w:spacing w:line="240" w:lineRule="auto" w:after="0" w:before="0"/>
              <w:ind w:left="480" w:hanging="480"/>
              <w:tabs>
                <w:tab w:val="left" w:pos="480"/>
              </w:tabs>
              <w:jc w:val="left"/>
            </w:pPr>
            <w:r>
              <w:rPr>
                <w:rFonts w:ascii="PT Serif" w:hAnsi="PT Serif" w:cs="PT Serif"/>
                <w:b/>
                <w:i/>
                <w:sz w:val="18"/>
                <w:szCs w:val="18"/>
              </w:rPr>
              <w:t xml:space="preserve">a. STC 10/2019, 28 enero (Sala 2ª)</w:t>
            </w:r>
          </w:p>
          <w:p>
            <w:pPr>
              <w:spacing w:line="240" w:lineRule="auto" w:after="0" w:before="0"/>
              <w:ind w:left="480" w:hanging="480"/>
              <w:tabs>
                <w:tab w:val="left" w:pos="480"/>
              </w:tabs>
              <w:jc w:val="left"/>
            </w:pPr>
            <w:r>
              <w:rPr>
                <w:rFonts w:ascii="PT Serif" w:hAnsi="PT Serif" w:cs="PT Serif"/>
                <w:b/>
                <w:i/>
                <w:sz w:val="18"/>
                <w:szCs w:val="18"/>
              </w:rPr>
              <w:t xml:space="preserve">b. STC 80/2019, 17 junio (Pleno)</w:t>
            </w:r>
          </w:p>
          <w:p>
            <w:pPr>
              <w:spacing w:line="240" w:lineRule="auto" w:after="0" w:before="0"/>
              <w:ind w:left="960" w:hanging="480"/>
              <w:tabs>
                <w:tab w:val="left" w:pos="960"/>
              </w:tabs>
              <w:jc w:val="left"/>
            </w:pPr>
            <w:r>
              <w:rPr>
                <w:rFonts w:ascii="PT Serif" w:hAnsi="PT Serif" w:cs="PT Serif"/>
                <w:sz w:val="18"/>
                <w:szCs w:val="18"/>
              </w:rPr>
              <w:t xml:space="preserve">3.3.	Concurso de ley interna y convencional: prevalencia de los tratados y principio pro persona</w:t>
            </w:r>
          </w:p>
          <w:p>
            <w:pPr>
              <w:spacing w:line="240" w:lineRule="auto" w:after="0" w:before="0"/>
              <w:ind w:left="480" w:hanging="480"/>
              <w:tabs>
                <w:tab w:val="left" w:pos="480"/>
              </w:tabs>
              <w:jc w:val="left"/>
            </w:pPr>
            <w:r>
              <w:rPr>
                <w:rFonts w:ascii="PT Serif" w:hAnsi="PT Serif" w:cs="PT Serif"/>
                <w:b/>
                <w:i/>
                <w:sz w:val="18"/>
                <w:szCs w:val="18"/>
              </w:rPr>
              <w:t xml:space="preserve">4.	Bibliografía</w:t>
            </w:r>
          </w:p>
          <w:p>
            <w:pPr>
              <w:pStyle w:val="Normal"/>
              <w:spacing w:lineRule="auto" w:line="240" w:before="0" w:after="0"/>
              <w:jc w:val="both"/>
              <w:rPr>
                <w:rFonts w:ascii="PT Serif" w:hAnsi="PT Serif"/>
                <w:b/>
                <w:i/>
                <w:i/>
                <w:sz w:val="18"/>
                <w:szCs w:val="18"/>
              </w:rPr>
            </w:pPr>
            <w:r>
              <w:rPr>
                <w:rFonts w:cs="Open Sans" w:ascii="PT Serif" w:hAnsi="PT Serif"/>
                <w:i/>
                <w:sz w:val="18"/>
                <w:szCs w:val="18"/>
              </w:rPr>
              <w:br/>
            </w:r>
          </w:p>
          <w:p>
            <w:pPr>
              <w:pStyle w:val="Normal"/>
              <w:spacing w:lineRule="auto" w:line="240" w:before="0" w:after="0"/>
              <w:jc w:val="left"/>
              <w:rPr>
                <w:rFonts w:ascii="PT Serif" w:hAnsi="PT Serif" w:cs="PTSerif-Bold"/>
                <w:b/>
                <w:bCs/>
                <w:sz w:val="24"/>
                <w:szCs w:val="24"/>
              </w:rPr>
            </w:pPr>
            <w:r>
              <w:rPr>
                <w:rFonts w:cs="PTSerif-Bold" w:ascii="PT Serif" w:hAnsi="PT Serif"/>
                <w:b/>
                <w:bCs/>
                <w:sz w:val="20"/>
                <w:szCs w:val="20"/>
              </w:rPr>
              <w:t>-</w:t>
              <w:br/>
            </w:r>
            <w:r>
              <w:rPr>
                <w:rFonts w:cs="PTSerif-Bold" w:ascii="PT Serif" w:hAnsi="PT Serif"/>
                <w:b/>
                <w:bCs/>
                <w:sz w:val="24"/>
                <w:szCs w:val="24"/>
              </w:rPr>
              <w:br/>
            </w:r>
            <w:r>
              <w:rPr>
                <w:rFonts w:cs="Open Sans" w:ascii="Open Sans" w:hAnsi="Open Sans"/>
                <w:b w:val="false"/>
                <w:bCs w:val="false"/>
                <w:sz w:val="18"/>
                <w:szCs w:val="18"/>
              </w:rPr>
              <w:t xml:space="preserve">Este trabajo se publica con una licencia Creative Commons Reconocimiento-No Comercial 4.0 Internacional </w:t>
            </w:r>
            <w:r>
              <w:rPr/>
              <w:drawing>
                <wp:inline distT="0" distB="0" distL="0" distR="0">
                  <wp:extent cx="391795" cy="137795"/>
                  <wp:effectExtent l="0" t="0" r="0" b="0"/>
                  <wp:docPr id="5" name="image2.png" descr="Lice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icencia de Creative Commons"/>
                          <pic:cNvPicPr>
                            <a:picLocks noChangeAspect="1" noChangeArrowheads="1"/>
                          </pic:cNvPicPr>
                        </pic:nvPicPr>
                        <pic:blipFill>
                          <a:blip r:embed="rId12"/>
                          <a:stretch>
                            <a:fillRect/>
                          </a:stretch>
                        </pic:blipFill>
                        <pic:spPr bwMode="auto">
                          <a:xfrm>
                            <a:off x="0" y="0"/>
                            <a:ext cx="391795" cy="137795"/>
                          </a:xfrm>
                          <a:prstGeom prst="rect">
                            <a:avLst/>
                          </a:prstGeom>
                          <a:noFill/>
                        </pic:spPr>
                      </pic:pic>
                    </a:graphicData>
                  </a:graphic>
                </wp:inline>
              </w:drawing>
            </w:r>
          </w:p>
        </w:tc>
      </w:tr>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tc>
      </w:tr>
    </w:tbl>
    <w:p>
      <w:pPr>
        <w:sectPr>
          <w:headerReference w:type="even" r:id="rId13"/>
          <w:headerReference w:type="default" r:id="rId14"/>
          <w:headerReference w:type="first" r:id="rId15"/>
          <w:type w:val="nextPage"/>
          <w:pgSz w:w="11906" w:h="16838"/>
          <w:pgMar w:left="1701" w:right="1701" w:gutter="0" w:header="708" w:top="1417" w:footer="0" w:bottom="1417"/>
          <w:pgNumType w:fmt="decimal"/>
          <w:formProt w:val="false"/>
          <w:textDirection w:val="lrTb"/>
          <w:docGrid w:type="default" w:linePitch="360" w:charSpace="4096"/>
        </w:sectPr>
      </w:pPr>
    </w:p>
    <w:p w14:paraId="0085C6FE" w14:textId="77777777" w:rsidR="00591F1D" w:rsidRPr="00B56C86" w:rsidRDefault="00591F1D" w:rsidP="00591F1D">
      <w:pPr>
        <w:spacing w:after="0" w:line="264" w:lineRule="auto"/>
        <w:jc w:val="both"/>
        <w:rPr>
          <w:rFonts w:ascii="Open Sans" w:hAnsi="Open Sans" w:cs="Open Sans"/>
          <w:b/>
          <w:sz w:val="20"/>
          <w:szCs w:val="20"/>
          <w:lang w:val="en-GB"/>
        </w:rPr>
        <w:sectPr w:rsidR="00591F1D" w:rsidRPr="00B56C86" w:rsidSect="00591F1D">
          <w:pgSz w:w="11906" w:h="16838"/>
          <w:pgMar w:top="1417" w:right="1701" w:bottom="1417" w:left="1701" w:header="708" w:footer="708" w:gutter="0"/>
          <w:cols w:space="708"/>
          <w:docGrid w:linePitch="360"/>
        </w:sectPr>
      </w:pPr>
    </w:p>
    <w:p w14:paraId="33BA507C" w14:textId="77777777" w:rsidR="00591F1D" w:rsidRDefault="00591F1D" w:rsidP="00591F1D">
      <w:pPr>
        <w:spacing w:after="0" w:line="264" w:lineRule="auto"/>
        <w:jc w:val="both"/>
        <w:rPr>
          <w:rFonts w:ascii="Open Sans" w:hAnsi="Open Sans" w:cs="Open Sans"/>
          <w:b/>
          <w:sz w:val="20"/>
          <w:szCs w:val="20"/>
        </w:rPr>
      </w:pPr>
    </w:p>
    <w:p w14:paraId="0DAE6437" w14:textId="77777777" w:rsidR="00D67A98" w:rsidRDefault="00D67A98" w:rsidP="00591F1D">
      <w:pPr>
        <w:rPr>
          <w:rFonts w:ascii="Open Sans" w:hAnsi="Open Sans" w:cs="Open Sans"/>
          <w:b/>
          <w:sz w:val="20"/>
          <w:szCs w:val="20"/>
        </w:rPr>
        <w:sectPr w:rsidR="00D67A98">
          <w:pgSz w:w="11906" w:h="16838"/>
          <w:pgMar w:top="1417" w:right="1701" w:bottom="1417" w:left="1701" w:header="708" w:footer="708" w:gutter="0"/>
          <w:cols w:space="708"/>
          <w:docGrid w:linePitch="360"/>
        </w:sectPr>
      </w:pPr>
    </w:p>
    <w:p w14:paraId="76474A2C" w14:textId="77777777" w:rsidR="00E90992" w:rsidRDefault="00E90992" w:rsidP="00E90992">
      <w:pPr>
        <w:pStyle w:val="Pargrafdellista"/>
        <w:spacing w:after="0" w:line="264" w:lineRule="auto"/>
        <w:ind w:left="567"/>
        <w:jc w:val="both"/>
        <w:rPr>
          <w:rFonts w:ascii="Open Sans" w:hAnsi="Open Sans" w:cs="Open Sans"/>
          <w:b/>
        </w:rPr>
      </w:pPr>
    </w:p>
    <w:p w14:paraId="265B94F7" w14:textId="386818ED" w:rsidR="007F1B88" w:rsidRDefault="007F1B88" w:rsidP="007F1B88">
      <w:pPr>
        <w:spacing w:after="360" w:line="240" w:lineRule="auto" w:before="160"/>
        <w:jc w:val="both"/>
        <w:rPr>
          <w:rFonts w:ascii="Open Sans" w:hAnsi="Open Sans" w:cs="Open Sans"/>
          <w:b/>
        </w:rPr>
      </w:pPr>
      <w:r>
        <w:rPr>
          <w:rFonts w:ascii="Open Sans" w:hAnsi="Open Sans" w:cs="Open Sans"/>
          <w:b/>
          <w:i w:val="0"/>
          <w:sz w:val="22"/>
          <w:szCs w:val="20"/>
        </w:rPr>
        <w:t xml:space="preserve">1. </w:t>
      </w:r>
      <w:r w:rsidR="00D707EC" w:rsidRPr="007F1B88">
        <w:rPr>
          <w:rFonts w:ascii="Open Sans" w:hAnsi="Open Sans" w:cs="Open Sans"/>
          <w:b/>
          <w:i w:val="0"/>
          <w:sz w:val="22"/>
          <w:szCs w:val="20"/>
        </w:rPr>
        <w:t>Sumisión exclusiva a la ley</w:t>
      </w:r>
      <w:r w:rsidRPr="007F1B88">
        <w:rPr>
          <w:rFonts w:ascii="Open Sans" w:hAnsi="Open Sans" w:cs="Open Sans"/>
          <w:b/>
          <w:i w:val="0"/>
          <w:sz w:val="22"/>
          <w:szCs w:val="20"/>
        </w:rPr>
        <w:t xml:space="preserve">, </w:t>
      </w:r>
      <w:r w:rsidR="00D707EC" w:rsidRPr="007F1B88">
        <w:rPr>
          <w:rFonts w:ascii="Open Sans" w:hAnsi="Open Sans" w:cs="Open Sans"/>
          <w:b/>
          <w:i w:val="0"/>
          <w:sz w:val="22"/>
          <w:szCs w:val="20"/>
        </w:rPr>
        <w:t>examen de legitimidad</w:t>
      </w:r>
      <w:r w:rsidRPr="007F1B88">
        <w:rPr>
          <w:rFonts w:ascii="Open Sans" w:hAnsi="Open Sans" w:cs="Open Sans"/>
          <w:b/>
          <w:i w:val="0"/>
          <w:sz w:val="22"/>
          <w:szCs w:val="20"/>
        </w:rPr>
        <w:t xml:space="preserve"> y garantía jurisdiccional de derechos humanos</w:t>
      </w:r>
      <w:r w:rsidRPr="00E90992">
        <w:rPr>
          <w:rStyle w:val="Refernciadenotaapeudepgina"/>
          <w:rFonts w:ascii="Open Sans" w:hAnsi="Open Sans" w:cs="Open Sans"/>
          <w:b/>
          <w:i w:val="0"/>
          <w:sz w:val="22"/>
        </w:rPr>
        <w:footnoteReference w:customMarkFollows="1" w:id="1"/>
        <w:sym w:font="Symbol" w:char="F02A"/>
      </w:r>
    </w:p>
    <w:p w14:paraId="77562902" w14:textId="77777777" w:rsidR="00485DDC" w:rsidRPr="007F1B88" w:rsidRDefault="00485DDC" w:rsidP="007F1B88">
      <w:pPr>
        <w:spacing w:after="0" w:line="264" w:lineRule="auto"/>
        <w:jc w:val="both"/>
        <w:rPr>
          <w:rFonts w:ascii="Open Sans" w:hAnsi="Open Sans" w:cs="Open Sans"/>
          <w:b/>
        </w:rPr>
      </w:pPr>
    </w:p>
    <w:p w14:paraId="7DD9C11D" w14:textId="77777777" w:rsidR="00D707EC" w:rsidRPr="001237D0" w:rsidRDefault="00D707EC" w:rsidP="00D707EC">
      <w:pPr>
        <w:pStyle w:val="Sagniadetextindependent3"/>
        <w:spacing w:after="120" w:lineRule="auto" w:line="264"/>
        <w:ind w:left="0" w:firstLine="0"/>
        <w:jc w:val="both"/>
        <w:rPr>
          <w:rFonts w:ascii="PT Serif" w:eastAsiaTheme="minorHAnsi" w:hAnsi="PT Serif" w:cstheme="minorBidi"/>
          <w:sz w:val="20"/>
          <w:szCs w:val="20"/>
          <w:lang w:eastAsia="en-US"/>
        </w:rPr>
      </w:pPr>
      <w:r w:rsidRPr="001237D0">
        <w:rPr>
          <w:rFonts w:ascii="PT Serif" w:hAnsi="PT Serif" w:cs="PT Serif"/>
          <w:b w:val="0"/>
          <w:i w:val="0"/>
          <w:sz w:val="20"/>
          <w:szCs w:val="20"/>
          <w:lang w:eastAsia="en-US"/>
        </w:rPr>
        <w:t>La doctrina procesalista ha elaborado diferentes teorías para definir la función judicial</w:t>
      </w:r>
      <w:r>
        <w:rPr>
          <w:rStyle w:val="Refernciadenotaapeudepgina"/>
          <w:rFonts w:ascii="PT Serif" w:hAnsi="PT Serif" w:cs="PT Serif"/>
          <w:b w:val="0"/>
          <w:i w:val="0"/>
          <w:sz w:val="20"/>
          <w:szCs w:val="20"/>
          <w:lang w:eastAsia="en-US"/>
        </w:rPr>
        <w:footnoteReference w:id="2"/>
      </w:r>
      <w:r w:rsidRPr="001237D0">
        <w:rPr>
          <w:rFonts w:ascii="PT Serif" w:hAnsi="PT Serif" w:cs="PT Serif"/>
          <w:b w:val="0"/>
          <w:i w:val="0"/>
          <w:sz w:val="20"/>
          <w:szCs w:val="20"/>
          <w:lang w:eastAsia="en-US"/>
        </w:rPr>
        <w:t>, tanto subjetivas como objetivas. Para las primeras, la función jurisdiccional consiste en la tutela de derechos subjetivos de los particulares cuando necesitan protección</w:t>
      </w:r>
      <w:r>
        <w:rPr>
          <w:rStyle w:val="Refernciadenotaapeudepgina"/>
          <w:rFonts w:ascii="PT Serif" w:hAnsi="PT Serif" w:cs="PT Serif"/>
          <w:b w:val="0"/>
          <w:i w:val="0"/>
          <w:sz w:val="20"/>
          <w:szCs w:val="20"/>
          <w:lang w:eastAsia="en-US"/>
        </w:rPr>
        <w:footnoteReference w:id="3"/>
      </w:r>
      <w:r w:rsidRPr="001237D0">
        <w:rPr>
          <w:rFonts w:ascii="PT Serif" w:hAnsi="PT Serif" w:cs="PT Serif"/>
          <w:b w:val="0"/>
          <w:i w:val="0"/>
          <w:sz w:val="20"/>
          <w:szCs w:val="20"/>
          <w:lang w:eastAsia="en-US"/>
        </w:rPr>
        <w:t>. Dentro de esta modalidad, se ha entendido que la función de la Jurisdicción es la resolución de controversias entre derechos subjetivos</w:t>
      </w:r>
      <w:r>
        <w:rPr>
          <w:rStyle w:val="Refernciadenotaapeudepgina"/>
          <w:rFonts w:ascii="PT Serif" w:hAnsi="PT Serif" w:cs="PT Serif"/>
          <w:b w:val="0"/>
          <w:i w:val="0"/>
          <w:sz w:val="20"/>
          <w:szCs w:val="20"/>
          <w:lang w:eastAsia="en-US"/>
        </w:rPr>
        <w:footnoteReference w:id="4"/>
      </w:r>
      <w:r w:rsidRPr="001237D0">
        <w:rPr>
          <w:rFonts w:ascii="PT Serif" w:hAnsi="PT Serif" w:cs="PT Serif"/>
          <w:b w:val="0"/>
          <w:i w:val="0"/>
          <w:sz w:val="20"/>
          <w:szCs w:val="20"/>
          <w:lang w:eastAsia="en-US"/>
        </w:rPr>
        <w:t>. Sin embargo, esta teoría es incapaz de explicar todos los supuestos de actuación jurisdiccional en los que no están en juego ese tipo de derechos. Descartada la validez de las teorías subjetivas, la doctrina sostiene la adecuación de las objetivas para explicar la función jurisdiccional.</w:t>
      </w:r>
    </w:p>
    <w:p w14:paraId="25D266AE" w14:textId="77777777" w:rsidR="00D707EC" w:rsidRDefault="00D707EC" w:rsidP="00D707EC">
      <w:pPr>
        <w:pStyle w:val="03Texto"/>
        <w:spacing w:before="0"/>
        <w:ind w:firstLine="0"/>
        <w:rPr>
          <w:rFonts w:ascii="PT Serif" w:eastAsiaTheme="minorHAnsi" w:hAnsi="PT Serif" w:cstheme="minorBidi"/>
          <w:sz w:val="20"/>
          <w:lang w:eastAsia="en-US"/>
        </w:rPr>
      </w:pPr>
    </w:p>
    <w:p w14:paraId="08A5C538" w14:textId="4D5B09F3" w:rsidR="00D95264" w:rsidRDefault="00D707EC" w:rsidP="00D95264">
      <w:pPr>
        <w:pStyle w:val="03Texto"/>
        <w:spacing w:before="0" w:lineRule="auto" w:line="264" w:after="120"/>
        <w:ind w:firstLine="0"/>
        <w:jc w:val="both"/>
        <w:rPr>
          <w:rFonts w:ascii="PT Serif" w:eastAsiaTheme="minorHAnsi" w:hAnsi="PT Serif" w:cstheme="minorBidi"/>
          <w:sz w:val="20"/>
          <w:lang w:eastAsia="en-US"/>
        </w:rPr>
      </w:pPr>
      <w:r w:rsidRPr="001237D0">
        <w:rPr>
          <w:rFonts w:ascii="PT Serif" w:hAnsi="PT Serif" w:cs="PT Serif"/>
          <w:b w:val="0"/>
          <w:i w:val="0"/>
          <w:sz w:val="20"/>
          <w:lang w:eastAsia="en-US"/>
        </w:rPr>
        <w:t>Dejando a un lado las distintas formulaciones teóricas</w:t>
      </w:r>
      <w:r>
        <w:rPr>
          <w:rStyle w:val="Refernciadenotaapeudepgina"/>
          <w:rFonts w:ascii="PT Serif" w:hAnsi="PT Serif" w:cs="PT Serif"/>
          <w:b w:val="0"/>
          <w:i w:val="0"/>
          <w:sz w:val="20"/>
          <w:lang w:eastAsia="en-US"/>
        </w:rPr>
        <w:footnoteReference w:id="5"/>
      </w:r>
      <w:r w:rsidRPr="001237D0">
        <w:rPr>
          <w:rFonts w:ascii="PT Serif" w:hAnsi="PT Serif" w:cs="PT Serif"/>
          <w:b w:val="0"/>
          <w:i w:val="0"/>
          <w:sz w:val="20"/>
          <w:lang w:eastAsia="en-US"/>
        </w:rPr>
        <w:t>, existe unanimidad en sostener que la función de la Jurisdicción consiste en la actuación del Derecho objetivo al caso concreto. Esta</w:t>
      </w:r>
      <w:r>
        <w:rPr>
          <w:rFonts w:ascii="PT Serif" w:hAnsi="PT Serif" w:cs="PT Serif"/>
          <w:b w:val="0"/>
          <w:i w:val="0"/>
          <w:sz w:val="20"/>
          <w:lang w:eastAsia="en-US"/>
        </w:rPr>
        <w:t xml:space="preserve"> </w:t>
      </w:r>
      <w:r w:rsidRPr="001237D0">
        <w:rPr>
          <w:rFonts w:ascii="PT Serif" w:hAnsi="PT Serif" w:cs="PT Serif"/>
          <w:b w:val="0"/>
          <w:i w:val="0"/>
          <w:sz w:val="20"/>
          <w:lang w:eastAsia="en-US"/>
        </w:rPr>
        <w:t>concepción tiene como ventaja ofrecer una visión unitaria de la Jurisdicción en cuanto potestad o función estatal</w:t>
      </w:r>
      <w:r>
        <w:rPr>
          <w:rStyle w:val="Refernciadenotaapeudepgina"/>
          <w:rFonts w:ascii="PT Serif" w:hAnsi="PT Serif" w:cs="PT Serif"/>
          <w:b w:val="0"/>
          <w:i w:val="0"/>
          <w:sz w:val="20"/>
          <w:lang w:eastAsia="en-US"/>
        </w:rPr>
        <w:footnoteReference w:id="6"/>
      </w:r>
      <w:r w:rsidRPr="001237D0">
        <w:rPr>
          <w:rFonts w:ascii="PT Serif" w:hAnsi="PT Serif" w:cs="PT Serif"/>
          <w:b w:val="0"/>
          <w:i w:val="0"/>
          <w:sz w:val="20"/>
          <w:lang w:eastAsia="en-US"/>
        </w:rPr>
        <w:t xml:space="preserve">, y es la que se deriva de la redacción del artículo 117.3 </w:t>
      </w:r>
      <w:r>
        <w:rPr>
          <w:rFonts w:ascii="PT Serif" w:hAnsi="PT Serif" w:cs="PT Serif"/>
          <w:b w:val="0"/>
          <w:i w:val="0"/>
          <w:sz w:val="20"/>
          <w:lang w:eastAsia="en-US"/>
        </w:rPr>
        <w:t>de la Constitución de 1978 (en adelante, “</w:t>
      </w:r>
      <w:r w:rsidRPr="001237D0">
        <w:rPr>
          <w:rFonts w:ascii="PT Serif" w:hAnsi="PT Serif" w:cs="PT Serif"/>
          <w:b w:val="0"/>
          <w:i w:val="0"/>
          <w:sz w:val="20"/>
          <w:lang w:eastAsia="en-US"/>
        </w:rPr>
        <w:t>CE</w:t>
      </w:r>
      <w:r>
        <w:rPr>
          <w:rFonts w:ascii="PT Serif" w:hAnsi="PT Serif" w:cs="PT Serif"/>
          <w:b w:val="0"/>
          <w:i w:val="0"/>
          <w:sz w:val="20"/>
          <w:lang w:eastAsia="en-US"/>
        </w:rPr>
        <w:t>”)</w:t>
      </w:r>
      <w:r w:rsidRPr="001237D0">
        <w:rPr>
          <w:rFonts w:ascii="PT Serif" w:hAnsi="PT Serif" w:cs="PT Serif"/>
          <w:b w:val="0"/>
          <w:i w:val="0"/>
          <w:sz w:val="20"/>
          <w:lang w:eastAsia="en-US"/>
        </w:rPr>
        <w:t>.</w:t>
      </w:r>
      <w:r w:rsidR="003F174C">
        <w:rPr>
          <w:rFonts w:ascii="PT Serif" w:hAnsi="PT Serif" w:cs="PT Serif"/>
          <w:b w:val="0"/>
          <w:i w:val="0"/>
          <w:sz w:val="20"/>
          <w:lang w:eastAsia="en-US"/>
        </w:rPr>
        <w:t xml:space="preserve"> </w:t>
      </w:r>
      <w:r w:rsidR="00D95264">
        <w:rPr>
          <w:rFonts w:ascii="PT Serif" w:hAnsi="PT Serif" w:cs="PT Serif"/>
          <w:b w:val="0"/>
          <w:i w:val="0"/>
          <w:sz w:val="20"/>
          <w:lang w:eastAsia="en-US"/>
        </w:rPr>
        <w:t xml:space="preserve">Somos conscientes de que la </w:t>
      </w:r>
      <w:r w:rsidR="007F1B88">
        <w:rPr>
          <w:rFonts w:ascii="PT Serif" w:hAnsi="PT Serif" w:cs="PT Serif"/>
          <w:b w:val="0"/>
          <w:i w:val="0"/>
          <w:sz w:val="20"/>
          <w:lang w:eastAsia="en-US"/>
        </w:rPr>
        <w:t>Administración</w:t>
      </w:r>
      <w:r w:rsidR="00D95264">
        <w:rPr>
          <w:rFonts w:ascii="PT Serif" w:hAnsi="PT Serif" w:cs="PT Serif"/>
          <w:b w:val="0"/>
          <w:i w:val="0"/>
          <w:sz w:val="20"/>
          <w:lang w:eastAsia="en-US"/>
        </w:rPr>
        <w:t xml:space="preserve"> pública también aplica el Derecho al caso concreto</w:t>
      </w:r>
      <w:r w:rsidR="00D95264">
        <w:rPr>
          <w:rStyle w:val="Refernciadenotaapeudepgina"/>
          <w:rFonts w:ascii="PT Serif" w:hAnsi="PT Serif" w:cs="PT Serif"/>
          <w:b w:val="0"/>
          <w:i w:val="0"/>
          <w:sz w:val="20"/>
          <w:lang w:eastAsia="en-US"/>
        </w:rPr>
        <w:footnoteReference w:id="7"/>
      </w:r>
      <w:r>
        <w:rPr>
          <w:rFonts w:ascii="PT Serif" w:hAnsi="PT Serif" w:cs="PT Serif"/>
          <w:b w:val="0"/>
          <w:i w:val="0"/>
          <w:sz w:val="20"/>
          <w:lang w:eastAsia="en-US"/>
        </w:rPr>
        <w:t xml:space="preserve">, si bien, lo hace de distinta manera que la Jurisdicción y con diferente </w:t>
      </w:r>
      <w:r>
        <w:rPr>
          <w:rFonts w:ascii="PT Serif" w:hAnsi="PT Serif" w:cs="PT Serif"/>
          <w:b w:val="0"/>
          <w:i w:val="0"/>
          <w:sz w:val="20"/>
          <w:lang w:eastAsia="en-US"/>
        </w:rPr>
        <w:lastRenderedPageBreak/>
        <w:t>eficacia</w:t>
      </w:r>
      <w:r w:rsidR="00D95264">
        <w:rPr>
          <w:rStyle w:val="Refernciadenotaapeudepgina"/>
          <w:rFonts w:ascii="PT Serif" w:hAnsi="PT Serif" w:cs="PT Serif"/>
          <w:b w:val="0"/>
          <w:i w:val="0"/>
          <w:sz w:val="20"/>
          <w:lang w:eastAsia="en-US"/>
        </w:rPr>
        <w:footnoteReference w:id="8"/>
      </w:r>
      <w:r>
        <w:rPr>
          <w:rFonts w:ascii="PT Serif" w:hAnsi="PT Serif" w:cs="PT Serif"/>
          <w:b w:val="0"/>
          <w:i w:val="0"/>
          <w:sz w:val="20"/>
          <w:lang w:eastAsia="en-US"/>
        </w:rPr>
        <w:t xml:space="preserve">. </w:t>
      </w:r>
      <w:r w:rsidR="00D95264">
        <w:rPr>
          <w:rFonts w:ascii="PT Serif" w:hAnsi="PT Serif" w:cs="PT Serif"/>
          <w:b w:val="0"/>
          <w:i w:val="0"/>
          <w:sz w:val="20"/>
          <w:lang w:eastAsia="en-US"/>
        </w:rPr>
        <w:t>Así, es preciso indicar que la potestad jurisdiccional consiste en la actuación del Derecho objetivo por vía de heterotutela y con valor de cosa juzgada</w:t>
      </w:r>
      <w:r w:rsidR="00D95264">
        <w:rPr>
          <w:rStyle w:val="Refernciadenotaapeudepgina"/>
          <w:rFonts w:ascii="PT Serif" w:hAnsi="PT Serif" w:cs="PT Serif"/>
          <w:b w:val="0"/>
          <w:i w:val="0"/>
          <w:sz w:val="20"/>
        </w:rPr>
        <w:footnoteReference w:id="9"/>
      </w:r>
      <w:r w:rsidR="00D95264">
        <w:rPr>
          <w:rFonts w:ascii="PT Serif" w:hAnsi="PT Serif" w:cs="PT Serif"/>
          <w:b w:val="0"/>
          <w:i w:val="0"/>
          <w:sz w:val="20"/>
          <w:lang w:eastAsia="en-US"/>
        </w:rPr>
        <w:t>.</w:t>
      </w:r>
    </w:p>
    <w:p w14:paraId="36F68AAD" w14:textId="77777777" w:rsidR="00451CDB" w:rsidRDefault="00451CDB" w:rsidP="00D95264">
      <w:pPr>
        <w:pStyle w:val="03Texto"/>
        <w:spacing w:before="0"/>
        <w:ind w:firstLine="0"/>
        <w:rPr>
          <w:rFonts w:ascii="PT Serif" w:eastAsiaTheme="minorHAnsi" w:hAnsi="PT Serif" w:cstheme="minorBidi"/>
          <w:sz w:val="20"/>
          <w:lang w:eastAsia="en-US"/>
        </w:rPr>
      </w:pPr>
    </w:p>
    <w:p w14:paraId="5C46AD36" w14:textId="77777777" w:rsidR="00434EBB" w:rsidRDefault="00D95264" w:rsidP="00D707EC">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En este contexto en que nos estamos moviendo, indicamos que descartamos como objeto de nuestro estudio los supuestos en que los órganos administrativos aplican al caso concreto normas jur</w:t>
      </w:r>
      <w:r w:rsidR="00313B51">
        <w:rPr>
          <w:rFonts w:ascii="PT Serif" w:hAnsi="PT Serif" w:cs="PT Serif"/>
          <w:b w:val="0"/>
          <w:i w:val="0"/>
          <w:sz w:val="20"/>
          <w:lang w:eastAsia="en-US"/>
        </w:rPr>
        <w:t xml:space="preserve">ídicas. Nuestro objetivo es prestar atención a la posición de los jueces y juezas de la Jurisdicción ordinaria en relación con la ley. </w:t>
      </w:r>
    </w:p>
    <w:p w14:paraId="075B3921" w14:textId="77777777" w:rsidR="00451CDB" w:rsidRDefault="00451CDB" w:rsidP="00D707EC">
      <w:pPr>
        <w:pStyle w:val="03Texto"/>
        <w:spacing w:before="0"/>
        <w:ind w:firstLine="0"/>
        <w:rPr>
          <w:rFonts w:ascii="PT Serif" w:eastAsiaTheme="minorHAnsi" w:hAnsi="PT Serif" w:cstheme="minorBidi"/>
          <w:sz w:val="20"/>
          <w:lang w:eastAsia="en-US"/>
        </w:rPr>
      </w:pPr>
    </w:p>
    <w:p w14:paraId="5EFE2339" w14:textId="3C7B2BA8" w:rsidR="00313B51" w:rsidRDefault="00D707EC" w:rsidP="00D707EC">
      <w:pPr>
        <w:pStyle w:val="03Texto"/>
        <w:spacing w:before="0" w:lineRule="auto" w:line="264" w:after="120"/>
        <w:ind w:firstLine="0"/>
        <w:jc w:val="both"/>
        <w:rPr>
          <w:rFonts w:ascii="PT Serif" w:eastAsiaTheme="minorHAnsi" w:hAnsi="PT Serif" w:cstheme="minorBidi"/>
          <w:sz w:val="20"/>
          <w:lang w:eastAsia="en-US"/>
        </w:rPr>
      </w:pPr>
      <w:r w:rsidRPr="001237D0">
        <w:rPr>
          <w:rFonts w:ascii="PT Serif" w:hAnsi="PT Serif" w:cs="PT Serif"/>
          <w:b w:val="0"/>
          <w:i w:val="0"/>
          <w:sz w:val="20"/>
          <w:lang w:eastAsia="en-US"/>
        </w:rPr>
        <w:t xml:space="preserve">Al respecto, la doctrina ha señalado cuál </w:t>
      </w:r>
      <w:r w:rsidR="00313B51">
        <w:rPr>
          <w:rFonts w:ascii="PT Serif" w:hAnsi="PT Serif" w:cs="PT Serif"/>
          <w:b w:val="0"/>
          <w:i w:val="0"/>
          <w:sz w:val="20"/>
          <w:lang w:eastAsia="en-US"/>
        </w:rPr>
        <w:t xml:space="preserve">debe ser esa </w:t>
      </w:r>
      <w:r w:rsidRPr="001237D0">
        <w:rPr>
          <w:rFonts w:ascii="PT Serif" w:hAnsi="PT Serif" w:cs="PT Serif"/>
          <w:b w:val="0"/>
          <w:i w:val="0"/>
          <w:sz w:val="20"/>
          <w:lang w:eastAsia="en-US"/>
        </w:rPr>
        <w:t>posición</w:t>
      </w:r>
      <w:r w:rsidR="00313B51">
        <w:rPr>
          <w:rFonts w:ascii="PT Serif" w:hAnsi="PT Serif" w:cs="PT Serif"/>
          <w:b w:val="0"/>
          <w:i w:val="0"/>
          <w:sz w:val="20"/>
          <w:lang w:eastAsia="en-US"/>
        </w:rPr>
        <w:t xml:space="preserve">: </w:t>
      </w:r>
      <w:r w:rsidRPr="001237D0">
        <w:rPr>
          <w:rFonts w:ascii="PT Serif" w:hAnsi="PT Serif" w:cs="PT Serif"/>
          <w:b w:val="0"/>
          <w:i w:val="0"/>
          <w:sz w:val="20"/>
          <w:lang w:eastAsia="en-US"/>
        </w:rPr>
        <w:t>la Jurisdicción ordinaria debe llevar a cabo un doble examen de legitimidad de las normas aplicables al cas</w:t>
      </w:r>
      <w:r>
        <w:rPr>
          <w:rFonts w:ascii="PT Serif" w:hAnsi="PT Serif" w:cs="PT Serif"/>
          <w:b w:val="0"/>
          <w:i w:val="0"/>
          <w:sz w:val="20"/>
          <w:lang w:eastAsia="en-US"/>
        </w:rPr>
        <w:t>o</w:t>
      </w:r>
      <w:r>
        <w:rPr>
          <w:rStyle w:val="Refernciadenotaapeudepgina"/>
          <w:rFonts w:ascii="PT Serif" w:hAnsi="PT Serif" w:cs="PT Serif"/>
          <w:b w:val="0"/>
          <w:i w:val="0"/>
          <w:sz w:val="20"/>
          <w:lang w:eastAsia="en-US"/>
        </w:rPr>
        <w:footnoteReference w:id="10"/>
      </w:r>
      <w:r w:rsidRPr="001237D0">
        <w:rPr>
          <w:rFonts w:ascii="PT Serif" w:hAnsi="PT Serif" w:cs="PT Serif"/>
          <w:b w:val="0"/>
          <w:i w:val="0"/>
          <w:sz w:val="20"/>
          <w:lang w:eastAsia="en-US"/>
        </w:rPr>
        <w:t>. Por un lado, un análisis jurídico formal, atendiendo a su aprobación y el procedimiento seguido para ello, y por otro, jurídico material, verificando si contradice o no norma de rango superior</w:t>
      </w:r>
      <w:r>
        <w:rPr>
          <w:rStyle w:val="Refernciadenotaapeudepgina"/>
          <w:rFonts w:ascii="PT Serif" w:hAnsi="PT Serif" w:cs="PT Serif"/>
          <w:b w:val="0"/>
          <w:i w:val="0"/>
          <w:sz w:val="20"/>
          <w:lang w:eastAsia="en-US"/>
        </w:rPr>
        <w:footnoteReference w:id="11"/>
      </w:r>
      <w:r w:rsidRPr="001237D0">
        <w:rPr>
          <w:rFonts w:ascii="PT Serif" w:hAnsi="PT Serif" w:cs="PT Serif"/>
          <w:b w:val="0"/>
          <w:i w:val="0"/>
          <w:sz w:val="20"/>
          <w:lang w:eastAsia="en-US"/>
        </w:rPr>
        <w:t xml:space="preserve">. </w:t>
      </w:r>
      <w:r w:rsidR="00313B51">
        <w:rPr>
          <w:rFonts w:ascii="PT Serif" w:hAnsi="PT Serif" w:cs="PT Serif"/>
          <w:b w:val="0"/>
          <w:i w:val="0"/>
          <w:sz w:val="20"/>
          <w:lang w:eastAsia="en-US"/>
        </w:rPr>
        <w:t>Por este motivo, e</w:t>
      </w:r>
      <w:r w:rsidRPr="001237D0">
        <w:rPr>
          <w:rFonts w:ascii="PT Serif" w:hAnsi="PT Serif" w:cs="PT Serif"/>
          <w:b w:val="0"/>
          <w:i w:val="0"/>
          <w:sz w:val="20"/>
          <w:lang w:eastAsia="en-US"/>
        </w:rPr>
        <w:t>n el caso en que se detecte esa contradicción, el juez</w:t>
      </w:r>
      <w:r w:rsidR="00313B51">
        <w:rPr>
          <w:rFonts w:ascii="PT Serif" w:hAnsi="PT Serif" w:cs="PT Serif"/>
          <w:b w:val="0"/>
          <w:i w:val="0"/>
          <w:sz w:val="20"/>
          <w:lang w:eastAsia="en-US"/>
        </w:rPr>
        <w:t xml:space="preserve"> o la jueza</w:t>
      </w:r>
      <w:r w:rsidRPr="001237D0">
        <w:rPr>
          <w:rFonts w:ascii="PT Serif" w:hAnsi="PT Serif" w:cs="PT Serif"/>
          <w:b w:val="0"/>
          <w:i w:val="0"/>
          <w:sz w:val="20"/>
          <w:lang w:eastAsia="en-US"/>
        </w:rPr>
        <w:t xml:space="preserve"> está</w:t>
      </w:r>
      <w:r w:rsidR="00313B51">
        <w:rPr>
          <w:rFonts w:ascii="PT Serif" w:hAnsi="PT Serif" w:cs="PT Serif"/>
          <w:b w:val="0"/>
          <w:i w:val="0"/>
          <w:sz w:val="20"/>
          <w:lang w:eastAsia="en-US"/>
        </w:rPr>
        <w:t>n</w:t>
      </w:r>
      <w:r w:rsidRPr="001237D0">
        <w:rPr>
          <w:rFonts w:ascii="PT Serif" w:hAnsi="PT Serif" w:cs="PT Serif"/>
          <w:b w:val="0"/>
          <w:i w:val="0"/>
          <w:sz w:val="20"/>
          <w:lang w:eastAsia="en-US"/>
        </w:rPr>
        <w:t xml:space="preserve"> legitimado</w:t>
      </w:r>
      <w:r w:rsidR="00313B51">
        <w:rPr>
          <w:rFonts w:ascii="PT Serif" w:hAnsi="PT Serif" w:cs="PT Serif"/>
          <w:b w:val="0"/>
          <w:i w:val="0"/>
          <w:sz w:val="20"/>
          <w:lang w:eastAsia="en-US"/>
        </w:rPr>
        <w:t>s</w:t>
      </w:r>
      <w:r w:rsidRPr="001237D0">
        <w:rPr>
          <w:rFonts w:ascii="PT Serif" w:hAnsi="PT Serif" w:cs="PT Serif"/>
          <w:b w:val="0"/>
          <w:i w:val="0"/>
          <w:sz w:val="20"/>
          <w:lang w:eastAsia="en-US"/>
        </w:rPr>
        <w:t xml:space="preserve"> para no aplicar </w:t>
      </w:r>
      <w:r w:rsidR="00313B51">
        <w:rPr>
          <w:rFonts w:ascii="PT Serif" w:hAnsi="PT Serif" w:cs="PT Serif"/>
          <w:b w:val="0"/>
          <w:i w:val="0"/>
          <w:sz w:val="20"/>
          <w:lang w:eastAsia="en-US"/>
        </w:rPr>
        <w:t>un</w:t>
      </w:r>
      <w:r w:rsidRPr="001237D0">
        <w:rPr>
          <w:rFonts w:ascii="PT Serif" w:hAnsi="PT Serif" w:cs="PT Serif"/>
          <w:b w:val="0"/>
          <w:i w:val="0"/>
          <w:sz w:val="20"/>
          <w:lang w:eastAsia="en-US"/>
        </w:rPr>
        <w:t xml:space="preserve"> reglamento ilegal, o </w:t>
      </w:r>
      <w:r w:rsidR="00313B51">
        <w:rPr>
          <w:rFonts w:ascii="PT Serif" w:hAnsi="PT Serif" w:cs="PT Serif"/>
          <w:b w:val="0"/>
          <w:i w:val="0"/>
          <w:sz w:val="20"/>
          <w:lang w:eastAsia="en-US"/>
        </w:rPr>
        <w:t>una</w:t>
      </w:r>
      <w:r w:rsidRPr="001237D0">
        <w:rPr>
          <w:rFonts w:ascii="PT Serif" w:hAnsi="PT Serif" w:cs="PT Serif"/>
          <w:b w:val="0"/>
          <w:i w:val="0"/>
          <w:sz w:val="20"/>
          <w:lang w:eastAsia="en-US"/>
        </w:rPr>
        <w:t xml:space="preserve"> norma inconstitucional previa a la CE.</w:t>
      </w:r>
    </w:p>
    <w:p w14:paraId="5C126E3A" w14:textId="77777777" w:rsidR="00451CDB" w:rsidRDefault="00451CDB" w:rsidP="00D707EC">
      <w:pPr>
        <w:pStyle w:val="03Texto"/>
        <w:spacing w:before="0"/>
        <w:ind w:firstLine="0"/>
        <w:rPr>
          <w:rFonts w:ascii="PT Serif" w:eastAsiaTheme="minorHAnsi" w:hAnsi="PT Serif" w:cstheme="minorBidi"/>
          <w:sz w:val="20"/>
          <w:lang w:eastAsia="en-US"/>
        </w:rPr>
      </w:pPr>
    </w:p>
    <w:p w14:paraId="2BAE0B52" w14:textId="11367636" w:rsidR="00D707EC" w:rsidRDefault="00313B51" w:rsidP="00D707EC">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lastRenderedPageBreak/>
        <w:t>En el caso en que se trate d</w:t>
      </w:r>
      <w:r w:rsidR="00A14108">
        <w:rPr>
          <w:rFonts w:ascii="PT Serif" w:hAnsi="PT Serif" w:cs="PT Serif"/>
          <w:b w:val="0"/>
          <w:i w:val="0"/>
          <w:sz w:val="20"/>
          <w:lang w:eastAsia="en-US"/>
        </w:rPr>
        <w:t xml:space="preserve">e </w:t>
      </w:r>
      <w:r>
        <w:rPr>
          <w:rFonts w:ascii="PT Serif" w:hAnsi="PT Serif" w:cs="PT Serif"/>
          <w:b w:val="0"/>
          <w:i w:val="0"/>
          <w:sz w:val="20"/>
          <w:lang w:eastAsia="en-US"/>
        </w:rPr>
        <w:t>norma posterior a la CE, la posición de la Jurisd</w:t>
      </w:r>
      <w:r w:rsidR="00A14108">
        <w:rPr>
          <w:rFonts w:ascii="PT Serif" w:hAnsi="PT Serif" w:cs="PT Serif"/>
          <w:b w:val="0"/>
          <w:i w:val="0"/>
          <w:sz w:val="20"/>
          <w:lang w:eastAsia="en-US"/>
        </w:rPr>
        <w:t>i</w:t>
      </w:r>
      <w:r>
        <w:rPr>
          <w:rFonts w:ascii="PT Serif" w:hAnsi="PT Serif" w:cs="PT Serif"/>
          <w:b w:val="0"/>
          <w:i w:val="0"/>
          <w:sz w:val="20"/>
          <w:lang w:eastAsia="en-US"/>
        </w:rPr>
        <w:t>cción ordinaria es diferente. El sistema de Justicia constitucional previsto en nuestro ordenamiento jurídico impide que un juez o jueza de la Jurisd</w:t>
      </w:r>
      <w:r w:rsidR="00A14108">
        <w:rPr>
          <w:rFonts w:ascii="PT Serif" w:hAnsi="PT Serif" w:cs="PT Serif"/>
          <w:b w:val="0"/>
          <w:i w:val="0"/>
          <w:sz w:val="20"/>
          <w:lang w:eastAsia="en-US"/>
        </w:rPr>
        <w:t>i</w:t>
      </w:r>
      <w:r>
        <w:rPr>
          <w:rFonts w:ascii="PT Serif" w:hAnsi="PT Serif" w:cs="PT Serif"/>
          <w:b w:val="0"/>
          <w:i w:val="0"/>
          <w:sz w:val="20"/>
          <w:lang w:eastAsia="en-US"/>
        </w:rPr>
        <w:t>cción ordinaria pueda de</w:t>
      </w:r>
      <w:r w:rsidR="00A14108">
        <w:rPr>
          <w:rFonts w:ascii="PT Serif" w:hAnsi="PT Serif" w:cs="PT Serif"/>
          <w:b w:val="0"/>
          <w:i w:val="0"/>
          <w:sz w:val="20"/>
          <w:lang w:eastAsia="en-US"/>
        </w:rPr>
        <w:t>clarar</w:t>
      </w:r>
      <w:r>
        <w:rPr>
          <w:rFonts w:ascii="PT Serif" w:hAnsi="PT Serif" w:cs="PT Serif"/>
          <w:b w:val="0"/>
          <w:i w:val="0"/>
          <w:sz w:val="20"/>
          <w:lang w:eastAsia="en-US"/>
        </w:rPr>
        <w:t xml:space="preserve">, ni siquiera con efectos </w:t>
      </w:r>
      <w:r>
        <w:rPr>
          <w:rFonts w:ascii="PT Serif" w:hAnsi="PT Serif" w:cs="PT Serif"/>
          <w:b w:val="0"/>
          <w:i/>
          <w:iCs/>
          <w:sz w:val="20"/>
          <w:lang w:eastAsia="en-US"/>
        </w:rPr>
        <w:t>inter partes</w:t>
      </w:r>
      <w:r>
        <w:rPr>
          <w:rFonts w:ascii="PT Serif" w:hAnsi="PT Serif" w:cs="PT Serif"/>
          <w:b w:val="0"/>
          <w:i w:val="0"/>
          <w:sz w:val="20"/>
          <w:lang w:eastAsia="en-US"/>
        </w:rPr>
        <w:t>, la inconstitucionalidad de una norma</w:t>
      </w:r>
      <w:r w:rsidR="00A14108">
        <w:rPr>
          <w:rStyle w:val="Refernciadenotaapeudepgina"/>
          <w:rFonts w:ascii="PT Serif" w:hAnsi="PT Serif" w:cs="PT Serif"/>
          <w:b w:val="0"/>
          <w:i w:val="0"/>
          <w:sz w:val="20"/>
          <w:lang w:eastAsia="en-US"/>
        </w:rPr>
        <w:footnoteReference w:id="12"/>
      </w:r>
      <w:r>
        <w:rPr>
          <w:rFonts w:ascii="PT Serif" w:hAnsi="PT Serif" w:cs="PT Serif"/>
          <w:b w:val="0"/>
          <w:i w:val="0"/>
          <w:sz w:val="20"/>
          <w:lang w:eastAsia="en-US"/>
        </w:rPr>
        <w:t>. Al contrario, debe promover la correspondiente cuestión de inconstitucionalidad para que sea el Tribunal Constitución (en adelante, “TC”) quien proceda a realizar dicha declaración y la expulse del ordenamiento jurídico</w:t>
      </w:r>
      <w:r w:rsidR="00D707EC">
        <w:rPr>
          <w:rStyle w:val="Refernciadenotaapeudepgina"/>
          <w:rFonts w:ascii="PT Serif" w:hAnsi="PT Serif" w:cs="PT Serif"/>
          <w:b w:val="0"/>
          <w:i w:val="0"/>
          <w:sz w:val="20"/>
          <w:lang w:eastAsia="en-US"/>
        </w:rPr>
        <w:footnoteReference w:id="13"/>
      </w:r>
      <w:r w:rsidR="00A14108">
        <w:rPr>
          <w:rFonts w:ascii="PT Serif" w:hAnsi="PT Serif" w:cs="PT Serif"/>
          <w:b w:val="0"/>
          <w:i w:val="0"/>
          <w:sz w:val="20"/>
          <w:lang w:eastAsia="en-US"/>
        </w:rPr>
        <w:t xml:space="preserve"> (art. 163 CE)</w:t>
      </w:r>
      <w:r w:rsidR="00D707EC" w:rsidRPr="001237D0">
        <w:rPr>
          <w:rFonts w:ascii="PT Serif" w:hAnsi="PT Serif" w:cs="PT Serif"/>
          <w:b w:val="0"/>
          <w:i w:val="0"/>
          <w:sz w:val="20"/>
          <w:lang w:eastAsia="en-US"/>
        </w:rPr>
        <w:t xml:space="preserve">. </w:t>
      </w:r>
    </w:p>
    <w:p w14:paraId="1F40D8E2" w14:textId="77777777" w:rsidR="00451CDB" w:rsidRDefault="00451CDB" w:rsidP="00D707EC">
      <w:pPr>
        <w:pStyle w:val="03Texto"/>
        <w:spacing w:before="0"/>
        <w:ind w:firstLine="0"/>
        <w:rPr>
          <w:rFonts w:ascii="PT Serif" w:eastAsiaTheme="minorHAnsi" w:hAnsi="PT Serif" w:cstheme="minorBidi"/>
          <w:sz w:val="20"/>
          <w:lang w:eastAsia="en-US"/>
        </w:rPr>
      </w:pPr>
    </w:p>
    <w:p w14:paraId="5E4780F0" w14:textId="1A17E860" w:rsidR="00A14108" w:rsidRDefault="00A14108" w:rsidP="00D707EC">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El trabajo que estamos presentando se encuadra en este contexto de realización de control de legitimidad de normas internas por la Jurisdicción ordinaria y la decisión sobre la aplicación o no al caso concreto.</w:t>
      </w:r>
      <w:r w:rsidR="00434EBB">
        <w:rPr>
          <w:rFonts w:ascii="PT Serif" w:hAnsi="PT Serif" w:cs="PT Serif"/>
          <w:b w:val="0"/>
          <w:i w:val="0"/>
          <w:sz w:val="20"/>
          <w:lang w:eastAsia="en-US"/>
        </w:rPr>
        <w:t xml:space="preserve"> En particular, qu</w:t>
      </w:r>
      <w:r>
        <w:rPr>
          <w:rFonts w:ascii="PT Serif" w:hAnsi="PT Serif" w:cs="PT Serif"/>
          <w:b w:val="0"/>
          <w:i w:val="0"/>
          <w:sz w:val="20"/>
          <w:lang w:eastAsia="en-US"/>
        </w:rPr>
        <w:t>eremos enfrentar el análisis de cómo debe proceder la Jurisdicción ordinaria en los casos en que ten</w:t>
      </w:r>
      <w:r w:rsidR="002A7278">
        <w:rPr>
          <w:rFonts w:ascii="PT Serif" w:hAnsi="PT Serif" w:cs="PT Serif"/>
          <w:b w:val="0"/>
          <w:i w:val="0"/>
          <w:sz w:val="20"/>
          <w:lang w:eastAsia="en-US"/>
        </w:rPr>
        <w:t>g</w:t>
      </w:r>
      <w:r>
        <w:rPr>
          <w:rFonts w:ascii="PT Serif" w:hAnsi="PT Serif" w:cs="PT Serif"/>
          <w:b w:val="0"/>
          <w:i w:val="0"/>
          <w:sz w:val="20"/>
          <w:lang w:eastAsia="en-US"/>
        </w:rPr>
        <w:t xml:space="preserve">a que aplicar al caso concreto una norma interna sospechosa de ser </w:t>
      </w:r>
      <w:r w:rsidR="007F1B88">
        <w:rPr>
          <w:rFonts w:ascii="PT Serif" w:hAnsi="PT Serif" w:cs="PT Serif"/>
          <w:b w:val="0"/>
          <w:i w:val="0"/>
          <w:sz w:val="20"/>
          <w:lang w:eastAsia="en-US"/>
        </w:rPr>
        <w:t>inconvencional</w:t>
      </w:r>
      <w:r>
        <w:rPr>
          <w:rFonts w:ascii="PT Serif" w:hAnsi="PT Serif" w:cs="PT Serif"/>
          <w:b w:val="0"/>
          <w:i w:val="0"/>
          <w:sz w:val="20"/>
          <w:lang w:eastAsia="en-US"/>
        </w:rPr>
        <w:t>. Es decir, contraria a lo previsto en un trat</w:t>
      </w:r>
      <w:r w:rsidR="002A7278">
        <w:rPr>
          <w:rFonts w:ascii="PT Serif" w:hAnsi="PT Serif" w:cs="PT Serif"/>
          <w:b w:val="0"/>
          <w:i w:val="0"/>
          <w:sz w:val="20"/>
          <w:lang w:eastAsia="en-US"/>
        </w:rPr>
        <w:t>ad</w:t>
      </w:r>
      <w:r>
        <w:rPr>
          <w:rFonts w:ascii="PT Serif" w:hAnsi="PT Serif" w:cs="PT Serif"/>
          <w:b w:val="0"/>
          <w:i w:val="0"/>
          <w:sz w:val="20"/>
          <w:lang w:eastAsia="en-US"/>
        </w:rPr>
        <w:t xml:space="preserve">o internacional incorporado al ordenamiento </w:t>
      </w:r>
      <w:r w:rsidR="007F1B88">
        <w:rPr>
          <w:rFonts w:ascii="PT Serif" w:hAnsi="PT Serif" w:cs="PT Serif"/>
          <w:b w:val="0"/>
          <w:i w:val="0"/>
          <w:sz w:val="20"/>
          <w:lang w:eastAsia="en-US"/>
        </w:rPr>
        <w:t>jurídico</w:t>
      </w:r>
      <w:r>
        <w:rPr>
          <w:rFonts w:ascii="PT Serif" w:hAnsi="PT Serif" w:cs="PT Serif"/>
          <w:b w:val="0"/>
          <w:i w:val="0"/>
          <w:sz w:val="20"/>
          <w:lang w:eastAsia="en-US"/>
        </w:rPr>
        <w:t xml:space="preserve"> español. Así, vamos a profundizar en el análisis de la posición de la Jurisdicción ordinaria fre</w:t>
      </w:r>
      <w:r w:rsidR="007C5875">
        <w:rPr>
          <w:rFonts w:ascii="PT Serif" w:hAnsi="PT Serif" w:cs="PT Serif"/>
          <w:b w:val="0"/>
          <w:i w:val="0"/>
          <w:sz w:val="20"/>
          <w:lang w:eastAsia="en-US"/>
        </w:rPr>
        <w:t xml:space="preserve">nte a la “ley interna” y la </w:t>
      </w:r>
      <w:r>
        <w:rPr>
          <w:rFonts w:ascii="PT Serif" w:hAnsi="PT Serif" w:cs="PT Serif"/>
          <w:b w:val="0"/>
          <w:i w:val="0"/>
          <w:sz w:val="20"/>
          <w:lang w:eastAsia="en-US"/>
        </w:rPr>
        <w:t>“ley convencional”</w:t>
      </w:r>
      <w:r w:rsidR="007C5875">
        <w:rPr>
          <w:rFonts w:ascii="PT Serif" w:hAnsi="PT Serif" w:cs="PT Serif"/>
          <w:b w:val="0"/>
          <w:i w:val="0"/>
          <w:sz w:val="20"/>
          <w:lang w:eastAsia="en-US"/>
        </w:rPr>
        <w:t xml:space="preserve"> en caso de contradicción entre ellas.</w:t>
      </w:r>
    </w:p>
    <w:p w14:paraId="79259FB5" w14:textId="77777777" w:rsidR="00451CDB" w:rsidRDefault="00451CDB" w:rsidP="00D707EC">
      <w:pPr>
        <w:pStyle w:val="03Texto"/>
        <w:spacing w:before="0"/>
        <w:ind w:firstLine="0"/>
        <w:rPr>
          <w:rFonts w:ascii="PT Serif" w:eastAsiaTheme="minorHAnsi" w:hAnsi="PT Serif" w:cstheme="minorBidi"/>
          <w:sz w:val="20"/>
          <w:lang w:eastAsia="en-US"/>
        </w:rPr>
      </w:pPr>
    </w:p>
    <w:p w14:paraId="683DE6B1" w14:textId="176DCDE8" w:rsidR="00A14108" w:rsidRDefault="00A14108" w:rsidP="00D707EC">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 xml:space="preserve">Somos conscientes de que el tema de la jerarquía de los tratados internacionales en el ordenamiento jurídico se ha abordado por el TC en diferentes resoluciones. Sin embargo, nosotros queremos poner el acento </w:t>
      </w:r>
      <w:r w:rsidR="002A7278">
        <w:rPr>
          <w:rFonts w:ascii="PT Serif" w:hAnsi="PT Serif" w:cs="PT Serif"/>
          <w:b w:val="0"/>
          <w:i w:val="0"/>
          <w:sz w:val="20"/>
          <w:lang w:eastAsia="en-US"/>
        </w:rPr>
        <w:t xml:space="preserve">exclusivamente </w:t>
      </w:r>
      <w:r>
        <w:rPr>
          <w:rFonts w:ascii="PT Serif" w:hAnsi="PT Serif" w:cs="PT Serif"/>
          <w:b w:val="0"/>
          <w:i w:val="0"/>
          <w:sz w:val="20"/>
          <w:lang w:eastAsia="en-US"/>
        </w:rPr>
        <w:t>en</w:t>
      </w:r>
      <w:r w:rsidR="007C5875">
        <w:rPr>
          <w:rFonts w:ascii="PT Serif" w:hAnsi="PT Serif" w:cs="PT Serif"/>
          <w:b w:val="0"/>
          <w:i w:val="0"/>
          <w:sz w:val="20"/>
          <w:lang w:eastAsia="en-US"/>
        </w:rPr>
        <w:t xml:space="preserve"> el ámbito de los derechos humanos</w:t>
      </w:r>
      <w:r>
        <w:rPr>
          <w:rFonts w:ascii="PT Serif" w:hAnsi="PT Serif" w:cs="PT Serif"/>
          <w:b w:val="0"/>
          <w:i w:val="0"/>
          <w:sz w:val="20"/>
          <w:lang w:eastAsia="en-US"/>
        </w:rPr>
        <w:t>.</w:t>
      </w:r>
    </w:p>
    <w:p w14:paraId="704F0526" w14:textId="77777777" w:rsidR="00451CDB" w:rsidRDefault="00451CDB" w:rsidP="00D707EC">
      <w:pPr>
        <w:pStyle w:val="03Texto"/>
        <w:spacing w:before="0"/>
        <w:ind w:firstLine="0"/>
        <w:rPr>
          <w:rFonts w:ascii="PT Serif" w:eastAsiaTheme="minorHAnsi" w:hAnsi="PT Serif" w:cstheme="minorBidi"/>
          <w:sz w:val="20"/>
          <w:lang w:eastAsia="en-US"/>
        </w:rPr>
      </w:pPr>
    </w:p>
    <w:p w14:paraId="72D80F2A" w14:textId="1D017E47" w:rsidR="002A7278" w:rsidRDefault="002A7278" w:rsidP="00D707EC">
      <w:pPr>
        <w:pStyle w:val="03Texto"/>
        <w:spacing w:before="0" w:lineRule="auto" w:line="264" w:after="120"/>
        <w:ind w:firstLine="0"/>
        <w:jc w:val="both"/>
        <w:rPr>
          <w:rFonts w:ascii="PT Serif" w:hAnsi="PT Serif"/>
          <w:sz w:val="20"/>
        </w:rPr>
      </w:pPr>
      <w:r>
        <w:rPr>
          <w:rFonts w:ascii="PT Serif" w:hAnsi="PT Serif" w:cs="PT Serif"/>
          <w:b w:val="0"/>
          <w:i w:val="0"/>
          <w:sz w:val="20"/>
          <w:lang w:eastAsia="en-US"/>
        </w:rPr>
        <w:t xml:space="preserve">Para realizar nuestro estudio, tomamos como punto de partida el </w:t>
      </w:r>
      <w:r w:rsidRPr="0019772A">
        <w:rPr>
          <w:rFonts w:ascii="PT Serif" w:hAnsi="PT Serif" w:cs="PT Serif"/>
          <w:b w:val="0"/>
          <w:i w:val="0"/>
          <w:sz w:val="20"/>
        </w:rPr>
        <w:t>auto 301/2023</w:t>
      </w:r>
      <w:r>
        <w:rPr>
          <w:rFonts w:ascii="PT Serif" w:hAnsi="PT Serif" w:cs="PT Serif"/>
          <w:b w:val="0"/>
          <w:i w:val="0"/>
          <w:sz w:val="20"/>
        </w:rPr>
        <w:t xml:space="preserve"> del TC</w:t>
      </w:r>
      <w:r w:rsidRPr="0019772A">
        <w:rPr>
          <w:rFonts w:ascii="PT Serif" w:hAnsi="PT Serif" w:cs="PT Serif"/>
          <w:b w:val="0"/>
          <w:i w:val="0"/>
          <w:sz w:val="20"/>
        </w:rPr>
        <w:t xml:space="preserve"> (en adelante, “ATC 301/2023”), de 6 de junio, rec. 1700/2023</w:t>
      </w:r>
      <w:r>
        <w:rPr>
          <w:rStyle w:val="Refernciadenotaapeudepgina"/>
          <w:rFonts w:ascii="PT Serif" w:hAnsi="PT Serif" w:cs="PT Serif"/>
          <w:b w:val="0"/>
          <w:i w:val="0"/>
          <w:sz w:val="20"/>
        </w:rPr>
        <w:footnoteReference w:id="14"/>
      </w:r>
      <w:r>
        <w:rPr>
          <w:rFonts w:ascii="PT Serif" w:hAnsi="PT Serif" w:cs="PT Serif"/>
          <w:b w:val="0"/>
          <w:i w:val="0"/>
          <w:sz w:val="20"/>
        </w:rPr>
        <w:t xml:space="preserve">, en el que se inadmite una cuestión de inconstitucionalidad promovida </w:t>
      </w:r>
      <w:r w:rsidR="00C74108">
        <w:rPr>
          <w:rFonts w:ascii="PT Serif" w:hAnsi="PT Serif" w:cs="PT Serif"/>
          <w:b w:val="0"/>
          <w:i w:val="0"/>
          <w:sz w:val="20"/>
        </w:rPr>
        <w:t>por e</w:t>
      </w:r>
      <w:r>
        <w:rPr>
          <w:rFonts w:ascii="PT Serif" w:hAnsi="PT Serif" w:cs="PT Serif"/>
          <w:b w:val="0"/>
          <w:i w:val="0"/>
          <w:sz w:val="20"/>
        </w:rPr>
        <w:t>l titular de un Juzgado por considerar que una norma civil interna era contraria a</w:t>
      </w:r>
      <w:r w:rsidR="00F23687">
        <w:rPr>
          <w:rFonts w:ascii="PT Serif" w:hAnsi="PT Serif" w:cs="PT Serif"/>
          <w:b w:val="0"/>
          <w:i w:val="0"/>
          <w:sz w:val="20"/>
        </w:rPr>
        <w:t xml:space="preserve"> disposiciones</w:t>
      </w:r>
      <w:r>
        <w:rPr>
          <w:rFonts w:ascii="PT Serif" w:hAnsi="PT Serif" w:cs="PT Serif"/>
          <w:b w:val="0"/>
          <w:i w:val="0"/>
          <w:sz w:val="20"/>
        </w:rPr>
        <w:t xml:space="preserve"> normativa</w:t>
      </w:r>
      <w:r w:rsidR="00F23687">
        <w:rPr>
          <w:rFonts w:ascii="PT Serif" w:hAnsi="PT Serif" w:cs="PT Serif"/>
          <w:b w:val="0"/>
          <w:i w:val="0"/>
          <w:sz w:val="20"/>
        </w:rPr>
        <w:t>s</w:t>
      </w:r>
      <w:r>
        <w:rPr>
          <w:rFonts w:ascii="PT Serif" w:hAnsi="PT Serif" w:cs="PT Serif"/>
          <w:b w:val="0"/>
          <w:i w:val="0"/>
          <w:sz w:val="20"/>
        </w:rPr>
        <w:t xml:space="preserve"> internacional</w:t>
      </w:r>
      <w:r w:rsidR="00F23687">
        <w:rPr>
          <w:rFonts w:ascii="PT Serif" w:hAnsi="PT Serif" w:cs="PT Serif"/>
          <w:b w:val="0"/>
          <w:i w:val="0"/>
          <w:sz w:val="20"/>
        </w:rPr>
        <w:t>es</w:t>
      </w:r>
      <w:r>
        <w:rPr>
          <w:rFonts w:ascii="PT Serif" w:hAnsi="PT Serif" w:cs="PT Serif"/>
          <w:b w:val="0"/>
          <w:i w:val="0"/>
          <w:sz w:val="20"/>
        </w:rPr>
        <w:t xml:space="preserve"> en materia de derechos humanos de las mujeres víctimas de violencia de género</w:t>
      </w:r>
      <w:r w:rsidR="007173BB">
        <w:rPr>
          <w:rStyle w:val="Refernciadenotaapeudepgina"/>
          <w:rFonts w:ascii="PT Serif" w:hAnsi="PT Serif" w:cs="PT Serif"/>
          <w:b w:val="0"/>
          <w:i w:val="0"/>
          <w:sz w:val="20"/>
        </w:rPr>
        <w:footnoteReference w:id="15"/>
      </w:r>
      <w:r>
        <w:rPr>
          <w:rFonts w:ascii="PT Serif" w:hAnsi="PT Serif" w:cs="PT Serif"/>
          <w:b w:val="0"/>
          <w:i w:val="0"/>
          <w:sz w:val="20"/>
        </w:rPr>
        <w:t>. Nótese que el titular de la potestad jurisdiccional</w:t>
      </w:r>
      <w:r w:rsidR="00F23687">
        <w:rPr>
          <w:rFonts w:ascii="PT Serif" w:hAnsi="PT Serif" w:cs="PT Serif"/>
          <w:b w:val="0"/>
          <w:i w:val="0"/>
          <w:sz w:val="20"/>
        </w:rPr>
        <w:t>,</w:t>
      </w:r>
      <w:r>
        <w:rPr>
          <w:rFonts w:ascii="PT Serif" w:hAnsi="PT Serif" w:cs="PT Serif"/>
          <w:b w:val="0"/>
          <w:i w:val="0"/>
          <w:sz w:val="20"/>
        </w:rPr>
        <w:t xml:space="preserve"> al controlar si una norma interna era o no convencional, decide suspender el proceso y promover una cuestión de inconstitucionalidad. Es decir, remite al TC la decisión </w:t>
      </w:r>
      <w:r w:rsidR="00F23687">
        <w:rPr>
          <w:rFonts w:ascii="PT Serif" w:hAnsi="PT Serif" w:cs="PT Serif"/>
          <w:b w:val="0"/>
          <w:i w:val="0"/>
          <w:sz w:val="20"/>
        </w:rPr>
        <w:t xml:space="preserve">sobre </w:t>
      </w:r>
      <w:r>
        <w:rPr>
          <w:rFonts w:ascii="PT Serif" w:hAnsi="PT Serif" w:cs="PT Serif"/>
          <w:b w:val="0"/>
          <w:i w:val="0"/>
          <w:sz w:val="20"/>
        </w:rPr>
        <w:t>si los derechos humanos de las mujeres víctimas de violencia y reconocidos en normas internacionales</w:t>
      </w:r>
      <w:r w:rsidR="00F23687">
        <w:rPr>
          <w:rFonts w:ascii="PT Serif" w:hAnsi="PT Serif" w:cs="PT Serif"/>
          <w:b w:val="0"/>
          <w:i w:val="0"/>
          <w:sz w:val="20"/>
        </w:rPr>
        <w:t xml:space="preserve"> eran respetados por la norma civil interna.</w:t>
      </w:r>
    </w:p>
    <w:p w14:paraId="75872656" w14:textId="77777777" w:rsidR="00451CDB" w:rsidRDefault="00451CDB" w:rsidP="00D707EC">
      <w:pPr>
        <w:pStyle w:val="03Texto"/>
        <w:spacing w:before="0"/>
        <w:ind w:firstLine="0"/>
        <w:rPr>
          <w:rFonts w:ascii="PT Serif" w:hAnsi="PT Serif"/>
          <w:sz w:val="20"/>
        </w:rPr>
      </w:pPr>
    </w:p>
    <w:p w14:paraId="5CE145D4" w14:textId="0DB1C15E" w:rsidR="00F23687" w:rsidRDefault="00F23687" w:rsidP="00D707EC">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Queremos subrayar que el TC fundamenta la decisión tomada en el auto referido, remitiéndose expresamente a la STC 140/2018, de 20 de diciembre. Esta resolución es reconocida por la </w:t>
      </w:r>
      <w:r>
        <w:rPr>
          <w:rFonts w:ascii="PT Serif" w:hAnsi="PT Serif" w:cs="PT Serif"/>
          <w:b w:val="0"/>
          <w:i w:val="0"/>
          <w:sz w:val="20"/>
        </w:rPr>
        <w:lastRenderedPageBreak/>
        <w:t>doctrina como la que consagra el “control de convencionalidad</w:t>
      </w:r>
      <w:r>
        <w:rPr>
          <w:rStyle w:val="Refernciadenotaapeudepgina"/>
          <w:rFonts w:ascii="PT Serif" w:hAnsi="PT Serif" w:cs="PT Serif"/>
          <w:b w:val="0"/>
          <w:i w:val="0"/>
          <w:sz w:val="20"/>
          <w:lang w:eastAsia="en-US"/>
        </w:rPr>
        <w:footnoteReference w:id="16"/>
      </w:r>
      <w:r>
        <w:rPr>
          <w:rFonts w:ascii="PT Serif" w:hAnsi="PT Serif" w:cs="PT Serif"/>
          <w:b w:val="0"/>
          <w:i w:val="0"/>
          <w:sz w:val="20"/>
        </w:rPr>
        <w:t>” en el sistema de Justicia constitucional español.</w:t>
      </w:r>
    </w:p>
    <w:p w14:paraId="3852BF9D" w14:textId="77777777" w:rsidR="00451CDB" w:rsidRDefault="00451CDB" w:rsidP="00D707EC">
      <w:pPr>
        <w:pStyle w:val="03Texto"/>
        <w:spacing w:before="0"/>
        <w:ind w:firstLine="0"/>
        <w:rPr>
          <w:rFonts w:ascii="PT Serif" w:hAnsi="PT Serif"/>
          <w:sz w:val="20"/>
        </w:rPr>
      </w:pPr>
    </w:p>
    <w:p w14:paraId="5030E0E4" w14:textId="6FB96871" w:rsidR="002A7278" w:rsidRDefault="00F23687" w:rsidP="00F23687">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Es </w:t>
      </w:r>
      <w:r w:rsidR="007F1B88">
        <w:rPr>
          <w:rFonts w:ascii="PT Serif" w:hAnsi="PT Serif" w:cs="PT Serif"/>
          <w:b w:val="0"/>
          <w:i w:val="0"/>
          <w:sz w:val="20"/>
        </w:rPr>
        <w:t>por</w:t>
      </w:r>
      <w:r>
        <w:rPr>
          <w:rFonts w:ascii="PT Serif" w:hAnsi="PT Serif" w:cs="PT Serif"/>
          <w:b w:val="0"/>
          <w:i w:val="0"/>
          <w:sz w:val="20"/>
        </w:rPr>
        <w:t xml:space="preserve"> ello </w:t>
      </w:r>
      <w:r w:rsidR="00286576">
        <w:rPr>
          <w:rFonts w:ascii="PT Serif" w:hAnsi="PT Serif" w:cs="PT Serif"/>
          <w:b w:val="0"/>
          <w:i w:val="0"/>
          <w:sz w:val="20"/>
        </w:rPr>
        <w:t>por lo que</w:t>
      </w:r>
      <w:r>
        <w:rPr>
          <w:rFonts w:ascii="PT Serif" w:hAnsi="PT Serif" w:cs="PT Serif"/>
          <w:b w:val="0"/>
          <w:i w:val="0"/>
          <w:sz w:val="20"/>
        </w:rPr>
        <w:t xml:space="preserve"> para poder </w:t>
      </w:r>
      <w:r w:rsidR="00434EBB">
        <w:rPr>
          <w:rFonts w:ascii="PT Serif" w:hAnsi="PT Serif" w:cs="PT Serif"/>
          <w:b w:val="0"/>
          <w:i w:val="0"/>
          <w:sz w:val="20"/>
        </w:rPr>
        <w:t xml:space="preserve">analizar y establecer </w:t>
      </w:r>
      <w:r>
        <w:rPr>
          <w:rFonts w:ascii="PT Serif" w:hAnsi="PT Serif" w:cs="PT Serif"/>
          <w:b w:val="0"/>
          <w:i w:val="0"/>
          <w:sz w:val="20"/>
        </w:rPr>
        <w:t>cuál debe ser la posición de la Jurisd</w:t>
      </w:r>
      <w:r w:rsidR="00434EBB">
        <w:rPr>
          <w:rFonts w:ascii="PT Serif" w:hAnsi="PT Serif" w:cs="PT Serif"/>
          <w:b w:val="0"/>
          <w:i w:val="0"/>
          <w:sz w:val="20"/>
        </w:rPr>
        <w:t>i</w:t>
      </w:r>
      <w:r>
        <w:rPr>
          <w:rFonts w:ascii="PT Serif" w:hAnsi="PT Serif" w:cs="PT Serif"/>
          <w:b w:val="0"/>
          <w:i w:val="0"/>
          <w:sz w:val="20"/>
        </w:rPr>
        <w:t>cción or</w:t>
      </w:r>
      <w:r w:rsidR="00434EBB">
        <w:rPr>
          <w:rFonts w:ascii="PT Serif" w:hAnsi="PT Serif" w:cs="PT Serif"/>
          <w:b w:val="0"/>
          <w:i w:val="0"/>
          <w:sz w:val="20"/>
        </w:rPr>
        <w:t>dinaria</w:t>
      </w:r>
      <w:r>
        <w:rPr>
          <w:rFonts w:ascii="PT Serif" w:hAnsi="PT Serif" w:cs="PT Serif"/>
          <w:b w:val="0"/>
          <w:i w:val="0"/>
          <w:sz w:val="20"/>
        </w:rPr>
        <w:t xml:space="preserve"> ante normas internas </w:t>
      </w:r>
      <w:r w:rsidR="007F1B88">
        <w:rPr>
          <w:rFonts w:ascii="PT Serif" w:hAnsi="PT Serif" w:cs="PT Serif"/>
          <w:b w:val="0"/>
          <w:i w:val="0"/>
          <w:sz w:val="20"/>
        </w:rPr>
        <w:t>inconvencionales</w:t>
      </w:r>
      <w:r>
        <w:rPr>
          <w:rFonts w:ascii="PT Serif" w:hAnsi="PT Serif" w:cs="PT Serif"/>
          <w:b w:val="0"/>
          <w:i w:val="0"/>
          <w:sz w:val="20"/>
        </w:rPr>
        <w:t xml:space="preserve">, </w:t>
      </w:r>
      <w:r w:rsidR="00434EBB">
        <w:rPr>
          <w:rFonts w:ascii="PT Serif" w:hAnsi="PT Serif" w:cs="PT Serif"/>
          <w:b w:val="0"/>
          <w:i w:val="0"/>
          <w:sz w:val="20"/>
        </w:rPr>
        <w:t>queremos estudiar c</w:t>
      </w:r>
      <w:r>
        <w:rPr>
          <w:rFonts w:ascii="PT Serif" w:hAnsi="PT Serif" w:cs="PT Serif"/>
          <w:b w:val="0"/>
          <w:i w:val="0"/>
          <w:sz w:val="20"/>
        </w:rPr>
        <w:t xml:space="preserve">uáles han sido los precedentes </w:t>
      </w:r>
      <w:r w:rsidR="007F1B88">
        <w:rPr>
          <w:rFonts w:ascii="PT Serif" w:hAnsi="PT Serif" w:cs="PT Serif"/>
          <w:b w:val="0"/>
          <w:i w:val="0"/>
          <w:sz w:val="20"/>
        </w:rPr>
        <w:t>jurisprudenciales</w:t>
      </w:r>
      <w:r>
        <w:rPr>
          <w:rFonts w:ascii="PT Serif" w:hAnsi="PT Serif" w:cs="PT Serif"/>
          <w:b w:val="0"/>
          <w:i w:val="0"/>
          <w:sz w:val="20"/>
        </w:rPr>
        <w:t xml:space="preserve"> de la STC 140/2018, así como otras resol</w:t>
      </w:r>
      <w:r w:rsidR="00434EBB">
        <w:rPr>
          <w:rFonts w:ascii="PT Serif" w:hAnsi="PT Serif" w:cs="PT Serif"/>
          <w:b w:val="0"/>
          <w:i w:val="0"/>
          <w:sz w:val="20"/>
        </w:rPr>
        <w:t xml:space="preserve">uciones </w:t>
      </w:r>
      <w:r>
        <w:rPr>
          <w:rFonts w:ascii="PT Serif" w:hAnsi="PT Serif" w:cs="PT Serif"/>
          <w:b w:val="0"/>
          <w:i w:val="0"/>
          <w:sz w:val="20"/>
        </w:rPr>
        <w:t>dictadas con posterioridad</w:t>
      </w:r>
      <w:r w:rsidR="00434EBB">
        <w:rPr>
          <w:rFonts w:ascii="PT Serif" w:hAnsi="PT Serif" w:cs="PT Serif"/>
          <w:b w:val="0"/>
          <w:i w:val="0"/>
          <w:sz w:val="20"/>
        </w:rPr>
        <w:t xml:space="preserve"> en las que el TC confirma la jurisprudencia fijada</w:t>
      </w:r>
      <w:r>
        <w:rPr>
          <w:rFonts w:ascii="PT Serif" w:hAnsi="PT Serif" w:cs="PT Serif"/>
          <w:b w:val="0"/>
          <w:i w:val="0"/>
          <w:sz w:val="20"/>
        </w:rPr>
        <w:t>.</w:t>
      </w:r>
      <w:r w:rsidR="00434EBB">
        <w:rPr>
          <w:rFonts w:ascii="PT Serif" w:hAnsi="PT Serif" w:cs="PT Serif"/>
          <w:b w:val="0"/>
          <w:i w:val="0"/>
          <w:sz w:val="20"/>
        </w:rPr>
        <w:t xml:space="preserve"> En todo caso, nos movemos en relación con la necesidad de proteger adecuadamente los derechos humanos.</w:t>
      </w:r>
    </w:p>
    <w:p w14:paraId="2D80C6FB" w14:textId="77777777" w:rsidR="00451CDB" w:rsidRDefault="00451CDB" w:rsidP="00F23687">
      <w:pPr>
        <w:pStyle w:val="03Texto"/>
        <w:spacing w:before="0"/>
        <w:ind w:firstLine="0"/>
        <w:rPr>
          <w:rFonts w:ascii="PT Serif" w:hAnsi="PT Serif"/>
          <w:sz w:val="20"/>
        </w:rPr>
      </w:pPr>
    </w:p>
    <w:p w14:paraId="5AAD4182" w14:textId="774400B8" w:rsidR="00F23687" w:rsidRDefault="00F23687" w:rsidP="00F23687">
      <w:pPr>
        <w:pStyle w:val="03Texto"/>
        <w:spacing w:before="0" w:lineRule="auto" w:line="264" w:after="120"/>
        <w:ind w:firstLine="0"/>
        <w:jc w:val="both"/>
        <w:rPr>
          <w:rFonts w:ascii="PT Serif" w:hAnsi="PT Serif"/>
          <w:sz w:val="20"/>
        </w:rPr>
      </w:pPr>
      <w:r>
        <w:rPr>
          <w:rFonts w:ascii="PT Serif" w:hAnsi="PT Serif" w:cs="PT Serif"/>
          <w:b w:val="0"/>
          <w:i w:val="0"/>
          <w:sz w:val="20"/>
        </w:rPr>
        <w:t>De esta manera,</w:t>
      </w:r>
      <w:r w:rsidR="00434EBB">
        <w:rPr>
          <w:rFonts w:ascii="PT Serif" w:hAnsi="PT Serif" w:cs="PT Serif"/>
          <w:b w:val="0"/>
          <w:i w:val="0"/>
          <w:sz w:val="20"/>
        </w:rPr>
        <w:t xml:space="preserve"> el trabajo que realizamos va dirigido a </w:t>
      </w:r>
      <w:r>
        <w:rPr>
          <w:rFonts w:ascii="PT Serif" w:hAnsi="PT Serif" w:cs="PT Serif"/>
          <w:b w:val="0"/>
          <w:i w:val="0"/>
          <w:sz w:val="20"/>
        </w:rPr>
        <w:t>resolver a estas dos cuestiones investigativas</w:t>
      </w:r>
      <w:r w:rsidR="00434EBB">
        <w:rPr>
          <w:rFonts w:ascii="PT Serif" w:hAnsi="PT Serif" w:cs="PT Serif"/>
          <w:b w:val="0"/>
          <w:i w:val="0"/>
          <w:sz w:val="20"/>
        </w:rPr>
        <w:t xml:space="preserve"> que planteamos a continuación</w:t>
      </w:r>
      <w:r>
        <w:rPr>
          <w:rFonts w:ascii="PT Serif" w:hAnsi="PT Serif" w:cs="PT Serif"/>
          <w:b w:val="0"/>
          <w:i w:val="0"/>
          <w:sz w:val="20"/>
        </w:rPr>
        <w:t>:</w:t>
      </w:r>
    </w:p>
    <w:p w14:paraId="67ECA3BF" w14:textId="77777777" w:rsidR="006F2D2B" w:rsidRDefault="006F2D2B" w:rsidP="00F23687">
      <w:pPr>
        <w:pStyle w:val="03Texto"/>
        <w:spacing w:before="0"/>
        <w:ind w:firstLine="0"/>
        <w:rPr>
          <w:rFonts w:ascii="PT Serif" w:hAnsi="PT Serif"/>
          <w:sz w:val="20"/>
        </w:rPr>
      </w:pPr>
    </w:p>
    <w:p w14:paraId="68D717F6" w14:textId="56139BCB" w:rsidR="00F23687" w:rsidRDefault="00F23687" w:rsidP="00F23687">
      <w:pPr>
        <w:pStyle w:val="03Texto"/>
        <w:spacing w:before="0" w:lineRule="auto" w:line="264" w:after="120"/>
        <w:ind w:firstLine="0"/>
        <w:jc w:val="both"/>
        <w:rPr>
          <w:rFonts w:ascii="PT Serif" w:hAnsi="PT Serif"/>
          <w:sz w:val="20"/>
        </w:rPr>
      </w:pPr>
      <w:r>
        <w:rPr>
          <w:rFonts w:ascii="PT Serif" w:hAnsi="PT Serif" w:cs="PT Serif"/>
          <w:b w:val="0"/>
          <w:i w:val="0"/>
          <w:sz w:val="20"/>
        </w:rPr>
        <w:t>1ª. ¿La Jurisdicción ordinaria debe promover cuestión de i</w:t>
      </w:r>
      <w:r w:rsidR="007F1B88">
        <w:rPr>
          <w:rFonts w:ascii="PT Serif" w:hAnsi="PT Serif" w:cs="PT Serif"/>
          <w:b w:val="0"/>
          <w:i w:val="0"/>
          <w:sz w:val="20"/>
        </w:rPr>
        <w:t xml:space="preserve">nconstitucionalidad </w:t>
      </w:r>
      <w:r>
        <w:rPr>
          <w:rFonts w:ascii="PT Serif" w:hAnsi="PT Serif" w:cs="PT Serif"/>
          <w:b w:val="0"/>
          <w:i w:val="0"/>
          <w:sz w:val="20"/>
        </w:rPr>
        <w:t>en supuestos de inconvencional</w:t>
      </w:r>
      <w:r w:rsidR="00434EBB">
        <w:rPr>
          <w:rFonts w:ascii="PT Serif" w:hAnsi="PT Serif" w:cs="PT Serif"/>
          <w:b w:val="0"/>
          <w:i w:val="0"/>
          <w:sz w:val="20"/>
        </w:rPr>
        <w:t>idad</w:t>
      </w:r>
      <w:r>
        <w:rPr>
          <w:rFonts w:ascii="PT Serif" w:hAnsi="PT Serif" w:cs="PT Serif"/>
          <w:b w:val="0"/>
          <w:i w:val="0"/>
          <w:sz w:val="20"/>
        </w:rPr>
        <w:t xml:space="preserve"> de normas internas?</w:t>
      </w:r>
    </w:p>
    <w:p w14:paraId="34188AC9" w14:textId="6F12386F" w:rsidR="00D707EC" w:rsidRDefault="00F23687" w:rsidP="00434EBB">
      <w:pPr>
        <w:pStyle w:val="03Texto"/>
        <w:spacing w:before="0" w:lineRule="auto" w:line="264" w:after="120"/>
        <w:ind w:firstLine="0"/>
        <w:jc w:val="both"/>
        <w:rPr>
          <w:rFonts w:ascii="PT Serif" w:hAnsi="PT Serif"/>
          <w:sz w:val="20"/>
        </w:rPr>
      </w:pPr>
      <w:r>
        <w:rPr>
          <w:rFonts w:ascii="PT Serif" w:hAnsi="PT Serif" w:cs="PT Serif"/>
          <w:b w:val="0"/>
          <w:i w:val="0"/>
          <w:sz w:val="20"/>
        </w:rPr>
        <w:t>2ª. ¿El control de convencionalidad</w:t>
      </w:r>
      <w:r w:rsidR="00093533">
        <w:rPr>
          <w:rFonts w:ascii="PT Serif" w:hAnsi="PT Serif" w:cs="PT Serif"/>
          <w:b w:val="0"/>
          <w:i w:val="0"/>
          <w:sz w:val="20"/>
        </w:rPr>
        <w:t xml:space="preserve"> en general, y en particular</w:t>
      </w:r>
      <w:r>
        <w:rPr>
          <w:rFonts w:ascii="PT Serif" w:hAnsi="PT Serif" w:cs="PT Serif"/>
          <w:b w:val="0"/>
          <w:i w:val="0"/>
          <w:sz w:val="20"/>
        </w:rPr>
        <w:t xml:space="preserve"> en materia de derechos humanos</w:t>
      </w:r>
      <w:r w:rsidR="00C74108">
        <w:rPr>
          <w:rFonts w:ascii="PT Serif" w:hAnsi="PT Serif" w:cs="PT Serif"/>
          <w:b w:val="0"/>
          <w:i w:val="0"/>
          <w:sz w:val="20"/>
        </w:rPr>
        <w:t>,</w:t>
      </w:r>
      <w:r>
        <w:rPr>
          <w:rFonts w:ascii="PT Serif" w:hAnsi="PT Serif" w:cs="PT Serif"/>
          <w:b w:val="0"/>
          <w:i w:val="0"/>
          <w:sz w:val="20"/>
        </w:rPr>
        <w:t xml:space="preserve"> </w:t>
      </w:r>
      <w:r w:rsidR="00286576">
        <w:rPr>
          <w:rFonts w:ascii="PT Serif" w:hAnsi="PT Serif" w:cs="PT Serif"/>
          <w:b w:val="0"/>
          <w:i w:val="0"/>
          <w:sz w:val="20"/>
        </w:rPr>
        <w:t>con base a qué parámetros</w:t>
      </w:r>
      <w:r w:rsidR="00C74108">
        <w:rPr>
          <w:rFonts w:ascii="PT Serif" w:hAnsi="PT Serif" w:cs="PT Serif"/>
          <w:b w:val="0"/>
          <w:i w:val="0"/>
          <w:sz w:val="20"/>
        </w:rPr>
        <w:t xml:space="preserve"> o principios</w:t>
      </w:r>
      <w:r w:rsidR="00286576">
        <w:rPr>
          <w:rFonts w:ascii="PT Serif" w:hAnsi="PT Serif" w:cs="PT Serif"/>
          <w:b w:val="0"/>
          <w:i w:val="0"/>
          <w:sz w:val="20"/>
        </w:rPr>
        <w:t xml:space="preserve"> se realiza</w:t>
      </w:r>
      <w:r w:rsidR="00434EBB">
        <w:rPr>
          <w:rFonts w:ascii="PT Serif" w:hAnsi="PT Serif" w:cs="PT Serif"/>
          <w:b w:val="0"/>
          <w:i w:val="0"/>
          <w:sz w:val="20"/>
        </w:rPr>
        <w:t>?</w:t>
      </w:r>
    </w:p>
    <w:p w14:paraId="7EC9BAB2" w14:textId="77777777" w:rsidR="00451CDB" w:rsidRPr="00C178F8" w:rsidRDefault="00451CDB" w:rsidP="00434EBB">
      <w:pPr>
        <w:pStyle w:val="03Texto"/>
        <w:spacing w:before="0"/>
        <w:ind w:firstLine="0"/>
        <w:rPr>
          <w:rFonts w:ascii="Open Sans" w:hAnsi="Open Sans" w:cs="Open Sans"/>
          <w:b/>
        </w:rPr>
      </w:pPr>
    </w:p>
    <w:p w14:paraId="13B7E722" w14:textId="782B4D61" w:rsidR="0019772A" w:rsidRPr="00C178F8" w:rsidRDefault="007F1B88" w:rsidP="004B561D">
      <w:pPr>
        <w:spacing w:after="360" w:line="240" w:lineRule="auto" w:before="160"/>
        <w:jc w:val="both"/>
        <w:rPr>
          <w:rFonts w:ascii="Open Sans" w:hAnsi="Open Sans" w:cs="Open Sans"/>
          <w:b/>
          <w:iCs/>
        </w:rPr>
      </w:pPr>
      <w:r w:rsidRPr="00C178F8">
        <w:rPr>
          <w:rFonts w:ascii="Open Sans" w:hAnsi="Open Sans" w:cs="Open Sans"/>
          <w:b/>
          <w:i w:val="0"/>
          <w:iCs/>
          <w:sz w:val="22"/>
        </w:rPr>
        <w:t>2. Cuestión de inconstitucionalidad e inconvencionalidad de normas internas:</w:t>
      </w:r>
      <w:r w:rsidR="00C220EC" w:rsidRPr="00C178F8">
        <w:rPr>
          <w:rFonts w:ascii="Open Sans" w:hAnsi="Open Sans" w:cs="Open Sans"/>
          <w:b/>
          <w:i w:val="0"/>
          <w:iCs/>
          <w:sz w:val="22"/>
        </w:rPr>
        <w:t xml:space="preserve"> a propósito de los derechos humanos de</w:t>
      </w:r>
      <w:r w:rsidR="003D700A" w:rsidRPr="00C178F8">
        <w:rPr>
          <w:rFonts w:ascii="Open Sans" w:hAnsi="Open Sans" w:cs="Open Sans"/>
          <w:b/>
          <w:i w:val="0"/>
          <w:iCs/>
          <w:sz w:val="22"/>
        </w:rPr>
        <w:t xml:space="preserve"> víctimas de violencia de género (ATC 301/2023, 6 junio) </w:t>
      </w:r>
    </w:p>
    <w:p w14:paraId="1BC0A8D0" w14:textId="77777777" w:rsidR="00451CDB" w:rsidRPr="003D700A" w:rsidRDefault="00451CDB" w:rsidP="004B561D">
      <w:pPr>
        <w:spacing w:after="0" w:line="264" w:lineRule="auto"/>
        <w:jc w:val="both"/>
        <w:rPr>
          <w:rFonts w:ascii="Open Sans" w:hAnsi="Open Sans" w:cs="Open Sans"/>
          <w:b/>
          <w:sz w:val="20"/>
          <w:szCs w:val="20"/>
        </w:rPr>
      </w:pPr>
    </w:p>
    <w:p w14:paraId="42C93D36" w14:textId="364B1276" w:rsidR="008A625C" w:rsidRPr="00053D4A" w:rsidRDefault="008A625C" w:rsidP="004B561D">
      <w:pPr>
        <w:spacing w:after="60" w:line="240" w:lineRule="auto" w:before="120"/>
        <w:jc w:val="both"/>
        <w:rPr>
          <w:rFonts w:ascii="PT Serif" w:hAnsi="PT Serif"/>
          <w:b/>
          <w:sz w:val="20"/>
          <w:szCs w:val="20"/>
        </w:rPr>
      </w:pPr>
      <w:r w:rsidRPr="00053D4A">
        <w:rPr>
          <w:rFonts w:ascii="PT Serif" w:hAnsi="PT Serif" w:cs="PT Serif"/>
          <w:b/>
          <w:i w:val="0"/>
          <w:sz w:val="20"/>
          <w:szCs w:val="20"/>
        </w:rPr>
        <w:t>2.1. Antecedentes</w:t>
      </w:r>
    </w:p>
    <w:p w14:paraId="5E2A3C5C" w14:textId="77777777" w:rsidR="00451CDB" w:rsidRDefault="00451CDB" w:rsidP="004B561D">
      <w:pPr>
        <w:spacing w:after="0" w:line="264" w:lineRule="auto"/>
        <w:jc w:val="both"/>
        <w:rPr>
          <w:rFonts w:ascii="Open Sans" w:hAnsi="Open Sans" w:cs="Open Sans"/>
          <w:b/>
        </w:rPr>
      </w:pPr>
    </w:p>
    <w:p w14:paraId="595DB311" w14:textId="29F13885"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El 14 de marzo de 2023 tuvo entrada en el registro general del TC un oficio del J</w:t>
      </w:r>
      <w:r>
        <w:rPr>
          <w:rFonts w:ascii="PT Serif" w:hAnsi="PT Serif" w:cs="PT Serif"/>
          <w:b w:val="0"/>
          <w:i w:val="0"/>
          <w:sz w:val="20"/>
          <w:szCs w:val="20"/>
        </w:rPr>
        <w:t xml:space="preserve">uzgado de Primera Instancia e Instrucción (en adelante, </w:t>
      </w:r>
      <w:r w:rsidR="00C74108">
        <w:rPr>
          <w:rFonts w:ascii="PT Serif" w:hAnsi="PT Serif" w:cs="PT Serif"/>
          <w:b w:val="0"/>
          <w:i w:val="0"/>
          <w:sz w:val="20"/>
          <w:szCs w:val="20"/>
        </w:rPr>
        <w:t>“</w:t>
      </w:r>
      <w:r>
        <w:rPr>
          <w:rFonts w:ascii="PT Serif" w:hAnsi="PT Serif" w:cs="PT Serif"/>
          <w:b w:val="0"/>
          <w:i w:val="0"/>
          <w:sz w:val="20"/>
          <w:szCs w:val="20"/>
        </w:rPr>
        <w:t>JPPI”)</w:t>
      </w:r>
      <w:r w:rsidRPr="004D5414">
        <w:rPr>
          <w:rFonts w:ascii="PT Serif" w:hAnsi="PT Serif" w:cs="PT Serif"/>
          <w:b w:val="0"/>
          <w:i w:val="0"/>
          <w:sz w:val="20"/>
          <w:szCs w:val="20"/>
        </w:rPr>
        <w:t xml:space="preserve"> número 3 de Ronda promoviendo una cuestión de inconstitucionalidad del art</w:t>
      </w:r>
      <w:r>
        <w:rPr>
          <w:rFonts w:ascii="PT Serif" w:hAnsi="PT Serif" w:cs="PT Serif"/>
          <w:b w:val="0"/>
          <w:i w:val="0"/>
          <w:sz w:val="20"/>
          <w:szCs w:val="20"/>
        </w:rPr>
        <w:t>ículo</w:t>
      </w:r>
      <w:r w:rsidRPr="004D5414">
        <w:rPr>
          <w:rFonts w:ascii="PT Serif" w:hAnsi="PT Serif" w:cs="PT Serif"/>
          <w:b w:val="0"/>
          <w:i w:val="0"/>
          <w:sz w:val="20"/>
          <w:szCs w:val="20"/>
        </w:rPr>
        <w:t xml:space="preserve"> 834</w:t>
      </w:r>
      <w:r>
        <w:rPr>
          <w:rFonts w:ascii="PT Serif" w:hAnsi="PT Serif" w:cs="PT Serif"/>
          <w:b w:val="0"/>
          <w:i w:val="0"/>
          <w:sz w:val="20"/>
          <w:szCs w:val="20"/>
        </w:rPr>
        <w:t xml:space="preserve"> del Código Civil (en adelante, “</w:t>
      </w:r>
      <w:r w:rsidRPr="004D5414">
        <w:rPr>
          <w:rFonts w:ascii="PT Serif" w:hAnsi="PT Serif" w:cs="PT Serif"/>
          <w:b w:val="0"/>
          <w:i w:val="0"/>
          <w:sz w:val="20"/>
          <w:szCs w:val="20"/>
        </w:rPr>
        <w:t>CC</w:t>
      </w:r>
      <w:r>
        <w:rPr>
          <w:rFonts w:ascii="PT Serif" w:hAnsi="PT Serif" w:cs="PT Serif"/>
          <w:b w:val="0"/>
          <w:i w:val="0"/>
          <w:sz w:val="20"/>
          <w:szCs w:val="20"/>
        </w:rPr>
        <w:t>”)</w:t>
      </w:r>
      <w:r w:rsidRPr="004D5414">
        <w:rPr>
          <w:rFonts w:ascii="PT Serif" w:hAnsi="PT Serif" w:cs="PT Serif"/>
          <w:b w:val="0"/>
          <w:i w:val="0"/>
          <w:sz w:val="20"/>
          <w:szCs w:val="20"/>
        </w:rPr>
        <w:t>.</w:t>
      </w:r>
    </w:p>
    <w:p w14:paraId="7AAB7EFF" w14:textId="77777777" w:rsidR="008A625C" w:rsidRPr="004D5414" w:rsidRDefault="008A625C" w:rsidP="008A625C">
      <w:pPr>
        <w:spacing w:after="0" w:line="264" w:lineRule="auto"/>
        <w:jc w:val="both"/>
        <w:rPr>
          <w:rFonts w:ascii="PT Serif" w:hAnsi="PT Serif"/>
          <w:sz w:val="20"/>
          <w:szCs w:val="20"/>
        </w:rPr>
      </w:pPr>
    </w:p>
    <w:p w14:paraId="2033E517" w14:textId="42176037" w:rsidR="008A625C" w:rsidRPr="004D5414"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A los efectos de entender el contexto</w:t>
      </w:r>
      <w:r>
        <w:rPr>
          <w:rFonts w:ascii="PT Serif" w:hAnsi="PT Serif" w:cs="PT Serif"/>
          <w:b w:val="0"/>
          <w:i w:val="0"/>
          <w:sz w:val="20"/>
          <w:szCs w:val="20"/>
        </w:rPr>
        <w:t xml:space="preserve">, </w:t>
      </w:r>
      <w:r w:rsidRPr="004D5414">
        <w:rPr>
          <w:rFonts w:ascii="PT Serif" w:hAnsi="PT Serif" w:cs="PT Serif"/>
          <w:b w:val="0"/>
          <w:i w:val="0"/>
          <w:sz w:val="20"/>
          <w:szCs w:val="20"/>
        </w:rPr>
        <w:t>es preciso tener presente que el JPII estaba tramitando un procedimiento de sucesión hereditaria en el que la viuda, víctima de violencia de género, solicitó la declaración de legitimaria en el caudal hereditario de su esposo.</w:t>
      </w:r>
    </w:p>
    <w:p w14:paraId="01E85EED" w14:textId="3F031CFF"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Fueron los tres hijos del matrimonio los que al no existir testamento del causante solicitaron declaración de herederos abintestato, omitiendo reconocer como legitimaria a la viuda al amparo de lo previsto en el art</w:t>
      </w:r>
      <w:r>
        <w:rPr>
          <w:rFonts w:ascii="PT Serif" w:hAnsi="PT Serif" w:cs="PT Serif"/>
          <w:b w:val="0"/>
          <w:i w:val="0"/>
          <w:sz w:val="20"/>
          <w:szCs w:val="20"/>
        </w:rPr>
        <w:t>ículo</w:t>
      </w:r>
      <w:r w:rsidRPr="004D5414">
        <w:rPr>
          <w:rFonts w:ascii="PT Serif" w:hAnsi="PT Serif" w:cs="PT Serif"/>
          <w:b w:val="0"/>
          <w:i w:val="0"/>
          <w:sz w:val="20"/>
          <w:szCs w:val="20"/>
        </w:rPr>
        <w:t xml:space="preserve"> 834 CC, en la medida en que los progenitores se encontraban separados al tiempo del fallecimiento del padre.</w:t>
      </w:r>
    </w:p>
    <w:p w14:paraId="4A8E6D15" w14:textId="77777777" w:rsidR="008A625C" w:rsidRPr="004D5414" w:rsidRDefault="008A625C" w:rsidP="008A625C">
      <w:pPr>
        <w:spacing w:after="0" w:line="264" w:lineRule="auto"/>
        <w:jc w:val="both"/>
        <w:rPr>
          <w:rFonts w:ascii="PT Serif" w:hAnsi="PT Serif"/>
          <w:sz w:val="20"/>
          <w:szCs w:val="20"/>
        </w:rPr>
      </w:pPr>
    </w:p>
    <w:p w14:paraId="54FBA74E" w14:textId="4EBC78A1"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 xml:space="preserve">La madre sostuvo que la separación se debió a una orden de alejamiento impuesta al fallecido por sentencia de un Juzgado de lo Penal dictada el 18 de febrero de 2018, condenado como autor de un delito de maltrato habitual del artículo 173.2 del Código Penal. Por el contrario, los hijos sostuvieron que la separación de los progenitores tuvo lugar antes de la emisión de la sentencia. En concreto, señalaron que </w:t>
      </w:r>
      <w:r>
        <w:rPr>
          <w:rFonts w:ascii="PT Serif" w:hAnsi="PT Serif" w:cs="PT Serif"/>
          <w:b w:val="0"/>
          <w:i w:val="0"/>
          <w:sz w:val="20"/>
          <w:szCs w:val="20"/>
        </w:rPr>
        <w:t>se produjo</w:t>
      </w:r>
      <w:r w:rsidRPr="004D5414">
        <w:rPr>
          <w:rFonts w:ascii="PT Serif" w:hAnsi="PT Serif" w:cs="PT Serif"/>
          <w:b w:val="0"/>
          <w:i w:val="0"/>
          <w:sz w:val="20"/>
          <w:szCs w:val="20"/>
        </w:rPr>
        <w:t xml:space="preserve"> desde el año 2013, por lo que debía aplicarse sin problema alguno el art</w:t>
      </w:r>
      <w:r>
        <w:rPr>
          <w:rFonts w:ascii="PT Serif" w:hAnsi="PT Serif" w:cs="PT Serif"/>
          <w:b w:val="0"/>
          <w:i w:val="0"/>
          <w:sz w:val="20"/>
          <w:szCs w:val="20"/>
        </w:rPr>
        <w:t>ículo</w:t>
      </w:r>
      <w:r w:rsidRPr="004D5414">
        <w:rPr>
          <w:rFonts w:ascii="PT Serif" w:hAnsi="PT Serif" w:cs="PT Serif"/>
          <w:b w:val="0"/>
          <w:i w:val="0"/>
          <w:sz w:val="20"/>
          <w:szCs w:val="20"/>
        </w:rPr>
        <w:t xml:space="preserve"> 834 CC, no debiéndose reconocer a la madre como legitimaria a la cuota legal con respecto al tercio de mejora.</w:t>
      </w:r>
    </w:p>
    <w:p w14:paraId="554E42A9" w14:textId="77777777" w:rsidR="008A625C" w:rsidRPr="004D5414" w:rsidRDefault="008A625C" w:rsidP="008A625C">
      <w:pPr>
        <w:spacing w:after="0" w:line="264" w:lineRule="auto"/>
        <w:jc w:val="both"/>
        <w:rPr>
          <w:rFonts w:ascii="PT Serif" w:hAnsi="PT Serif"/>
          <w:sz w:val="20"/>
          <w:szCs w:val="20"/>
        </w:rPr>
      </w:pPr>
    </w:p>
    <w:p w14:paraId="366039BE" w14:textId="495C7AFB"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El JPPI número 3 de Ronda acog</w:t>
      </w:r>
      <w:r>
        <w:rPr>
          <w:rFonts w:ascii="PT Serif" w:hAnsi="PT Serif" w:cs="PT Serif"/>
          <w:b w:val="0"/>
          <w:i w:val="0"/>
          <w:sz w:val="20"/>
          <w:szCs w:val="20"/>
        </w:rPr>
        <w:t>ió</w:t>
      </w:r>
      <w:r w:rsidRPr="004D5414">
        <w:rPr>
          <w:rFonts w:ascii="PT Serif" w:hAnsi="PT Serif" w:cs="PT Serif"/>
          <w:b w:val="0"/>
          <w:i w:val="0"/>
          <w:sz w:val="20"/>
          <w:szCs w:val="20"/>
        </w:rPr>
        <w:t xml:space="preserve"> la argumentación de la madre y antes de dictar sentencia en el procedimiento hereditario decid</w:t>
      </w:r>
      <w:r>
        <w:rPr>
          <w:rFonts w:ascii="PT Serif" w:hAnsi="PT Serif" w:cs="PT Serif"/>
          <w:b w:val="0"/>
          <w:i w:val="0"/>
          <w:sz w:val="20"/>
          <w:szCs w:val="20"/>
        </w:rPr>
        <w:t>ió</w:t>
      </w:r>
      <w:r w:rsidRPr="004D5414">
        <w:rPr>
          <w:rFonts w:ascii="PT Serif" w:hAnsi="PT Serif" w:cs="PT Serif"/>
          <w:b w:val="0"/>
          <w:i w:val="0"/>
          <w:sz w:val="20"/>
          <w:szCs w:val="20"/>
        </w:rPr>
        <w:t xml:space="preserve"> promover cuestión de inconstitucionalidad del art</w:t>
      </w:r>
      <w:r>
        <w:rPr>
          <w:rFonts w:ascii="PT Serif" w:hAnsi="PT Serif" w:cs="PT Serif"/>
          <w:b w:val="0"/>
          <w:i w:val="0"/>
          <w:sz w:val="20"/>
          <w:szCs w:val="20"/>
        </w:rPr>
        <w:t>ículo</w:t>
      </w:r>
      <w:r w:rsidRPr="004D5414">
        <w:rPr>
          <w:rFonts w:ascii="PT Serif" w:hAnsi="PT Serif" w:cs="PT Serif"/>
          <w:b w:val="0"/>
          <w:i w:val="0"/>
          <w:sz w:val="20"/>
          <w:szCs w:val="20"/>
        </w:rPr>
        <w:t xml:space="preserve"> 834 </w:t>
      </w:r>
      <w:r w:rsidRPr="004D5414">
        <w:rPr>
          <w:rFonts w:ascii="PT Serif" w:hAnsi="PT Serif" w:cs="PT Serif"/>
          <w:b w:val="0"/>
          <w:i w:val="0"/>
          <w:sz w:val="20"/>
          <w:szCs w:val="20"/>
        </w:rPr>
        <w:lastRenderedPageBreak/>
        <w:t xml:space="preserve">CC </w:t>
      </w:r>
      <w:r w:rsidRPr="00B44CE4">
        <w:rPr>
          <w:rFonts w:ascii="PT Serif" w:hAnsi="PT Serif" w:cs="PT Serif"/>
          <w:b w:val="0"/>
          <w:i w:val="0"/>
          <w:sz w:val="20"/>
          <w:szCs w:val="20"/>
        </w:rPr>
        <w:t>«</w:t>
      </w:r>
      <w:r w:rsidRPr="004D5414">
        <w:rPr>
          <w:rFonts w:ascii="PT Serif" w:hAnsi="PT Serif" w:cs="PT Serif"/>
          <w:b w:val="0"/>
          <w:i w:val="0"/>
          <w:sz w:val="20"/>
          <w:szCs w:val="20"/>
        </w:rPr>
        <w:t>por ser contrario al principio de igualdad perjudicando a las víctimas de violencia de género que para salvaguardar su integridad física hayan sido protegidas mediante orden de protección, pudiendo suponer igualmente una vulneración de los tratados internacionales firmados por España en esta materia particularmente del Convenio de Estambul y sus protocolos</w:t>
      </w:r>
      <w:r w:rsidRPr="00B76E3F">
        <w:rPr>
          <w:rFonts w:ascii="PT Serif" w:hAnsi="PT Serif" w:cs="PT Serif"/>
          <w:b w:val="0"/>
          <w:i w:val="0"/>
          <w:sz w:val="20"/>
          <w:szCs w:val="20"/>
        </w:rPr>
        <w:t>»</w:t>
      </w:r>
      <w:r w:rsidRPr="004D5414">
        <w:rPr>
          <w:rFonts w:ascii="PT Serif" w:hAnsi="PT Serif" w:cs="PT Serif"/>
          <w:b w:val="0"/>
          <w:i w:val="0"/>
          <w:sz w:val="20"/>
          <w:szCs w:val="20"/>
        </w:rPr>
        <w:t xml:space="preserve"> (antecedente 2).</w:t>
      </w:r>
    </w:p>
    <w:p w14:paraId="2493FA87" w14:textId="77777777" w:rsidR="008A625C" w:rsidRPr="004D5414" w:rsidRDefault="008A625C" w:rsidP="008A625C">
      <w:pPr>
        <w:spacing w:after="0" w:line="264" w:lineRule="auto"/>
        <w:jc w:val="both"/>
        <w:rPr>
          <w:rFonts w:ascii="PT Serif" w:hAnsi="PT Serif"/>
          <w:sz w:val="20"/>
          <w:szCs w:val="20"/>
        </w:rPr>
      </w:pPr>
    </w:p>
    <w:p w14:paraId="5BFED1FA" w14:textId="1BB7A758"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El Juzgado pone de relieve que el art</w:t>
      </w:r>
      <w:r>
        <w:rPr>
          <w:rFonts w:ascii="PT Serif" w:hAnsi="PT Serif" w:cs="PT Serif"/>
          <w:b w:val="0"/>
          <w:i w:val="0"/>
          <w:sz w:val="20"/>
          <w:szCs w:val="20"/>
        </w:rPr>
        <w:t>ículo</w:t>
      </w:r>
      <w:r w:rsidRPr="004D5414">
        <w:rPr>
          <w:rFonts w:ascii="PT Serif" w:hAnsi="PT Serif" w:cs="PT Serif"/>
          <w:b w:val="0"/>
          <w:i w:val="0"/>
          <w:sz w:val="20"/>
          <w:szCs w:val="20"/>
        </w:rPr>
        <w:t xml:space="preserve"> 834 CC aplicado en los casos en que exista una separación motivada por una orden de alejamiento </w:t>
      </w:r>
      <w:r w:rsidRPr="00B44CE4">
        <w:rPr>
          <w:rFonts w:ascii="PT Serif" w:hAnsi="PT Serif" w:cs="PT Serif"/>
          <w:b w:val="0"/>
          <w:i w:val="0"/>
          <w:sz w:val="20"/>
          <w:szCs w:val="20"/>
        </w:rPr>
        <w:t>«</w:t>
      </w:r>
      <w:r w:rsidRPr="004D5414">
        <w:rPr>
          <w:rFonts w:ascii="PT Serif" w:hAnsi="PT Serif" w:cs="PT Serif"/>
          <w:b w:val="0"/>
          <w:i w:val="0"/>
          <w:sz w:val="20"/>
          <w:szCs w:val="20"/>
        </w:rPr>
        <w:t>provoca una doble victimización de la mujer, que es perjudicada directamente por el delito y que se</w:t>
      </w:r>
      <w:r>
        <w:rPr>
          <w:rFonts w:ascii="PT Serif" w:hAnsi="PT Serif" w:cs="PT Serif"/>
          <w:b w:val="0"/>
          <w:i w:val="0"/>
          <w:sz w:val="20"/>
          <w:szCs w:val="20"/>
        </w:rPr>
        <w:t xml:space="preserve"> ve</w:t>
      </w:r>
      <w:r w:rsidRPr="004D5414">
        <w:rPr>
          <w:rFonts w:ascii="PT Serif" w:hAnsi="PT Serif" w:cs="PT Serif"/>
          <w:b w:val="0"/>
          <w:i w:val="0"/>
          <w:sz w:val="20"/>
          <w:szCs w:val="20"/>
        </w:rPr>
        <w:t xml:space="preserve"> privada por la regulación civil del derecho al usufructo del tercio destinado a mejora</w:t>
      </w:r>
      <w:r w:rsidRPr="00B76E3F">
        <w:rPr>
          <w:rFonts w:ascii="PT Serif" w:hAnsi="PT Serif" w:cs="PT Serif"/>
          <w:b w:val="0"/>
          <w:i w:val="0"/>
          <w:sz w:val="20"/>
          <w:szCs w:val="20"/>
        </w:rPr>
        <w:t>»</w:t>
      </w:r>
      <w:r w:rsidRPr="004D5414">
        <w:rPr>
          <w:rFonts w:ascii="PT Serif" w:hAnsi="PT Serif" w:cs="PT Serif"/>
          <w:b w:val="0"/>
          <w:i w:val="0"/>
          <w:sz w:val="20"/>
          <w:szCs w:val="20"/>
        </w:rPr>
        <w:t xml:space="preserve"> (antecedente 3).</w:t>
      </w:r>
    </w:p>
    <w:p w14:paraId="59CA41DB" w14:textId="77777777" w:rsidR="008A625C" w:rsidRPr="004D5414" w:rsidRDefault="008A625C" w:rsidP="008A625C">
      <w:pPr>
        <w:spacing w:after="0" w:line="264" w:lineRule="auto"/>
        <w:jc w:val="both"/>
        <w:rPr>
          <w:rFonts w:ascii="PT Serif" w:hAnsi="PT Serif"/>
          <w:sz w:val="20"/>
          <w:szCs w:val="20"/>
        </w:rPr>
      </w:pPr>
    </w:p>
    <w:p w14:paraId="1ECE805F" w14:textId="0CADE398" w:rsidR="00620B3D" w:rsidRDefault="008A625C" w:rsidP="002264B7">
      <w:pPr>
        <w:spacing w:after="120" w:line="264" w:lineRule="auto"/>
        <w:ind w:firstLine="0"/>
        <w:jc w:val="both"/>
        <w:rPr>
          <w:rFonts w:ascii="PT Serif" w:hAnsi="PT Serif"/>
          <w:sz w:val="20"/>
          <w:szCs w:val="20"/>
        </w:rPr>
      </w:pPr>
      <w:r w:rsidRPr="004D5414">
        <w:rPr>
          <w:rFonts w:ascii="PT Serif" w:hAnsi="PT Serif" w:cs="PT Serif"/>
          <w:b w:val="0"/>
          <w:i w:val="0"/>
          <w:sz w:val="20"/>
          <w:szCs w:val="20"/>
        </w:rPr>
        <w:t>Por todo ello, el JPII presum</w:t>
      </w:r>
      <w:r>
        <w:rPr>
          <w:rFonts w:ascii="PT Serif" w:hAnsi="PT Serif" w:cs="PT Serif"/>
          <w:b w:val="0"/>
          <w:i w:val="0"/>
          <w:sz w:val="20"/>
          <w:szCs w:val="20"/>
        </w:rPr>
        <w:t>ió que el artículo</w:t>
      </w:r>
      <w:r w:rsidRPr="004D5414">
        <w:rPr>
          <w:rFonts w:ascii="PT Serif" w:hAnsi="PT Serif" w:cs="PT Serif"/>
          <w:b w:val="0"/>
          <w:i w:val="0"/>
          <w:sz w:val="20"/>
          <w:szCs w:val="20"/>
        </w:rPr>
        <w:t xml:space="preserve"> 834 CC e</w:t>
      </w:r>
      <w:r>
        <w:rPr>
          <w:rFonts w:ascii="PT Serif" w:hAnsi="PT Serif" w:cs="PT Serif"/>
          <w:b w:val="0"/>
          <w:i w:val="0"/>
          <w:sz w:val="20"/>
          <w:szCs w:val="20"/>
        </w:rPr>
        <w:t>ra</w:t>
      </w:r>
      <w:r w:rsidRPr="004D5414">
        <w:rPr>
          <w:rFonts w:ascii="PT Serif" w:hAnsi="PT Serif" w:cs="PT Serif"/>
          <w:b w:val="0"/>
          <w:i w:val="0"/>
          <w:sz w:val="20"/>
          <w:szCs w:val="20"/>
        </w:rPr>
        <w:t xml:space="preserve"> sospechoso de inconstitucionalidad </w:t>
      </w:r>
      <w:r w:rsidRPr="00B44CE4">
        <w:rPr>
          <w:rFonts w:ascii="PT Serif" w:hAnsi="PT Serif" w:cs="PT Serif"/>
          <w:b w:val="0"/>
          <w:i w:val="0"/>
          <w:sz w:val="20"/>
          <w:szCs w:val="20"/>
        </w:rPr>
        <w:t>«</w:t>
      </w:r>
      <w:r w:rsidRPr="004D5414">
        <w:rPr>
          <w:rFonts w:ascii="PT Serif" w:hAnsi="PT Serif" w:cs="PT Serif"/>
          <w:b w:val="0"/>
          <w:i w:val="0"/>
          <w:sz w:val="20"/>
          <w:szCs w:val="20"/>
        </w:rPr>
        <w:t>al no diferencia</w:t>
      </w:r>
      <w:r>
        <w:rPr>
          <w:rFonts w:ascii="PT Serif" w:hAnsi="PT Serif" w:cs="PT Serif"/>
          <w:b w:val="0"/>
          <w:i w:val="0"/>
          <w:sz w:val="20"/>
          <w:szCs w:val="20"/>
        </w:rPr>
        <w:t xml:space="preserve">r </w:t>
      </w:r>
      <w:r w:rsidRPr="004D5414">
        <w:rPr>
          <w:rFonts w:ascii="PT Serif" w:hAnsi="PT Serif" w:cs="PT Serif"/>
          <w:b w:val="0"/>
          <w:i w:val="0"/>
          <w:sz w:val="20"/>
          <w:szCs w:val="20"/>
        </w:rPr>
        <w:t>entre motivos de la separación de hecho</w:t>
      </w:r>
      <w:r w:rsidRPr="00B76E3F">
        <w:rPr>
          <w:rFonts w:ascii="PT Serif" w:hAnsi="PT Serif" w:cs="PT Serif"/>
          <w:b w:val="0"/>
          <w:i w:val="0"/>
          <w:sz w:val="20"/>
          <w:szCs w:val="20"/>
        </w:rPr>
        <w:t>»</w:t>
      </w:r>
      <w:r w:rsidRPr="004D5414">
        <w:rPr>
          <w:rFonts w:ascii="PT Serif" w:hAnsi="PT Serif" w:cs="PT Serif"/>
          <w:b w:val="0"/>
          <w:i w:val="0"/>
          <w:sz w:val="20"/>
          <w:szCs w:val="20"/>
        </w:rPr>
        <w:t xml:space="preserve">, lo que supone </w:t>
      </w:r>
      <w:r w:rsidRPr="00B44CE4">
        <w:rPr>
          <w:rFonts w:ascii="PT Serif" w:hAnsi="PT Serif" w:cs="PT Serif"/>
          <w:b w:val="0"/>
          <w:i w:val="0"/>
          <w:sz w:val="20"/>
          <w:szCs w:val="20"/>
        </w:rPr>
        <w:t>«</w:t>
      </w:r>
      <w:r w:rsidRPr="004D5414">
        <w:rPr>
          <w:rFonts w:ascii="PT Serif" w:hAnsi="PT Serif" w:cs="PT Serif"/>
          <w:b w:val="0"/>
          <w:i w:val="0"/>
          <w:sz w:val="20"/>
          <w:szCs w:val="20"/>
        </w:rPr>
        <w:t xml:space="preserve">una discriminación injustificada en perjuicio de las víctimas de violencia de género y produce una vulneración </w:t>
      </w:r>
      <w:r>
        <w:rPr>
          <w:rFonts w:ascii="PT Serif" w:hAnsi="PT Serif" w:cs="PT Serif"/>
          <w:b w:val="0"/>
          <w:i w:val="0"/>
          <w:sz w:val="20"/>
          <w:szCs w:val="20"/>
        </w:rPr>
        <w:t xml:space="preserve">(…) </w:t>
      </w:r>
      <w:r w:rsidRPr="004D5414">
        <w:rPr>
          <w:rFonts w:ascii="PT Serif" w:hAnsi="PT Serif" w:cs="PT Serif"/>
          <w:b w:val="0"/>
          <w:i w:val="0"/>
          <w:sz w:val="20"/>
          <w:szCs w:val="20"/>
        </w:rPr>
        <w:t xml:space="preserve"> directa a los arts. 12.3, 18 y 29 del convenio antes citado</w:t>
      </w:r>
      <w:r w:rsidRPr="00B76E3F">
        <w:rPr>
          <w:rFonts w:ascii="PT Serif" w:hAnsi="PT Serif" w:cs="PT Serif"/>
          <w:b w:val="0"/>
          <w:i w:val="0"/>
          <w:sz w:val="20"/>
          <w:szCs w:val="20"/>
        </w:rPr>
        <w:t>»</w:t>
      </w:r>
      <w:r w:rsidRPr="004D5414">
        <w:rPr>
          <w:rFonts w:ascii="PT Serif" w:hAnsi="PT Serif" w:cs="PT Serif"/>
          <w:b w:val="0"/>
          <w:i w:val="0"/>
          <w:sz w:val="20"/>
          <w:szCs w:val="20"/>
        </w:rPr>
        <w:t xml:space="preserve">, en concreto, </w:t>
      </w:r>
      <w:r w:rsidR="00620B3D">
        <w:rPr>
          <w:rFonts w:ascii="PT Serif" w:hAnsi="PT Serif" w:cs="PT Serif"/>
          <w:b w:val="0"/>
          <w:i w:val="0"/>
          <w:sz w:val="20"/>
          <w:szCs w:val="20"/>
        </w:rPr>
        <w:t xml:space="preserve">el Convenio del </w:t>
      </w:r>
      <w:r w:rsidR="00620B3D" w:rsidRPr="00620B3D">
        <w:rPr>
          <w:rFonts w:ascii="PT Serif" w:hAnsi="PT Serif" w:cs="PT Serif"/>
          <w:b w:val="0"/>
          <w:i w:val="0"/>
          <w:sz w:val="20"/>
          <w:szCs w:val="20"/>
        </w:rPr>
        <w:t>Consejo de Europa sobre prevención y lucha contra la violencia contra la mujer y la violencia doméstica, hecho en Estambul el 11 de mayo de 2011</w:t>
      </w:r>
      <w:r w:rsidR="00620B3D">
        <w:rPr>
          <w:rFonts w:ascii="PT Serif" w:hAnsi="PT Serif" w:cs="PT Serif"/>
          <w:b w:val="0"/>
          <w:i w:val="0"/>
          <w:sz w:val="20"/>
          <w:szCs w:val="20"/>
        </w:rPr>
        <w:t xml:space="preserve"> (en adelante, “Convenio de Estambul”)</w:t>
      </w:r>
      <w:r w:rsidR="002264B7">
        <w:rPr>
          <w:rFonts w:ascii="PT Serif" w:hAnsi="PT Serif" w:cs="PT Serif"/>
          <w:b w:val="0"/>
          <w:i w:val="0"/>
          <w:sz w:val="20"/>
          <w:szCs w:val="20"/>
        </w:rPr>
        <w:t xml:space="preserve">, </w:t>
      </w:r>
      <w:r w:rsidR="002264B7" w:rsidRPr="0019772A">
        <w:rPr>
          <w:rFonts w:ascii="PT Serif" w:hAnsi="PT Serif" w:cs="PT Serif"/>
          <w:b w:val="0"/>
          <w:i w:val="0"/>
          <w:sz w:val="20"/>
          <w:szCs w:val="20"/>
        </w:rPr>
        <w:t>el 11 de mayo de 201</w:t>
      </w:r>
      <w:r w:rsidR="002264B7">
        <w:rPr>
          <w:rFonts w:ascii="PT Serif" w:hAnsi="PT Serif" w:cs="PT Serif"/>
          <w:b w:val="0"/>
          <w:i w:val="0"/>
          <w:sz w:val="20"/>
        </w:rPr>
        <w:t>5</w:t>
      </w:r>
      <w:r w:rsidR="002264B7">
        <w:rPr>
          <w:rStyle w:val="Refernciadenotaapeudepgina"/>
          <w:rFonts w:ascii="PT Serif" w:hAnsi="PT Serif" w:cs="PT Serif"/>
          <w:b w:val="0"/>
          <w:i w:val="0"/>
          <w:sz w:val="20"/>
        </w:rPr>
        <w:footnoteReference w:id="17"/>
      </w:r>
      <w:r w:rsidR="00620B3D">
        <w:rPr>
          <w:rFonts w:ascii="PT Serif" w:hAnsi="PT Serif" w:cs="PT Serif"/>
          <w:b w:val="0"/>
          <w:i w:val="0"/>
          <w:sz w:val="20"/>
          <w:szCs w:val="20"/>
        </w:rPr>
        <w:t>.</w:t>
      </w:r>
    </w:p>
    <w:p w14:paraId="79D7DFAC" w14:textId="77777777" w:rsidR="00053D4A" w:rsidRPr="00620B3D" w:rsidRDefault="00053D4A" w:rsidP="002264B7">
      <w:pPr>
        <w:spacing w:after="0" w:line="240" w:lineRule="auto"/>
        <w:jc w:val="both"/>
        <w:rPr>
          <w:rFonts w:ascii="PT Serif" w:hAnsi="PT Serif"/>
          <w:sz w:val="20"/>
          <w:szCs w:val="20"/>
        </w:rPr>
      </w:pPr>
    </w:p>
    <w:p w14:paraId="64036666" w14:textId="095E1E2B" w:rsidR="008A625C" w:rsidRDefault="008A625C" w:rsidP="008A625C">
      <w:pPr>
        <w:spacing w:after="120" w:line="264" w:lineRule="auto"/>
        <w:ind w:firstLine="0"/>
        <w:jc w:val="both"/>
        <w:rPr>
          <w:rFonts w:ascii="PT Serif" w:hAnsi="PT Serif"/>
          <w:sz w:val="20"/>
          <w:szCs w:val="20"/>
        </w:rPr>
      </w:pPr>
      <w:r w:rsidRPr="004D5414">
        <w:rPr>
          <w:rFonts w:ascii="PT Serif" w:hAnsi="PT Serif" w:cs="PT Serif"/>
          <w:b w:val="0"/>
          <w:i w:val="0"/>
          <w:sz w:val="20"/>
          <w:szCs w:val="20"/>
        </w:rPr>
        <w:t xml:space="preserve">En definitiva, como puede apreciarse, la cuestión de inconstitucionalidad se fundamenta en </w:t>
      </w:r>
      <w:r>
        <w:rPr>
          <w:rFonts w:ascii="PT Serif" w:hAnsi="PT Serif" w:cs="PT Serif"/>
          <w:b w:val="0"/>
          <w:i w:val="0"/>
          <w:sz w:val="20"/>
          <w:szCs w:val="20"/>
        </w:rPr>
        <w:t>la sospecha de que</w:t>
      </w:r>
      <w:r w:rsidRPr="004D5414">
        <w:rPr>
          <w:rFonts w:ascii="PT Serif" w:hAnsi="PT Serif" w:cs="PT Serif"/>
          <w:b w:val="0"/>
          <w:i w:val="0"/>
          <w:sz w:val="20"/>
          <w:szCs w:val="20"/>
        </w:rPr>
        <w:t xml:space="preserve"> el art</w:t>
      </w:r>
      <w:r w:rsidR="00620B3D">
        <w:rPr>
          <w:rFonts w:ascii="PT Serif" w:hAnsi="PT Serif" w:cs="PT Serif"/>
          <w:b w:val="0"/>
          <w:i w:val="0"/>
          <w:sz w:val="20"/>
          <w:szCs w:val="20"/>
        </w:rPr>
        <w:t>ículo</w:t>
      </w:r>
      <w:r w:rsidRPr="004D5414">
        <w:rPr>
          <w:rFonts w:ascii="PT Serif" w:hAnsi="PT Serif" w:cs="PT Serif"/>
          <w:b w:val="0"/>
          <w:i w:val="0"/>
          <w:sz w:val="20"/>
          <w:szCs w:val="20"/>
        </w:rPr>
        <w:t xml:space="preserve"> 834 CC contradice</w:t>
      </w:r>
      <w:r>
        <w:rPr>
          <w:rFonts w:ascii="PT Serif" w:hAnsi="PT Serif" w:cs="PT Serif"/>
          <w:b w:val="0"/>
          <w:i w:val="0"/>
          <w:sz w:val="20"/>
          <w:szCs w:val="20"/>
        </w:rPr>
        <w:t>, principalmente,</w:t>
      </w:r>
      <w:r w:rsidRPr="004D5414">
        <w:rPr>
          <w:rFonts w:ascii="PT Serif" w:hAnsi="PT Serif" w:cs="PT Serif"/>
          <w:b w:val="0"/>
          <w:i w:val="0"/>
          <w:sz w:val="20"/>
          <w:szCs w:val="20"/>
        </w:rPr>
        <w:t xml:space="preserve"> varios preceptos de carácter convencional.</w:t>
      </w:r>
      <w:r>
        <w:rPr>
          <w:rFonts w:ascii="PT Serif" w:hAnsi="PT Serif" w:cs="PT Serif"/>
          <w:b w:val="0"/>
          <w:i w:val="0"/>
          <w:sz w:val="20"/>
          <w:szCs w:val="20"/>
        </w:rPr>
        <w:t xml:space="preserve"> Es decir, se toma como canon de constitucionalidad de</w:t>
      </w:r>
      <w:r w:rsidR="00620B3D">
        <w:rPr>
          <w:rFonts w:ascii="PT Serif" w:hAnsi="PT Serif" w:cs="PT Serif"/>
          <w:b w:val="0"/>
          <w:i w:val="0"/>
          <w:sz w:val="20"/>
          <w:szCs w:val="20"/>
        </w:rPr>
        <w:t xml:space="preserve"> una norma interna, </w:t>
      </w:r>
      <w:r>
        <w:rPr>
          <w:rFonts w:ascii="PT Serif" w:hAnsi="PT Serif" w:cs="PT Serif"/>
          <w:b w:val="0"/>
          <w:i w:val="0"/>
          <w:sz w:val="20"/>
          <w:szCs w:val="20"/>
        </w:rPr>
        <w:t>varios preceptos de un tratado internacional que consagra derechos a las mujeres víctimas de violencia de género y doméstica y que impone obligaciones a los Estados parte.</w:t>
      </w:r>
    </w:p>
    <w:p w14:paraId="24D935A7" w14:textId="77777777" w:rsidR="00053D4A" w:rsidRDefault="00053D4A" w:rsidP="008A625C">
      <w:pPr>
        <w:spacing w:after="0" w:line="264" w:lineRule="auto"/>
        <w:jc w:val="both"/>
        <w:rPr>
          <w:rFonts w:ascii="PT Serif" w:hAnsi="PT Serif"/>
          <w:sz w:val="20"/>
          <w:szCs w:val="20"/>
        </w:rPr>
      </w:pPr>
    </w:p>
    <w:p w14:paraId="5CBB7934" w14:textId="1A7CC93D" w:rsidR="00620B3D" w:rsidRDefault="00620B3D" w:rsidP="008A625C">
      <w:pPr>
        <w:spacing w:after="120" w:line="264" w:lineRule="auto"/>
        <w:ind w:firstLine="0"/>
        <w:jc w:val="both"/>
        <w:rPr>
          <w:rFonts w:ascii="PT Serif" w:hAnsi="PT Serif"/>
          <w:sz w:val="20"/>
          <w:szCs w:val="20"/>
        </w:rPr>
      </w:pPr>
      <w:r>
        <w:rPr>
          <w:rFonts w:ascii="PT Serif" w:hAnsi="PT Serif" w:cs="PT Serif"/>
          <w:b w:val="0"/>
          <w:i w:val="0"/>
          <w:sz w:val="20"/>
          <w:szCs w:val="20"/>
        </w:rPr>
        <w:t>A los efectos de poder comprender mejor el alcance de la cuestión planteada y prestar atención a la decisión que toma el TC, consideramos oportuno concretar algunos aspectos relacionados con la violencia de género y el derecho a la legítima viudal.</w:t>
      </w:r>
    </w:p>
    <w:p w14:paraId="68D7978C" w14:textId="77777777" w:rsidR="00053D4A" w:rsidRDefault="00053D4A" w:rsidP="008A625C">
      <w:pPr>
        <w:spacing w:after="0" w:line="264" w:lineRule="auto"/>
        <w:jc w:val="both"/>
        <w:rPr>
          <w:rFonts w:ascii="PT Serif" w:hAnsi="PT Serif"/>
          <w:sz w:val="20"/>
          <w:szCs w:val="20"/>
        </w:rPr>
      </w:pPr>
    </w:p>
    <w:p w14:paraId="14D2DA14" w14:textId="68649992" w:rsidR="00620B3D" w:rsidRDefault="00620B3D" w:rsidP="008A625C">
      <w:pPr>
        <w:spacing w:after="60" w:line="240" w:lineRule="auto" w:before="120"/>
        <w:jc w:val="both"/>
        <w:rPr>
          <w:rFonts w:ascii="PT Serif" w:hAnsi="PT Serif"/>
          <w:b/>
          <w:bCs/>
          <w:sz w:val="20"/>
          <w:szCs w:val="20"/>
        </w:rPr>
      </w:pPr>
      <w:r>
        <w:rPr>
          <w:rFonts w:ascii="PT Serif" w:hAnsi="PT Serif" w:cs="PT Serif"/>
          <w:b/>
          <w:bCs/>
          <w:i w:val="0"/>
          <w:sz w:val="20"/>
          <w:szCs w:val="20"/>
        </w:rPr>
        <w:t xml:space="preserve">2.2. </w:t>
      </w:r>
      <w:r w:rsidR="002264B7">
        <w:rPr>
          <w:rFonts w:ascii="PT Serif" w:hAnsi="PT Serif" w:cs="PT Serif"/>
          <w:b/>
          <w:bCs/>
          <w:i w:val="0"/>
          <w:sz w:val="20"/>
          <w:szCs w:val="20"/>
        </w:rPr>
        <w:t>V</w:t>
      </w:r>
      <w:r>
        <w:rPr>
          <w:rFonts w:ascii="PT Serif" w:hAnsi="PT Serif" w:cs="PT Serif"/>
          <w:b/>
          <w:bCs/>
          <w:i w:val="0"/>
          <w:sz w:val="20"/>
          <w:szCs w:val="20"/>
        </w:rPr>
        <w:t>iolencia de género</w:t>
      </w:r>
      <w:r w:rsidR="002264B7">
        <w:rPr>
          <w:rFonts w:ascii="PT Serif" w:hAnsi="PT Serif" w:cs="PT Serif"/>
          <w:b/>
          <w:bCs/>
          <w:i w:val="0"/>
          <w:sz w:val="20"/>
          <w:szCs w:val="20"/>
        </w:rPr>
        <w:t xml:space="preserve"> y legítima viudal</w:t>
      </w:r>
    </w:p>
    <w:p w14:paraId="25E2DB91" w14:textId="77777777" w:rsidR="00053D4A" w:rsidRDefault="00053D4A" w:rsidP="008A625C">
      <w:pPr>
        <w:spacing w:after="0" w:line="264" w:lineRule="auto"/>
        <w:jc w:val="both"/>
        <w:rPr>
          <w:rFonts w:ascii="PT Serif" w:hAnsi="PT Serif"/>
          <w:b/>
          <w:bCs/>
          <w:sz w:val="20"/>
          <w:szCs w:val="20"/>
        </w:rPr>
      </w:pPr>
    </w:p>
    <w:p w14:paraId="2D16E4A8" w14:textId="673A6013" w:rsidR="00620B3D" w:rsidRPr="002E18B6" w:rsidRDefault="002264B7" w:rsidP="002E18B6">
      <w:pPr>
        <w:pStyle w:val="Pargrafdellista"/>
        <w:numPr>
          <w:ilvl w:val="2"/>
          <w:numId w:val="35"/>
        </w:numPr>
        <w:spacing w:after="120" w:line="264" w:lineRule="auto"/>
        <w:ind w:left="567" w:firstLine="0"/>
        <w:jc w:val="both"/>
        <w:rPr>
          <w:rFonts w:ascii="PT Serif" w:hAnsi="PT Serif"/>
          <w:i/>
          <w:iCs/>
          <w:sz w:val="20"/>
          <w:szCs w:val="20"/>
        </w:rPr>
      </w:pPr>
      <w:r w:rsidRPr="002E18B6">
        <w:rPr>
          <w:rFonts w:ascii="PT Serif" w:hAnsi="PT Serif" w:cs="PT Serif"/>
          <w:b w:val="0"/>
          <w:i/>
          <w:iCs/>
          <w:sz w:val="20"/>
          <w:szCs w:val="20"/>
        </w:rPr>
        <w:t>Convenio de Estambul y derechos de las víctimas</w:t>
      </w:r>
    </w:p>
    <w:p w14:paraId="32EC3062" w14:textId="77777777" w:rsidR="00053D4A" w:rsidRPr="00620B3D" w:rsidRDefault="00053D4A" w:rsidP="008A625C">
      <w:pPr>
        <w:spacing w:after="0" w:line="264" w:lineRule="auto"/>
        <w:jc w:val="both"/>
        <w:rPr>
          <w:rFonts w:ascii="PT Serif" w:hAnsi="PT Serif"/>
          <w:b/>
          <w:bCs/>
          <w:sz w:val="20"/>
          <w:szCs w:val="20"/>
        </w:rPr>
      </w:pPr>
    </w:p>
    <w:p w14:paraId="26B64993" w14:textId="77777777" w:rsidR="0019772A" w:rsidRP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Enfrentarse al problema de la violencia de género y analizar las soluciones que desde un punto de vista normativo se han adoptado para combatirla, exige prestar atención a dos perspectivas.</w:t>
      </w:r>
    </w:p>
    <w:p w14:paraId="3A315708" w14:textId="2672EF90" w:rsidR="0019772A" w:rsidRP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Por un lado, obviamente, hay que tener presente la regulación normativa interna. Al respecto, la norma principal es la Ley Orgánica 1/2004, 28 diciembre, de medidas para la protección integral contra la violencia de género</w:t>
      </w:r>
      <w:r w:rsidR="00B44CE4">
        <w:rPr>
          <w:rStyle w:val="Refernciadenotaapeudepgina"/>
          <w:rFonts w:ascii="PT Serif" w:hAnsi="PT Serif" w:cs="PT Serif"/>
          <w:b w:val="0"/>
          <w:i w:val="0"/>
          <w:sz w:val="20"/>
          <w:szCs w:val="20"/>
        </w:rPr>
        <w:footnoteReference w:id="18"/>
      </w:r>
      <w:r w:rsidRPr="0019772A">
        <w:rPr>
          <w:rFonts w:ascii="PT Serif" w:hAnsi="PT Serif" w:cs="PT Serif"/>
          <w:b w:val="0"/>
          <w:i w:val="0"/>
          <w:sz w:val="20"/>
          <w:szCs w:val="20"/>
        </w:rPr>
        <w:t xml:space="preserve"> (en adelante, “LO 1/2004”). Como se indica en el apartado II de la exposición de motivos de esta ley </w:t>
      </w:r>
      <w:r w:rsidR="00E72A74" w:rsidRPr="00E72A74">
        <w:rPr>
          <w:rFonts w:ascii="PT Serif" w:hAnsi="PT Serif" w:cs="PT Serif"/>
          <w:b w:val="0"/>
          <w:i w:val="0"/>
          <w:sz w:val="20"/>
          <w:szCs w:val="20"/>
        </w:rPr>
        <w:t>«</w:t>
      </w:r>
      <w:r w:rsidRPr="0019772A">
        <w:rPr>
          <w:rFonts w:ascii="PT Serif" w:hAnsi="PT Serif" w:cs="PT Serif"/>
          <w:b w:val="0"/>
          <w:i w:val="0"/>
          <w:sz w:val="20"/>
          <w:szCs w:val="20"/>
        </w:rPr>
        <w:t xml:space="preserve">los poderes públicos no pueden ser ajenos a la violencia de género, que constituye uno de los ataques más flagrantes a los derechos fundamentales como la libertad, la igualdad, la vida, la seguridad y la no discriminación proclamados en nuestra Constitución. Esos mismos poderes públicos tienen, conforme a lo dispuesto en el artículo 9.2 de </w:t>
      </w:r>
      <w:r w:rsidRPr="0019772A">
        <w:rPr>
          <w:rFonts w:ascii="PT Serif" w:hAnsi="PT Serif" w:cs="PT Serif"/>
          <w:b w:val="0"/>
          <w:i w:val="0"/>
          <w:sz w:val="20"/>
          <w:szCs w:val="20"/>
        </w:rPr>
        <w:lastRenderedPageBreak/>
        <w:t>la Constitución, la obligación de adoptar medidas de acción positiva para hacer reales y efectivos dichos derechos, removiendo los obstáculos que impiden o dificultan su plenitud</w:t>
      </w:r>
      <w:r w:rsidR="00B44CE4" w:rsidRPr="00B44CE4">
        <w:rPr>
          <w:rFonts w:ascii="PT Serif" w:hAnsi="PT Serif" w:cs="PT Serif"/>
          <w:b w:val="0"/>
          <w:i w:val="0"/>
          <w:sz w:val="20"/>
          <w:szCs w:val="20"/>
        </w:rPr>
        <w:t>»</w:t>
      </w:r>
      <w:r w:rsidR="00B44CE4">
        <w:rPr>
          <w:rStyle w:val="Refernciadenotaapeudepgina"/>
          <w:rFonts w:ascii="PT Serif" w:hAnsi="PT Serif" w:cs="PT Serif"/>
          <w:b w:val="0"/>
          <w:i w:val="0"/>
          <w:sz w:val="20"/>
          <w:szCs w:val="20"/>
        </w:rPr>
        <w:footnoteReference w:id="19"/>
      </w:r>
      <w:r w:rsidRPr="0019772A">
        <w:rPr>
          <w:rFonts w:ascii="PT Serif" w:hAnsi="PT Serif" w:cs="PT Serif"/>
          <w:b w:val="0"/>
          <w:i w:val="0"/>
          <w:sz w:val="20"/>
          <w:szCs w:val="20"/>
        </w:rPr>
        <w:t>.</w:t>
      </w:r>
    </w:p>
    <w:p w14:paraId="4B73E9E9" w14:textId="77777777" w:rsidR="0019772A" w:rsidRDefault="0019772A" w:rsidP="0019772A">
      <w:pPr>
        <w:spacing w:after="0" w:line="240" w:lineRule="auto"/>
        <w:jc w:val="both"/>
        <w:rPr>
          <w:rFonts w:ascii="PT Serif" w:hAnsi="PT Serif"/>
          <w:sz w:val="20"/>
          <w:szCs w:val="20"/>
        </w:rPr>
      </w:pPr>
    </w:p>
    <w:p w14:paraId="11E4A474" w14:textId="0D5C5119" w:rsid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 xml:space="preserve">No obstante, si bien la LO 1/2004 es la regulación básica interna en la materia, no hay que desdeñar la perspectiva convencional o internacional. Y al respecto, </w:t>
      </w:r>
      <w:r w:rsidR="00426238">
        <w:rPr>
          <w:rFonts w:ascii="PT Serif" w:hAnsi="PT Serif" w:cs="PT Serif"/>
          <w:b w:val="0"/>
          <w:i w:val="0"/>
          <w:sz w:val="20"/>
          <w:szCs w:val="20"/>
        </w:rPr>
        <w:t>dado el contenido del ATC 301/2023, prestamos atención a</w:t>
      </w:r>
      <w:r w:rsidRPr="0019772A">
        <w:rPr>
          <w:rFonts w:ascii="PT Serif" w:hAnsi="PT Serif" w:cs="PT Serif"/>
          <w:b w:val="0"/>
          <w:i w:val="0"/>
          <w:sz w:val="20"/>
          <w:szCs w:val="20"/>
        </w:rPr>
        <w:t>l Convenio de</w:t>
      </w:r>
      <w:r w:rsidR="002264B7">
        <w:rPr>
          <w:rFonts w:ascii="PT Serif" w:hAnsi="PT Serif" w:cs="PT Serif"/>
          <w:b w:val="0"/>
          <w:i w:val="0"/>
          <w:sz w:val="20"/>
          <w:szCs w:val="20"/>
        </w:rPr>
        <w:t xml:space="preserve"> Estambul. </w:t>
      </w:r>
    </w:p>
    <w:p w14:paraId="1FB11CB0" w14:textId="77777777" w:rsidR="00E72A74" w:rsidRPr="0019772A" w:rsidRDefault="00E72A74" w:rsidP="0019772A">
      <w:pPr>
        <w:spacing w:after="0" w:line="240" w:lineRule="auto"/>
        <w:jc w:val="both"/>
        <w:rPr>
          <w:rFonts w:ascii="PT Serif" w:hAnsi="PT Serif"/>
          <w:sz w:val="20"/>
          <w:szCs w:val="20"/>
        </w:rPr>
      </w:pPr>
    </w:p>
    <w:p w14:paraId="0B85A1C1" w14:textId="745B9C86" w:rsidR="0019772A" w:rsidRP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El artículo 13 de</w:t>
      </w:r>
      <w:r w:rsidR="00426238">
        <w:rPr>
          <w:rFonts w:ascii="PT Serif" w:hAnsi="PT Serif" w:cs="PT Serif"/>
          <w:b w:val="0"/>
          <w:i w:val="0"/>
          <w:sz w:val="20"/>
          <w:szCs w:val="20"/>
        </w:rPr>
        <w:t xml:space="preserve"> este C</w:t>
      </w:r>
      <w:r w:rsidRPr="0019772A">
        <w:rPr>
          <w:rFonts w:ascii="PT Serif" w:hAnsi="PT Serif" w:cs="PT Serif"/>
          <w:b w:val="0"/>
          <w:i w:val="0"/>
          <w:sz w:val="20"/>
          <w:szCs w:val="20"/>
        </w:rPr>
        <w:t xml:space="preserve">onvenio regula los aspectos relacionados con la sensibilización en materia de igualdad y lucha contra cualquier forma de violencia hacia las mujeres. En concreto, el apartado 1 dispone que </w:t>
      </w:r>
      <w:r w:rsidR="00E72A74" w:rsidRPr="00E72A74">
        <w:rPr>
          <w:rFonts w:ascii="PT Serif" w:hAnsi="PT Serif" w:cs="PT Serif"/>
          <w:b w:val="0"/>
          <w:i w:val="0"/>
          <w:sz w:val="20"/>
          <w:szCs w:val="20"/>
        </w:rPr>
        <w:t>«</w:t>
      </w:r>
      <w:r w:rsidRPr="0019772A">
        <w:rPr>
          <w:rFonts w:ascii="PT Serif" w:hAnsi="PT Serif" w:cs="PT Serif"/>
          <w:b w:val="0"/>
          <w:i w:val="0"/>
          <w:sz w:val="20"/>
          <w:szCs w:val="20"/>
        </w:rPr>
        <w:t>las Partes promoverán o dirigirán, regularmente y a todos los niveles, campañas o programas de sensibilización, incluso en cooperación con las instituciones nacionales de derechos humanos y las entidades competentes en materia de igualdad, la sociedad civil y las organizaciones no gubernamentales, en particular las organizaciones de mujeres, en su caso, para incrementar la concienciación y la comprensión por el público en general de las distintas manifestaciones de todas las formas de violencia incluidas en el ámbito de aplicación del presente Convenio y sus consecuencias en los menores, y de la necesidad de prevenirlos</w:t>
      </w:r>
      <w:r w:rsidR="00E72A74" w:rsidRPr="00E72A74">
        <w:rPr>
          <w:rFonts w:ascii="PT Serif" w:hAnsi="PT Serif" w:cs="PT Serif"/>
          <w:b w:val="0"/>
          <w:i w:val="0"/>
          <w:sz w:val="20"/>
          <w:szCs w:val="20"/>
        </w:rPr>
        <w:t>»</w:t>
      </w:r>
      <w:r w:rsidRPr="0019772A">
        <w:rPr>
          <w:rFonts w:ascii="PT Serif" w:hAnsi="PT Serif" w:cs="PT Serif"/>
          <w:b w:val="0"/>
          <w:i w:val="0"/>
          <w:sz w:val="20"/>
          <w:szCs w:val="20"/>
        </w:rPr>
        <w:t xml:space="preserve">. </w:t>
      </w:r>
    </w:p>
    <w:p w14:paraId="3F1D7A86" w14:textId="77777777" w:rsidR="0019772A" w:rsidRDefault="0019772A" w:rsidP="0019772A">
      <w:pPr>
        <w:spacing w:after="0" w:line="240" w:lineRule="auto"/>
        <w:jc w:val="both"/>
        <w:rPr>
          <w:rFonts w:ascii="PT Serif" w:hAnsi="PT Serif"/>
          <w:sz w:val="20"/>
          <w:szCs w:val="20"/>
        </w:rPr>
      </w:pPr>
    </w:p>
    <w:p w14:paraId="209B11A7" w14:textId="0B101387" w:rsidR="0019772A" w:rsidRP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 xml:space="preserve">El apartado 2 añade que </w:t>
      </w:r>
      <w:r w:rsidR="00E72A74" w:rsidRPr="00E72A74">
        <w:rPr>
          <w:rFonts w:ascii="PT Serif" w:hAnsi="PT Serif" w:cs="PT Serif"/>
          <w:b w:val="0"/>
          <w:i w:val="0"/>
          <w:sz w:val="20"/>
          <w:szCs w:val="20"/>
        </w:rPr>
        <w:t>«</w:t>
      </w:r>
      <w:r w:rsidRPr="0019772A">
        <w:rPr>
          <w:rFonts w:ascii="PT Serif" w:hAnsi="PT Serif" w:cs="PT Serif"/>
          <w:b w:val="0"/>
          <w:i w:val="0"/>
          <w:sz w:val="20"/>
          <w:szCs w:val="20"/>
        </w:rPr>
        <w:t>las Partes garantizarán la amplia difusión entre el público en general de información sobre las medidas disponibles para prevenir los actos de violencia incluidos en el ámbito de aplicación del presente Convenio</w:t>
      </w:r>
      <w:r w:rsidR="00E72A74" w:rsidRPr="00E72A74">
        <w:rPr>
          <w:rFonts w:ascii="PT Serif" w:hAnsi="PT Serif" w:cs="PT Serif"/>
          <w:b w:val="0"/>
          <w:i w:val="0"/>
          <w:sz w:val="20"/>
          <w:szCs w:val="20"/>
        </w:rPr>
        <w:t>»</w:t>
      </w:r>
      <w:r w:rsidRPr="0019772A">
        <w:rPr>
          <w:rFonts w:ascii="PT Serif" w:hAnsi="PT Serif" w:cs="PT Serif"/>
          <w:b w:val="0"/>
          <w:i w:val="0"/>
          <w:sz w:val="20"/>
          <w:szCs w:val="20"/>
        </w:rPr>
        <w:t xml:space="preserve">. </w:t>
      </w:r>
    </w:p>
    <w:p w14:paraId="0006126F" w14:textId="77777777" w:rsidR="0019772A" w:rsidRDefault="0019772A" w:rsidP="0019772A">
      <w:pPr>
        <w:spacing w:after="0" w:line="240" w:lineRule="auto"/>
        <w:jc w:val="both"/>
        <w:rPr>
          <w:rFonts w:ascii="PT Serif" w:hAnsi="PT Serif"/>
          <w:sz w:val="20"/>
          <w:szCs w:val="20"/>
        </w:rPr>
      </w:pPr>
    </w:p>
    <w:p w14:paraId="7800F168" w14:textId="7433BDD2" w:rsidR="0019772A" w:rsidRDefault="0019772A"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El Convenio de Estambul contempla la necesidad de que se preste especial atención por los Estados parte a aspectos relacionados con la violencia física (art. 35), sexual (art. 36), matrimonios forzados (art. 37), mutilación genital (art. 38), abortos o esterilizaciones forzadas (art. 39), etcétera.</w:t>
      </w:r>
    </w:p>
    <w:p w14:paraId="23B27555" w14:textId="77777777" w:rsidR="008941D8" w:rsidRDefault="008941D8" w:rsidP="0019772A">
      <w:pPr>
        <w:spacing w:after="0" w:line="240" w:lineRule="auto"/>
        <w:jc w:val="both"/>
        <w:rPr>
          <w:rFonts w:ascii="PT Serif" w:hAnsi="PT Serif"/>
          <w:sz w:val="20"/>
          <w:szCs w:val="20"/>
        </w:rPr>
      </w:pPr>
    </w:p>
    <w:p w14:paraId="3C144D67" w14:textId="140366C9" w:rsidR="002264B7" w:rsidRDefault="002264B7" w:rsidP="0019772A">
      <w:pPr>
        <w:spacing w:after="120" w:line="264" w:lineRule="auto"/>
        <w:ind w:firstLine="0"/>
        <w:jc w:val="both"/>
        <w:rPr>
          <w:rFonts w:ascii="PT Serif" w:hAnsi="PT Serif"/>
          <w:sz w:val="20"/>
          <w:szCs w:val="20"/>
        </w:rPr>
      </w:pPr>
      <w:r w:rsidRPr="0019772A">
        <w:rPr>
          <w:rFonts w:ascii="PT Serif" w:hAnsi="PT Serif" w:cs="PT Serif"/>
          <w:b w:val="0"/>
          <w:i w:val="0"/>
          <w:sz w:val="20"/>
          <w:szCs w:val="20"/>
        </w:rPr>
        <w:t>Un papel clave, pero en el único, en la lucha contra la violencia de género lo tiene la Jurisdicción</w:t>
      </w:r>
      <w:r>
        <w:rPr>
          <w:rStyle w:val="Refernciadenotaapeudepgina"/>
          <w:rFonts w:ascii="PT Serif" w:hAnsi="PT Serif" w:cs="PT Serif"/>
          <w:b w:val="0"/>
          <w:i w:val="0"/>
          <w:sz w:val="20"/>
          <w:szCs w:val="20"/>
        </w:rPr>
        <w:footnoteReference w:id="20"/>
      </w:r>
      <w:r w:rsidRPr="0019772A">
        <w:rPr>
          <w:rFonts w:ascii="PT Serif" w:hAnsi="PT Serif" w:cs="PT Serif"/>
          <w:b w:val="0"/>
          <w:i w:val="0"/>
          <w:sz w:val="20"/>
          <w:szCs w:val="20"/>
        </w:rPr>
        <w:t xml:space="preserve">. </w:t>
      </w:r>
      <w:r>
        <w:rPr>
          <w:rFonts w:ascii="PT Serif" w:hAnsi="PT Serif" w:cs="PT Serif"/>
          <w:b w:val="0"/>
          <w:i w:val="0"/>
          <w:sz w:val="20"/>
          <w:szCs w:val="20"/>
        </w:rPr>
        <w:t>En este contexto es donde el titular del JPPI de Málaga lleva a cabo un análisis de la convencionalidad del artículo 834 CC</w:t>
      </w:r>
      <w:r w:rsidR="00C220EC">
        <w:rPr>
          <w:rFonts w:ascii="PT Serif" w:hAnsi="PT Serif" w:cs="PT Serif"/>
          <w:b w:val="0"/>
          <w:i w:val="0"/>
          <w:sz w:val="20"/>
          <w:szCs w:val="20"/>
        </w:rPr>
        <w:t>, procurando la protección de los derechos de la víctima de violencia de género que era parte en el proceso civil de naturaleza sucesoria que estaba tramitando. La norma interna de carácter civil, la confronta con los artículos 12.3, 18 y 29 del Convenio de Estambul.</w:t>
      </w:r>
    </w:p>
    <w:p w14:paraId="10B5430D" w14:textId="44440C06" w:rsidR="002264B7" w:rsidRDefault="00C220EC" w:rsidP="002264B7">
      <w:pPr>
        <w:spacing w:after="120" w:line="264" w:lineRule="auto"/>
        <w:ind w:firstLine="0"/>
        <w:jc w:val="both"/>
        <w:rPr>
          <w:rFonts w:ascii="PT Serif" w:hAnsi="PT Serif"/>
          <w:sz w:val="20"/>
          <w:szCs w:val="20"/>
        </w:rPr>
      </w:pPr>
      <w:r>
        <w:rPr>
          <w:rFonts w:ascii="PT Serif" w:hAnsi="PT Serif" w:cs="PT Serif"/>
          <w:b w:val="0"/>
          <w:i w:val="0"/>
          <w:sz w:val="20"/>
          <w:szCs w:val="20"/>
        </w:rPr>
        <w:t xml:space="preserve">Así, </w:t>
      </w:r>
      <w:r w:rsidR="002264B7">
        <w:rPr>
          <w:rFonts w:ascii="PT Serif" w:hAnsi="PT Serif" w:cs="PT Serif"/>
          <w:b w:val="0"/>
          <w:i w:val="0"/>
          <w:sz w:val="20"/>
          <w:szCs w:val="20"/>
        </w:rPr>
        <w:t xml:space="preserve">el </w:t>
      </w:r>
      <w:r w:rsidR="002264B7" w:rsidRPr="002264B7">
        <w:rPr>
          <w:rFonts w:ascii="PT Serif" w:hAnsi="PT Serif" w:cs="PT Serif"/>
          <w:b w:val="0"/>
          <w:i w:val="0"/>
          <w:sz w:val="20"/>
          <w:szCs w:val="20"/>
          <w:smallCaps w:val="1"/>
        </w:rPr>
        <w:t>Jppi</w:t>
      </w:r>
      <w:r>
        <w:rPr>
          <w:rFonts w:ascii="PT Serif" w:hAnsi="PT Serif" w:cs="PT Serif"/>
          <w:b w:val="0"/>
          <w:i w:val="0"/>
          <w:sz w:val="20"/>
          <w:szCs w:val="20"/>
        </w:rPr>
        <w:t xml:space="preserve">concluyó </w:t>
      </w:r>
      <w:r w:rsidR="002264B7" w:rsidRPr="002264B7">
        <w:rPr>
          <w:rFonts w:ascii="PT Serif" w:hAnsi="PT Serif" w:cs="PT Serif"/>
          <w:b w:val="0"/>
          <w:i w:val="0"/>
          <w:sz w:val="20"/>
          <w:szCs w:val="20"/>
        </w:rPr>
        <w:t>que el artículo 834 CC era sospechoso de</w:t>
      </w:r>
      <w:r w:rsidR="00426238">
        <w:rPr>
          <w:rFonts w:ascii="PT Serif" w:hAnsi="PT Serif" w:cs="PT Serif"/>
          <w:b w:val="0"/>
          <w:i w:val="0"/>
          <w:sz w:val="20"/>
          <w:szCs w:val="20"/>
        </w:rPr>
        <w:t xml:space="preserve"> inconstitucionalidad por</w:t>
      </w:r>
      <w:r w:rsidR="002264B7" w:rsidRPr="002264B7">
        <w:rPr>
          <w:rFonts w:ascii="PT Serif" w:hAnsi="PT Serif" w:cs="PT Serif"/>
          <w:b w:val="0"/>
          <w:i w:val="0"/>
          <w:sz w:val="20"/>
          <w:szCs w:val="20"/>
        </w:rPr>
        <w:t xml:space="preserve"> inconve</w:t>
      </w:r>
      <w:r w:rsidR="002264B7">
        <w:rPr>
          <w:rFonts w:ascii="PT Serif" w:hAnsi="PT Serif" w:cs="PT Serif"/>
          <w:b w:val="0"/>
          <w:i w:val="0"/>
          <w:sz w:val="20"/>
          <w:szCs w:val="20"/>
        </w:rPr>
        <w:t>n</w:t>
      </w:r>
      <w:r w:rsidR="002264B7" w:rsidRPr="002264B7">
        <w:rPr>
          <w:rFonts w:ascii="PT Serif" w:hAnsi="PT Serif" w:cs="PT Serif"/>
          <w:b w:val="0"/>
          <w:i w:val="0"/>
          <w:sz w:val="20"/>
          <w:szCs w:val="20"/>
        </w:rPr>
        <w:t>cionalidad</w:t>
      </w:r>
      <w:r w:rsidR="00426238">
        <w:rPr>
          <w:rFonts w:ascii="PT Serif" w:hAnsi="PT Serif" w:cs="PT Serif"/>
          <w:b w:val="0"/>
          <w:i w:val="0"/>
          <w:sz w:val="20"/>
          <w:szCs w:val="20"/>
        </w:rPr>
        <w:t xml:space="preserve">, al </w:t>
      </w:r>
      <w:r w:rsidR="002264B7" w:rsidRPr="002264B7">
        <w:rPr>
          <w:rFonts w:ascii="PT Serif" w:hAnsi="PT Serif" w:cs="PT Serif"/>
          <w:b w:val="0"/>
          <w:i w:val="0"/>
          <w:sz w:val="20"/>
          <w:szCs w:val="20"/>
        </w:rPr>
        <w:t xml:space="preserve">no tener en cuenta las necesidades específicas de las mujeres vulnerables </w:t>
      </w:r>
      <w:r w:rsidR="002264B7" w:rsidRPr="002264B7">
        <w:rPr>
          <w:rFonts w:ascii="PT Serif" w:hAnsi="PT Serif" w:cs="PT Serif"/>
          <w:b w:val="0"/>
          <w:i w:val="0"/>
          <w:sz w:val="20"/>
          <w:szCs w:val="20"/>
        </w:rPr>
        <w:lastRenderedPageBreak/>
        <w:t>por ser víctimas de violencia de género, y sin que estén presentes sus circunstancias particulares y sus derechos humanos (art. 12.3 Convenio Estambul).</w:t>
      </w:r>
    </w:p>
    <w:p w14:paraId="4CDB9D34" w14:textId="77777777" w:rsidR="008941D8" w:rsidRPr="002264B7" w:rsidRDefault="008941D8" w:rsidP="002264B7">
      <w:pPr>
        <w:spacing w:after="0" w:line="240" w:lineRule="auto"/>
        <w:jc w:val="both"/>
        <w:rPr>
          <w:rFonts w:ascii="PT Serif" w:hAnsi="PT Serif"/>
          <w:sz w:val="20"/>
          <w:szCs w:val="20"/>
        </w:rPr>
      </w:pPr>
    </w:p>
    <w:p w14:paraId="14DA14A7" w14:textId="75081A4D" w:rsidR="002264B7" w:rsidRDefault="002264B7" w:rsidP="002264B7">
      <w:pPr>
        <w:spacing w:after="120" w:line="264" w:lineRule="auto"/>
        <w:ind w:firstLine="0"/>
        <w:jc w:val="both"/>
        <w:rPr>
          <w:rFonts w:ascii="PT Serif" w:hAnsi="PT Serif"/>
          <w:sz w:val="20"/>
          <w:szCs w:val="20"/>
        </w:rPr>
      </w:pPr>
      <w:r w:rsidRPr="002264B7">
        <w:rPr>
          <w:rFonts w:ascii="PT Serif" w:hAnsi="PT Serif" w:cs="PT Serif"/>
          <w:b w:val="0"/>
          <w:i w:val="0"/>
          <w:sz w:val="20"/>
          <w:szCs w:val="20"/>
        </w:rPr>
        <w:t>De igual manera, consider</w:t>
      </w:r>
      <w:r>
        <w:rPr>
          <w:rFonts w:ascii="PT Serif" w:hAnsi="PT Serif" w:cs="PT Serif"/>
          <w:b w:val="0"/>
          <w:i w:val="0"/>
          <w:sz w:val="20"/>
          <w:szCs w:val="20"/>
        </w:rPr>
        <w:t>ó</w:t>
      </w:r>
      <w:r w:rsidRPr="002264B7">
        <w:rPr>
          <w:rFonts w:ascii="PT Serif" w:hAnsi="PT Serif" w:cs="PT Serif"/>
          <w:b w:val="0"/>
          <w:i w:val="0"/>
          <w:sz w:val="20"/>
          <w:szCs w:val="20"/>
        </w:rPr>
        <w:t xml:space="preserve"> que se infring</w:t>
      </w:r>
      <w:r>
        <w:rPr>
          <w:rFonts w:ascii="PT Serif" w:hAnsi="PT Serif" w:cs="PT Serif"/>
          <w:b w:val="0"/>
          <w:i w:val="0"/>
          <w:sz w:val="20"/>
          <w:szCs w:val="20"/>
        </w:rPr>
        <w:t xml:space="preserve">ían </w:t>
      </w:r>
      <w:r w:rsidRPr="002264B7">
        <w:rPr>
          <w:rFonts w:ascii="PT Serif" w:hAnsi="PT Serif" w:cs="PT Serif"/>
          <w:b w:val="0"/>
          <w:i w:val="0"/>
          <w:sz w:val="20"/>
          <w:szCs w:val="20"/>
        </w:rPr>
        <w:t xml:space="preserve">las obligaciones de carácter general impuestas a los Estados en el artículo 18 Convenio Estambul, de carácter legislativo y de cualquier otra naturaleza para la mejor protección de las víctimas, </w:t>
      </w:r>
      <w:r>
        <w:rPr>
          <w:rFonts w:ascii="PT Serif" w:hAnsi="PT Serif" w:cs="PT Serif"/>
          <w:b w:val="0"/>
          <w:i w:val="0"/>
          <w:sz w:val="20"/>
          <w:szCs w:val="20"/>
        </w:rPr>
        <w:t xml:space="preserve">las cuales tienen que implicar </w:t>
      </w:r>
      <w:r w:rsidRPr="002264B7">
        <w:rPr>
          <w:rFonts w:ascii="PT Serif" w:hAnsi="PT Serif" w:cs="PT Serif"/>
          <w:b w:val="0"/>
          <w:i w:val="0"/>
          <w:sz w:val="20"/>
          <w:szCs w:val="20"/>
        </w:rPr>
        <w:t xml:space="preserve">un enfoque integrado </w:t>
      </w:r>
      <w:r>
        <w:rPr>
          <w:rFonts w:ascii="PT Serif" w:hAnsi="PT Serif" w:cs="PT Serif"/>
          <w:b w:val="0"/>
          <w:i w:val="0"/>
          <w:sz w:val="20"/>
          <w:szCs w:val="20"/>
        </w:rPr>
        <w:t xml:space="preserve">y evitar la </w:t>
      </w:r>
      <w:r w:rsidRPr="002264B7">
        <w:rPr>
          <w:rFonts w:ascii="PT Serif" w:hAnsi="PT Serif" w:cs="PT Serif"/>
          <w:b w:val="0"/>
          <w:i w:val="0"/>
          <w:sz w:val="20"/>
          <w:szCs w:val="20"/>
        </w:rPr>
        <w:t>revictimización.</w:t>
      </w:r>
    </w:p>
    <w:p w14:paraId="21A8017A" w14:textId="77777777" w:rsidR="008941D8" w:rsidRPr="002264B7" w:rsidRDefault="008941D8" w:rsidP="002264B7">
      <w:pPr>
        <w:spacing w:after="0" w:line="264" w:lineRule="auto"/>
        <w:jc w:val="both"/>
        <w:rPr>
          <w:rFonts w:ascii="PT Serif" w:hAnsi="PT Serif"/>
          <w:sz w:val="20"/>
          <w:szCs w:val="20"/>
        </w:rPr>
      </w:pPr>
    </w:p>
    <w:p w14:paraId="0D5716B9" w14:textId="5543AE36" w:rsidR="002264B7" w:rsidRDefault="002264B7" w:rsidP="002264B7">
      <w:pPr>
        <w:spacing w:after="120" w:line="264" w:lineRule="auto"/>
        <w:ind w:firstLine="0"/>
        <w:jc w:val="both"/>
        <w:rPr>
          <w:rFonts w:ascii="PT Serif" w:hAnsi="PT Serif"/>
          <w:sz w:val="20"/>
          <w:szCs w:val="20"/>
        </w:rPr>
      </w:pPr>
      <w:r w:rsidRPr="002264B7">
        <w:rPr>
          <w:rFonts w:ascii="PT Serif" w:hAnsi="PT Serif" w:cs="PT Serif"/>
          <w:b w:val="0"/>
          <w:i w:val="0"/>
          <w:sz w:val="20"/>
          <w:szCs w:val="20"/>
        </w:rPr>
        <w:t>De igual manera, s</w:t>
      </w:r>
      <w:r>
        <w:rPr>
          <w:rFonts w:ascii="PT Serif" w:hAnsi="PT Serif" w:cs="PT Serif"/>
          <w:b w:val="0"/>
          <w:i w:val="0"/>
          <w:sz w:val="20"/>
          <w:szCs w:val="20"/>
        </w:rPr>
        <w:t>ost</w:t>
      </w:r>
      <w:r w:rsidR="00C220EC">
        <w:rPr>
          <w:rFonts w:ascii="PT Serif" w:hAnsi="PT Serif" w:cs="PT Serif"/>
          <w:b w:val="0"/>
          <w:i w:val="0"/>
          <w:sz w:val="20"/>
          <w:szCs w:val="20"/>
        </w:rPr>
        <w:t xml:space="preserve">uvo </w:t>
      </w:r>
      <w:r w:rsidRPr="002264B7">
        <w:rPr>
          <w:rFonts w:ascii="PT Serif" w:hAnsi="PT Serif" w:cs="PT Serif"/>
          <w:b w:val="0"/>
          <w:i w:val="0"/>
          <w:sz w:val="20"/>
          <w:szCs w:val="20"/>
        </w:rPr>
        <w:t>que el artículo 839 CC deja</w:t>
      </w:r>
      <w:r>
        <w:rPr>
          <w:rFonts w:ascii="PT Serif" w:hAnsi="PT Serif" w:cs="PT Serif"/>
          <w:b w:val="0"/>
          <w:i w:val="0"/>
          <w:sz w:val="20"/>
          <w:szCs w:val="20"/>
        </w:rPr>
        <w:t xml:space="preserve"> a </w:t>
      </w:r>
      <w:r w:rsidRPr="002264B7">
        <w:rPr>
          <w:rFonts w:ascii="PT Serif" w:hAnsi="PT Serif" w:cs="PT Serif"/>
          <w:b w:val="0"/>
          <w:i w:val="0"/>
          <w:sz w:val="20"/>
          <w:szCs w:val="20"/>
        </w:rPr>
        <w:t>las víctimas de violencia de género sin las acciones y recursos adecuados frente al victimario (art. 29 Convenio Estambul).</w:t>
      </w:r>
    </w:p>
    <w:p w14:paraId="643C294D" w14:textId="7C5EC0E9" w:rsidR="00513635" w:rsidRDefault="00C220EC" w:rsidP="00C220EC">
      <w:pPr>
        <w:spacing w:after="120" w:line="264" w:lineRule="auto"/>
        <w:ind w:firstLine="0"/>
        <w:jc w:val="both"/>
        <w:rPr>
          <w:rFonts w:ascii="PT Serif" w:hAnsi="PT Serif"/>
          <w:sz w:val="20"/>
          <w:szCs w:val="20"/>
        </w:rPr>
      </w:pPr>
      <w:r>
        <w:rPr>
          <w:rFonts w:ascii="PT Serif" w:hAnsi="PT Serif" w:cs="PT Serif"/>
          <w:b w:val="0"/>
          <w:i w:val="0"/>
          <w:sz w:val="20"/>
          <w:szCs w:val="20"/>
        </w:rPr>
        <w:t>Por todo ello, suspendió el proceso civil y planteó duda de “constitucionalidad” del artículo 834 CC.</w:t>
      </w:r>
    </w:p>
    <w:p w14:paraId="45BE5FFA" w14:textId="77777777" w:rsidR="008941D8" w:rsidRPr="00C220EC" w:rsidRDefault="008941D8" w:rsidP="00C220EC">
      <w:pPr>
        <w:spacing w:after="0" w:line="264" w:lineRule="auto"/>
        <w:jc w:val="both"/>
        <w:rPr>
          <w:rFonts w:ascii="PT Serif" w:hAnsi="PT Serif"/>
          <w:sz w:val="20"/>
          <w:szCs w:val="20"/>
        </w:rPr>
      </w:pPr>
    </w:p>
    <w:p w14:paraId="6D5D1F91" w14:textId="2B3F7EAA" w:rsidR="0029096C" w:rsidRPr="002E18B6" w:rsidRDefault="003D700A" w:rsidP="002E18B6">
      <w:pPr>
        <w:pStyle w:val="Pargrafdellista"/>
        <w:numPr>
          <w:ilvl w:val="2"/>
          <w:numId w:val="36"/>
        </w:numPr>
        <w:spacing w:after="120" w:line="264" w:lineRule="auto"/>
        <w:ind w:left="567" w:firstLine="0"/>
        <w:jc w:val="both"/>
        <w:rPr>
          <w:rFonts w:ascii="PT Serif" w:hAnsi="PT Serif"/>
          <w:i/>
          <w:iCs/>
          <w:sz w:val="20"/>
          <w:szCs w:val="20"/>
        </w:rPr>
      </w:pPr>
      <w:r w:rsidRPr="002E18B6">
        <w:rPr>
          <w:rFonts w:ascii="PT Serif" w:hAnsi="PT Serif" w:cs="PT Serif"/>
          <w:b w:val="0"/>
          <w:i/>
          <w:iCs/>
          <w:sz w:val="20"/>
          <w:szCs w:val="20"/>
        </w:rPr>
        <w:t xml:space="preserve">Ratio del art </w:t>
      </w:r>
      <w:r w:rsidR="00B44CE4" w:rsidRPr="002E18B6">
        <w:rPr>
          <w:rFonts w:ascii="PT Serif" w:hAnsi="PT Serif" w:cs="PT Serif"/>
          <w:b w:val="0"/>
          <w:i/>
          <w:iCs/>
          <w:sz w:val="20"/>
          <w:szCs w:val="20"/>
        </w:rPr>
        <w:t xml:space="preserve">834 CC </w:t>
      </w:r>
    </w:p>
    <w:p w14:paraId="09053446" w14:textId="77777777" w:rsidR="0029096C" w:rsidRPr="004B561D" w:rsidRDefault="0029096C" w:rsidP="004B561D">
      <w:pPr>
        <w:spacing w:after="0" w:line="264" w:lineRule="auto"/>
        <w:jc w:val="both"/>
        <w:rPr>
          <w:rFonts w:ascii="PT Serif" w:hAnsi="PT Serif"/>
          <w:sz w:val="20"/>
          <w:szCs w:val="20"/>
        </w:rPr>
      </w:pPr>
    </w:p>
    <w:p w14:paraId="694ECC17" w14:textId="78EB51A3" w:rsidR="00B44CE4" w:rsidRDefault="00B44CE4" w:rsidP="00B44CE4">
      <w:pPr>
        <w:spacing w:after="120" w:line="264" w:lineRule="auto"/>
        <w:ind w:firstLine="0"/>
        <w:jc w:val="both"/>
        <w:rPr>
          <w:rFonts w:ascii="PT Serif" w:hAnsi="PT Serif"/>
          <w:sz w:val="20"/>
          <w:szCs w:val="20"/>
        </w:rPr>
      </w:pPr>
      <w:r w:rsidRPr="00B44CE4">
        <w:rPr>
          <w:rFonts w:ascii="PT Serif" w:hAnsi="PT Serif" w:cs="PT Serif"/>
          <w:b w:val="0"/>
          <w:i w:val="0"/>
          <w:sz w:val="20"/>
          <w:szCs w:val="20"/>
        </w:rPr>
        <w:t>El art</w:t>
      </w:r>
      <w:r w:rsidR="00C220EC">
        <w:rPr>
          <w:rFonts w:ascii="PT Serif" w:hAnsi="PT Serif" w:cs="PT Serif"/>
          <w:b w:val="0"/>
          <w:i w:val="0"/>
          <w:sz w:val="20"/>
          <w:szCs w:val="20"/>
        </w:rPr>
        <w:t>ículo</w:t>
      </w:r>
      <w:r w:rsidRPr="00B44CE4">
        <w:rPr>
          <w:rFonts w:ascii="PT Serif" w:hAnsi="PT Serif" w:cs="PT Serif"/>
          <w:b w:val="0"/>
          <w:i w:val="0"/>
          <w:sz w:val="20"/>
          <w:szCs w:val="20"/>
        </w:rPr>
        <w:t xml:space="preserve"> 834 CC dispone que </w:t>
      </w:r>
      <w:r w:rsidR="00B76E3F" w:rsidRPr="00B76E3F">
        <w:rPr>
          <w:rFonts w:ascii="PT Serif" w:hAnsi="PT Serif" w:cs="PT Serif"/>
          <w:b w:val="0"/>
          <w:i w:val="0"/>
          <w:sz w:val="20"/>
          <w:szCs w:val="20"/>
        </w:rPr>
        <w:t>«</w:t>
      </w:r>
      <w:r w:rsidRPr="00B44CE4">
        <w:rPr>
          <w:rFonts w:ascii="PT Serif" w:hAnsi="PT Serif" w:cs="PT Serif"/>
          <w:b w:val="0"/>
          <w:i w:val="0"/>
          <w:sz w:val="20"/>
          <w:szCs w:val="20"/>
        </w:rPr>
        <w:t>el cónyuge que al morir su consorte no se hallase separado de éste legalmente o de hecho, si concurre a la herencia con hijos o descendientes, tendrá derecho al usufructo del tercio destinado a mejora</w:t>
      </w:r>
      <w:r w:rsidR="00B76E3F" w:rsidRPr="00B76E3F">
        <w:rPr>
          <w:rFonts w:ascii="PT Serif" w:hAnsi="PT Serif" w:cs="PT Serif"/>
          <w:b w:val="0"/>
          <w:i w:val="0"/>
          <w:sz w:val="20"/>
          <w:szCs w:val="20"/>
        </w:rPr>
        <w:t>»</w:t>
      </w:r>
      <w:r w:rsidRPr="00B44CE4">
        <w:rPr>
          <w:rFonts w:ascii="PT Serif" w:hAnsi="PT Serif" w:cs="PT Serif"/>
          <w:b w:val="0"/>
          <w:i w:val="0"/>
          <w:sz w:val="20"/>
          <w:szCs w:val="20"/>
        </w:rPr>
        <w:t>. En definitiva, el cónyuge supérstite pierde la leg</w:t>
      </w:r>
      <w:r w:rsidR="00225F8D">
        <w:rPr>
          <w:rFonts w:ascii="PT Serif" w:hAnsi="PT Serif" w:cs="PT Serif"/>
          <w:b w:val="0"/>
          <w:i w:val="0"/>
          <w:sz w:val="20"/>
          <w:szCs w:val="20"/>
        </w:rPr>
        <w:t>í</w:t>
      </w:r>
      <w:r w:rsidRPr="00B44CE4">
        <w:rPr>
          <w:rFonts w:ascii="PT Serif" w:hAnsi="PT Serif" w:cs="PT Serif"/>
          <w:b w:val="0"/>
          <w:i w:val="0"/>
          <w:sz w:val="20"/>
          <w:szCs w:val="20"/>
        </w:rPr>
        <w:t>tima vidual tanto si es el determinante de la separación, como si la impuso el cónyuge premuerto o si fue de mutuo acuerdo.</w:t>
      </w:r>
    </w:p>
    <w:p w14:paraId="01866AAD" w14:textId="77777777" w:rsidR="00B44CE4" w:rsidRPr="00B44CE4" w:rsidRDefault="00B44CE4" w:rsidP="00B44CE4">
      <w:pPr>
        <w:spacing w:after="0" w:line="264" w:lineRule="auto"/>
        <w:jc w:val="both"/>
        <w:rPr>
          <w:rFonts w:ascii="PT Serif" w:hAnsi="PT Serif"/>
          <w:sz w:val="20"/>
          <w:szCs w:val="20"/>
        </w:rPr>
      </w:pPr>
    </w:p>
    <w:p w14:paraId="0EF88412" w14:textId="5EC44CDD" w:rsidR="00B44CE4" w:rsidRDefault="00B44CE4" w:rsidP="00B44CE4">
      <w:pPr>
        <w:spacing w:after="120" w:line="264" w:lineRule="auto"/>
        <w:ind w:firstLine="0"/>
        <w:jc w:val="both"/>
        <w:rPr>
          <w:rFonts w:ascii="PT Serif" w:hAnsi="PT Serif"/>
          <w:sz w:val="20"/>
          <w:szCs w:val="20"/>
        </w:rPr>
      </w:pPr>
      <w:r w:rsidRPr="00B44CE4">
        <w:rPr>
          <w:rFonts w:ascii="PT Serif" w:hAnsi="PT Serif" w:cs="PT Serif"/>
          <w:b w:val="0"/>
          <w:i w:val="0"/>
          <w:sz w:val="20"/>
          <w:szCs w:val="20"/>
        </w:rPr>
        <w:t xml:space="preserve">Este artículo está ubicado en la sección séptima: “Derechos del cónyuge viudo”, capítulo II, título III, libro III CC. Se le dio la actual redacción con la reforma llevada a cabo por la Ley 15/2005, de 8 de julio, por la que se modifican el CC y la Ley de Enjuiciamiento Civil en materia de separación y divorcio. Como se indica en la exposición de motivos de esta ley, se decide mantener la figura de la separación, si bien, reforzando el principio de libertad de los cónyuges. En concreto, se afirma que </w:t>
      </w:r>
      <w:r w:rsidR="00225F8D" w:rsidRPr="00B76E3F">
        <w:rPr>
          <w:rFonts w:ascii="PT Serif" w:hAnsi="PT Serif" w:cs="PT Serif"/>
          <w:b w:val="0"/>
          <w:i w:val="0"/>
          <w:sz w:val="20"/>
          <w:szCs w:val="20"/>
        </w:rPr>
        <w:t>«</w:t>
      </w:r>
      <w:r w:rsidRPr="00B44CE4">
        <w:rPr>
          <w:rFonts w:ascii="PT Serif" w:hAnsi="PT Serif" w:cs="PT Serif"/>
          <w:b w:val="0"/>
          <w:i w:val="0"/>
          <w:sz w:val="20"/>
          <w:szCs w:val="20"/>
        </w:rPr>
        <w:t>de conformidad con el artículo 32 de la Constitución, se mantiene la separación judicial como figura autónoma, para aquellos casos en los que los cónyuges, por las razones que les asistan, decidan no optar por la disolución de su matrimonio</w:t>
      </w:r>
      <w:r w:rsidR="00225F8D" w:rsidRPr="00B76E3F">
        <w:rPr>
          <w:rFonts w:ascii="PT Serif" w:hAnsi="PT Serif" w:cs="PT Serif"/>
          <w:b w:val="0"/>
          <w:i w:val="0"/>
          <w:sz w:val="20"/>
          <w:szCs w:val="20"/>
        </w:rPr>
        <w:t>»</w:t>
      </w:r>
      <w:r w:rsidRPr="00B44CE4">
        <w:rPr>
          <w:rFonts w:ascii="PT Serif" w:hAnsi="PT Serif" w:cs="PT Serif"/>
          <w:b w:val="0"/>
          <w:i w:val="0"/>
          <w:sz w:val="20"/>
          <w:szCs w:val="20"/>
        </w:rPr>
        <w:t>.</w:t>
      </w:r>
    </w:p>
    <w:p w14:paraId="0C284906" w14:textId="77777777" w:rsidR="00225F8D" w:rsidRPr="00B44CE4" w:rsidRDefault="00225F8D" w:rsidP="00B44CE4">
      <w:pPr>
        <w:spacing w:after="0" w:line="264" w:lineRule="auto"/>
        <w:jc w:val="both"/>
        <w:rPr>
          <w:rFonts w:ascii="PT Serif" w:hAnsi="PT Serif"/>
          <w:sz w:val="20"/>
          <w:szCs w:val="20"/>
        </w:rPr>
      </w:pPr>
    </w:p>
    <w:p w14:paraId="6EEF67B9" w14:textId="76FEFC69" w:rsidR="00B44CE4" w:rsidRDefault="00B44CE4" w:rsidP="00B44CE4">
      <w:pPr>
        <w:spacing w:after="120" w:line="264" w:lineRule="auto"/>
        <w:ind w:firstLine="0"/>
        <w:jc w:val="both"/>
        <w:rPr>
          <w:rFonts w:ascii="PT Serif" w:hAnsi="PT Serif"/>
          <w:sz w:val="20"/>
          <w:szCs w:val="20"/>
        </w:rPr>
      </w:pPr>
      <w:r w:rsidRPr="00B44CE4">
        <w:rPr>
          <w:rFonts w:ascii="PT Serif" w:hAnsi="PT Serif" w:cs="PT Serif"/>
          <w:b w:val="0"/>
          <w:i w:val="0"/>
          <w:sz w:val="20"/>
          <w:szCs w:val="20"/>
        </w:rPr>
        <w:t xml:space="preserve">La separación se configuró con esta reforma como una opción </w:t>
      </w:r>
      <w:r w:rsidR="00225F8D" w:rsidRPr="00B76E3F">
        <w:rPr>
          <w:rFonts w:ascii="PT Serif" w:hAnsi="PT Serif" w:cs="PT Serif"/>
          <w:b w:val="0"/>
          <w:i w:val="0"/>
          <w:sz w:val="20"/>
          <w:szCs w:val="20"/>
        </w:rPr>
        <w:t>«</w:t>
      </w:r>
      <w:r w:rsidRPr="00B44CE4">
        <w:rPr>
          <w:rFonts w:ascii="PT Serif" w:hAnsi="PT Serif" w:cs="PT Serif"/>
          <w:b w:val="0"/>
          <w:i w:val="0"/>
          <w:sz w:val="20"/>
          <w:szCs w:val="20"/>
        </w:rPr>
        <w:t>a las que las partes pueden acudir para solucionar las vicisitudes de su vida en común. De este modo, se pretende reforzar el principio de libertad de los cónyuges en el matrimonio, pues tanto la continuación de su convivencia como su vigencia depende de la voluntad constante de ambos</w:t>
      </w:r>
      <w:r w:rsidR="00225F8D" w:rsidRPr="00B76E3F">
        <w:rPr>
          <w:rFonts w:ascii="PT Serif" w:hAnsi="PT Serif" w:cs="PT Serif"/>
          <w:b w:val="0"/>
          <w:i w:val="0"/>
          <w:sz w:val="20"/>
          <w:szCs w:val="20"/>
        </w:rPr>
        <w:t>»</w:t>
      </w:r>
      <w:r w:rsidRPr="00B44CE4">
        <w:rPr>
          <w:rFonts w:ascii="PT Serif" w:hAnsi="PT Serif" w:cs="PT Serif"/>
          <w:b w:val="0"/>
          <w:i w:val="0"/>
          <w:sz w:val="20"/>
          <w:szCs w:val="20"/>
        </w:rPr>
        <w:t>.</w:t>
      </w:r>
    </w:p>
    <w:p w14:paraId="36371826" w14:textId="77777777" w:rsidR="00B44CE4" w:rsidRPr="00B44CE4" w:rsidRDefault="00B44CE4" w:rsidP="00B44CE4">
      <w:pPr>
        <w:spacing w:after="0" w:line="264" w:lineRule="auto"/>
        <w:jc w:val="both"/>
        <w:rPr>
          <w:rFonts w:ascii="PT Serif" w:hAnsi="PT Serif"/>
          <w:sz w:val="20"/>
          <w:szCs w:val="20"/>
        </w:rPr>
      </w:pPr>
    </w:p>
    <w:p w14:paraId="716B2575" w14:textId="22CD9E24" w:rsidR="00B44CE4" w:rsidRDefault="00B44CE4" w:rsidP="00B44CE4">
      <w:pPr>
        <w:spacing w:after="120" w:line="264" w:lineRule="auto"/>
        <w:ind w:firstLine="0"/>
        <w:jc w:val="both"/>
        <w:rPr>
          <w:rFonts w:ascii="PT Serif" w:hAnsi="PT Serif"/>
          <w:sz w:val="20"/>
          <w:szCs w:val="20"/>
        </w:rPr>
      </w:pPr>
      <w:r w:rsidRPr="00B44CE4">
        <w:rPr>
          <w:rFonts w:ascii="PT Serif" w:hAnsi="PT Serif" w:cs="PT Serif"/>
          <w:b w:val="0"/>
          <w:i w:val="0"/>
          <w:sz w:val="20"/>
          <w:szCs w:val="20"/>
        </w:rPr>
        <w:t>Por otro lado, añadimos que el art</w:t>
      </w:r>
      <w:r w:rsidR="00C220EC">
        <w:rPr>
          <w:rFonts w:ascii="PT Serif" w:hAnsi="PT Serif" w:cs="PT Serif"/>
          <w:b w:val="0"/>
          <w:i w:val="0"/>
          <w:sz w:val="20"/>
          <w:szCs w:val="20"/>
        </w:rPr>
        <w:t>ículo</w:t>
      </w:r>
      <w:r w:rsidRPr="00B44CE4">
        <w:rPr>
          <w:rFonts w:ascii="PT Serif" w:hAnsi="PT Serif" w:cs="PT Serif"/>
          <w:b w:val="0"/>
          <w:i w:val="0"/>
          <w:sz w:val="20"/>
          <w:szCs w:val="20"/>
        </w:rPr>
        <w:t xml:space="preserve"> 834 CC que nos ocupa es concordante con otras disposiciones del CC. En concreto, el art</w:t>
      </w:r>
      <w:r w:rsidR="00C220EC">
        <w:rPr>
          <w:rFonts w:ascii="PT Serif" w:hAnsi="PT Serif" w:cs="PT Serif"/>
          <w:b w:val="0"/>
          <w:i w:val="0"/>
          <w:sz w:val="20"/>
          <w:szCs w:val="20"/>
        </w:rPr>
        <w:t xml:space="preserve">ículo </w:t>
      </w:r>
      <w:r w:rsidRPr="00B44CE4">
        <w:rPr>
          <w:rFonts w:ascii="PT Serif" w:hAnsi="PT Serif" w:cs="PT Serif"/>
          <w:b w:val="0"/>
          <w:i w:val="0"/>
          <w:sz w:val="20"/>
          <w:szCs w:val="20"/>
        </w:rPr>
        <w:t xml:space="preserve">944 CC dispone que </w:t>
      </w:r>
      <w:r w:rsidR="004D5414" w:rsidRPr="00B76E3F">
        <w:rPr>
          <w:rFonts w:ascii="PT Serif" w:hAnsi="PT Serif" w:cs="PT Serif"/>
          <w:b w:val="0"/>
          <w:i w:val="0"/>
          <w:sz w:val="20"/>
          <w:szCs w:val="20"/>
        </w:rPr>
        <w:t>«</w:t>
      </w:r>
      <w:r w:rsidRPr="00B44CE4">
        <w:rPr>
          <w:rFonts w:ascii="PT Serif" w:hAnsi="PT Serif" w:cs="PT Serif"/>
          <w:b w:val="0"/>
          <w:i w:val="0"/>
          <w:sz w:val="20"/>
          <w:szCs w:val="20"/>
        </w:rPr>
        <w:t>en defecto de ascendientes y descendientes, y antes que los colaterales, sucederá en todos los bienes del difunto el cónyuge sobreviviente”, matizando, el art</w:t>
      </w:r>
      <w:r w:rsidR="00C220EC">
        <w:rPr>
          <w:rFonts w:ascii="PT Serif" w:hAnsi="PT Serif" w:cs="PT Serif"/>
          <w:b w:val="0"/>
          <w:i w:val="0"/>
          <w:sz w:val="20"/>
          <w:szCs w:val="20"/>
        </w:rPr>
        <w:t>ículo</w:t>
      </w:r>
      <w:r w:rsidRPr="00B44CE4">
        <w:rPr>
          <w:rFonts w:ascii="PT Serif" w:hAnsi="PT Serif" w:cs="PT Serif"/>
          <w:b w:val="0"/>
          <w:i w:val="0"/>
          <w:sz w:val="20"/>
          <w:szCs w:val="20"/>
        </w:rPr>
        <w:t xml:space="preserve"> 945 CC, que “no tendrá lugar el llamamiento a que se refiere el artículo anterior si el cónyuge estuviere separado legalmente o de hecho</w:t>
      </w:r>
      <w:r w:rsidR="004D5414" w:rsidRPr="00B76E3F">
        <w:rPr>
          <w:rFonts w:ascii="PT Serif" w:hAnsi="PT Serif" w:cs="PT Serif"/>
          <w:b w:val="0"/>
          <w:i w:val="0"/>
          <w:sz w:val="20"/>
          <w:szCs w:val="20"/>
        </w:rPr>
        <w:t>»</w:t>
      </w:r>
      <w:r w:rsidRPr="00B44CE4">
        <w:rPr>
          <w:rFonts w:ascii="PT Serif" w:hAnsi="PT Serif" w:cs="PT Serif"/>
          <w:b w:val="0"/>
          <w:i w:val="0"/>
          <w:sz w:val="20"/>
          <w:szCs w:val="20"/>
        </w:rPr>
        <w:t xml:space="preserve">. </w:t>
      </w:r>
    </w:p>
    <w:p w14:paraId="566B5EED" w14:textId="77777777" w:rsidR="00B44CE4" w:rsidRPr="00B44CE4" w:rsidRDefault="00B44CE4" w:rsidP="00B44CE4">
      <w:pPr>
        <w:spacing w:after="0" w:line="264" w:lineRule="auto"/>
        <w:jc w:val="both"/>
        <w:rPr>
          <w:rFonts w:ascii="PT Serif" w:hAnsi="PT Serif"/>
          <w:sz w:val="20"/>
          <w:szCs w:val="20"/>
        </w:rPr>
      </w:pPr>
    </w:p>
    <w:p w14:paraId="3688E015" w14:textId="77777777" w:rsidR="00B44CE4" w:rsidRDefault="00B44CE4" w:rsidP="00B44CE4">
      <w:pPr>
        <w:spacing w:after="120" w:line="264" w:lineRule="auto"/>
        <w:ind w:firstLine="0"/>
        <w:jc w:val="both"/>
        <w:rPr>
          <w:rFonts w:ascii="PT Serif" w:hAnsi="PT Serif"/>
          <w:sz w:val="20"/>
          <w:szCs w:val="20"/>
        </w:rPr>
      </w:pPr>
      <w:r w:rsidRPr="00B44CE4">
        <w:rPr>
          <w:rFonts w:ascii="PT Serif" w:hAnsi="PT Serif" w:cs="PT Serif"/>
          <w:b w:val="0"/>
          <w:i w:val="0"/>
          <w:sz w:val="20"/>
          <w:szCs w:val="20"/>
        </w:rPr>
        <w:t>Sin perjuicio de que vamos a profundizar en el análisis del ATC 301/2023 queremos destacar las palabras que se recogen en el fundamento jurídico (en adelante, “FJ”) 5 en donde se contextualiza los aspectos relacionados con la legítima vidual y su consideración como derecho vinculado a la convivencia conyugal. En concreto, queremos destacar las siguientes palabras:</w:t>
      </w:r>
    </w:p>
    <w:p w14:paraId="6B295583" w14:textId="77777777" w:rsidR="00B44CE4" w:rsidRPr="00B44CE4" w:rsidRDefault="00B44CE4" w:rsidP="00B44CE4">
      <w:pPr>
        <w:spacing w:after="0" w:line="264" w:lineRule="auto"/>
        <w:jc w:val="both"/>
        <w:rPr>
          <w:rFonts w:ascii="PT Serif" w:hAnsi="PT Serif"/>
          <w:sz w:val="20"/>
          <w:szCs w:val="20"/>
        </w:rPr>
      </w:pPr>
    </w:p>
    <w:p w14:paraId="75FB6669" w14:textId="49344E41" w:rsidR="00B44CE4" w:rsidRDefault="00B44CE4" w:rsidP="000A7BAD">
      <w:pPr>
        <w:spacing w:after="120" w:line="264" w:lineRule="auto"/>
        <w:ind w:left="567" w:right="566" w:firstLine="0"/>
        <w:jc w:val="both"/>
        <w:rPr>
          <w:rFonts w:ascii="PT Serif" w:hAnsi="PT Serif"/>
          <w:sz w:val="20"/>
          <w:szCs w:val="20"/>
        </w:rPr>
      </w:pPr>
      <w:r w:rsidRPr="00B44CE4">
        <w:rPr>
          <w:rFonts w:ascii="PT Serif" w:hAnsi="PT Serif" w:cs="PT Serif"/>
          <w:b w:val="0"/>
          <w:i w:val="0"/>
          <w:sz w:val="20"/>
          <w:szCs w:val="20"/>
        </w:rPr>
        <w:t xml:space="preserve">«Estos preceptos expresan la decisión del legislador en el sentido de que la legítima del cónyuge sea un derecho vinculado a la pervivencia del vínculo matrimonial, lo </w:t>
      </w:r>
      <w:r w:rsidRPr="00B44CE4">
        <w:rPr>
          <w:rFonts w:ascii="PT Serif" w:hAnsi="PT Serif" w:cs="PT Serif"/>
          <w:b w:val="0"/>
          <w:i w:val="0"/>
          <w:sz w:val="20"/>
          <w:szCs w:val="20"/>
        </w:rPr>
        <w:lastRenderedPageBreak/>
        <w:t>que no se da ante una ruptura de la convivencia conyugal en determinados supuestos de crisis matrimonial, como en el caso de separación judicial o de hecho, en los cuales la ausencia de “affectio maritalis” no justifica la existencia de una atribución sucesoria. El precepto elimina la legítima del cónyuge supérstite tanto si fue este el que impuso la separación, como si fue de mutuo acuerdo o fue impuesta por el cónyuge premuerto. Esta exclusión es también coherente con el hecho de que el reconocimiento de legítima vidual busca el objetivo de proporcionar al supérstite recursos con los que atender a su subsistencia y preservar el nivel de vida de que disfrutó en compañía del premuerto. Si no existe convivencia el derecho de legítima queda, en el esquema diseñado por el Código civil, sin justificación».</w:t>
      </w:r>
    </w:p>
    <w:p w14:paraId="0F4BC846" w14:textId="77777777" w:rsidR="00B44CE4" w:rsidRDefault="00B44CE4" w:rsidP="00831B94">
      <w:pPr>
        <w:spacing w:after="0" w:line="264" w:lineRule="auto"/>
        <w:jc w:val="both"/>
        <w:rPr>
          <w:rFonts w:ascii="PT Serif" w:hAnsi="PT Serif"/>
          <w:sz w:val="20"/>
          <w:szCs w:val="20"/>
        </w:rPr>
      </w:pPr>
    </w:p>
    <w:p w14:paraId="15B2D19A" w14:textId="1726CAF3" w:rsidR="00BF393C" w:rsidRPr="003F26EA" w:rsidRDefault="002D573D" w:rsidP="008941D8">
      <w:pPr>
        <w:pStyle w:val="Pargrafdellista"/>
        <w:spacing w:after="60" w:line="240" w:lineRule="auto" w:before="120"/>
        <w:ind w:left="0"/>
        <w:jc w:val="both"/>
        <w:rPr>
          <w:rFonts w:ascii="PT Serif" w:hAnsi="PT Serif"/>
          <w:b/>
          <w:i/>
        </w:rPr>
      </w:pPr>
      <w:r w:rsidRPr="003F26EA">
        <w:rPr>
          <w:rFonts w:ascii="PT Serif" w:hAnsi="PT Serif" w:cs="PT Serif"/>
          <w:b/>
          <w:i w:val="0"/>
          <w:sz w:val="20"/>
        </w:rPr>
        <w:t xml:space="preserve">2.3. </w:t>
      </w:r>
      <w:r w:rsidR="001362CD" w:rsidRPr="003F26EA">
        <w:rPr>
          <w:rFonts w:ascii="PT Serif" w:hAnsi="PT Serif" w:cs="PT Serif"/>
          <w:b/>
          <w:i w:val="0"/>
          <w:sz w:val="20"/>
        </w:rPr>
        <w:t>Inadmisión</w:t>
      </w:r>
      <w:r w:rsidR="00BF393C" w:rsidRPr="003F26EA">
        <w:rPr>
          <w:rFonts w:ascii="PT Serif" w:hAnsi="PT Serif" w:cs="PT Serif"/>
          <w:b/>
          <w:i w:val="0"/>
          <w:sz w:val="20"/>
        </w:rPr>
        <w:t xml:space="preserve"> de la cuestión: los tratados internacionales no integran el bloque de constitucionalidad</w:t>
      </w:r>
      <w:r w:rsidR="00BF393C" w:rsidRPr="003F26EA">
        <w:rPr>
          <w:rFonts w:ascii="PT Serif" w:hAnsi="PT Serif" w:cs="PT Serif"/>
          <w:b/>
          <w:i w:val="0"/>
          <w:sz w:val="20"/>
        </w:rPr>
        <w:t xml:space="preserve"> </w:t>
      </w:r>
    </w:p>
    <w:p w14:paraId="71348643" w14:textId="77777777" w:rsidR="008941D8" w:rsidRDefault="008941D8" w:rsidP="008941D8">
      <w:pPr>
        <w:pStyle w:val="Pargrafdellista"/>
        <w:spacing w:after="0" w:line="264" w:lineRule="auto"/>
        <w:ind w:left="0"/>
        <w:jc w:val="both"/>
        <w:rPr>
          <w:rFonts w:ascii="PT Serif" w:hAnsi="PT Serif"/>
          <w:b/>
          <w:i/>
          <w:sz w:val="18"/>
          <w:szCs w:val="18"/>
        </w:rPr>
      </w:pPr>
    </w:p>
    <w:p w14:paraId="2510367B" w14:textId="3ECB5507" w:rsidR="001362CD" w:rsidRDefault="001362CD" w:rsidP="001362CD">
      <w:pPr>
        <w:spacing w:after="120" w:line="264" w:lineRule="auto"/>
        <w:ind w:firstLine="0"/>
        <w:jc w:val="both"/>
        <w:rPr>
          <w:rFonts w:ascii="PT Serif" w:hAnsi="PT Serif"/>
          <w:sz w:val="20"/>
          <w:szCs w:val="20"/>
        </w:rPr>
      </w:pPr>
      <w:r w:rsidRPr="001362CD">
        <w:rPr>
          <w:rFonts w:ascii="PT Serif" w:hAnsi="PT Serif" w:cs="PT Serif"/>
          <w:b w:val="0"/>
          <w:i w:val="0"/>
          <w:sz w:val="20"/>
          <w:szCs w:val="20"/>
        </w:rPr>
        <w:t>A los efectos de tomar la decisión de admitir o no la cuestión de inconstitucionalidad</w:t>
      </w:r>
      <w:r w:rsidR="00BF393C">
        <w:rPr>
          <w:rFonts w:ascii="PT Serif" w:hAnsi="PT Serif" w:cs="PT Serif"/>
          <w:b w:val="0"/>
          <w:i w:val="0"/>
          <w:sz w:val="20"/>
          <w:szCs w:val="20"/>
        </w:rPr>
        <w:t xml:space="preserve"> que analizamos</w:t>
      </w:r>
      <w:r w:rsidRPr="001362CD">
        <w:rPr>
          <w:rFonts w:ascii="PT Serif" w:hAnsi="PT Serif" w:cs="PT Serif"/>
          <w:b w:val="0"/>
          <w:i w:val="0"/>
          <w:sz w:val="20"/>
          <w:szCs w:val="20"/>
        </w:rPr>
        <w:t>, el TC, al amparo de lo previsto en el art. 37.1 de la Ley Orgánica 2/1979, de 3 de octubre, del Tribunal Constitucional, analiza si faltan las condiciones procesales necesarias, por un lado, o si es notoriamente infundada la cuestión por el otro.</w:t>
      </w:r>
    </w:p>
    <w:p w14:paraId="364C8234" w14:textId="77777777" w:rsidR="001362CD" w:rsidRPr="001362CD" w:rsidRDefault="001362CD" w:rsidP="001362CD">
      <w:pPr>
        <w:spacing w:after="0" w:line="264" w:lineRule="auto"/>
        <w:jc w:val="both"/>
        <w:rPr>
          <w:rFonts w:ascii="PT Serif" w:hAnsi="PT Serif"/>
          <w:sz w:val="20"/>
          <w:szCs w:val="20"/>
        </w:rPr>
      </w:pPr>
    </w:p>
    <w:p w14:paraId="7A06E086" w14:textId="3EE6A8EA" w:rsidR="001362CD" w:rsidRDefault="001362CD" w:rsidP="001362CD">
      <w:pPr>
        <w:spacing w:after="120" w:line="264" w:lineRule="auto"/>
        <w:ind w:firstLine="0"/>
        <w:jc w:val="both"/>
        <w:rPr>
          <w:rFonts w:ascii="PT Serif" w:hAnsi="PT Serif"/>
          <w:sz w:val="20"/>
          <w:szCs w:val="20"/>
        </w:rPr>
      </w:pPr>
      <w:r w:rsidRPr="001362CD">
        <w:rPr>
          <w:rFonts w:ascii="PT Serif" w:hAnsi="PT Serif" w:cs="PT Serif"/>
          <w:b w:val="0"/>
          <w:i w:val="0"/>
          <w:sz w:val="20"/>
          <w:szCs w:val="20"/>
        </w:rPr>
        <w:t>Respecto de la primera cuestión concluye que no hay tacha que realizar (FJ 2º). Sin embargo, acaba inadmitiendo a trámite la cuestión por no haber dado cumplimento a</w:t>
      </w:r>
      <w:r w:rsidR="002D573D">
        <w:rPr>
          <w:rFonts w:ascii="PT Serif" w:hAnsi="PT Serif" w:cs="PT Serif"/>
          <w:b w:val="0"/>
          <w:i w:val="0"/>
          <w:sz w:val="20"/>
          <w:szCs w:val="20"/>
        </w:rPr>
        <w:t>l</w:t>
      </w:r>
      <w:r w:rsidRPr="001362CD">
        <w:rPr>
          <w:rFonts w:ascii="PT Serif" w:hAnsi="PT Serif" w:cs="PT Serif"/>
          <w:b w:val="0"/>
          <w:i w:val="0"/>
          <w:sz w:val="20"/>
          <w:szCs w:val="20"/>
        </w:rPr>
        <w:t xml:space="preserve"> debido juicio de relevancia</w:t>
      </w:r>
      <w:r w:rsidR="00525987">
        <w:rPr>
          <w:rStyle w:val="Refernciadenotaapeudepgina"/>
          <w:rFonts w:ascii="PT Serif" w:hAnsi="PT Serif" w:cs="PT Serif"/>
          <w:b w:val="0"/>
          <w:i w:val="0"/>
          <w:sz w:val="20"/>
          <w:szCs w:val="20"/>
        </w:rPr>
        <w:footnoteReference w:id="21"/>
      </w:r>
      <w:r w:rsidRPr="001362CD">
        <w:rPr>
          <w:rFonts w:ascii="PT Serif" w:hAnsi="PT Serif" w:cs="PT Serif"/>
          <w:b w:val="0"/>
          <w:i w:val="0"/>
          <w:sz w:val="20"/>
          <w:szCs w:val="20"/>
        </w:rPr>
        <w:t xml:space="preserve">. </w:t>
      </w:r>
    </w:p>
    <w:p w14:paraId="19F62CAF" w14:textId="77777777" w:rsidR="001362CD" w:rsidRPr="001362CD" w:rsidRDefault="001362CD" w:rsidP="001362CD">
      <w:pPr>
        <w:spacing w:after="0" w:line="264" w:lineRule="auto"/>
        <w:jc w:val="both"/>
        <w:rPr>
          <w:rFonts w:ascii="PT Serif" w:hAnsi="PT Serif"/>
          <w:sz w:val="20"/>
          <w:szCs w:val="20"/>
        </w:rPr>
      </w:pPr>
    </w:p>
    <w:p w14:paraId="6AF0280D" w14:textId="0DB92E46" w:rsidR="001362CD" w:rsidRDefault="001362CD" w:rsidP="001362CD">
      <w:pPr>
        <w:spacing w:after="120" w:line="264" w:lineRule="auto"/>
        <w:ind w:firstLine="0"/>
        <w:jc w:val="both"/>
        <w:rPr>
          <w:rFonts w:ascii="PT Serif" w:hAnsi="PT Serif"/>
          <w:sz w:val="20"/>
          <w:szCs w:val="20"/>
        </w:rPr>
      </w:pPr>
      <w:r w:rsidRPr="001362CD">
        <w:rPr>
          <w:rFonts w:ascii="PT Serif" w:hAnsi="PT Serif" w:cs="PT Serif"/>
          <w:b w:val="0"/>
          <w:i w:val="0"/>
          <w:sz w:val="20"/>
          <w:szCs w:val="20"/>
        </w:rPr>
        <w:t>Simplificando la argumentación del TC queremos destacar que acaba reprochando al JPPII que podría haber hecho otra interpretación del art</w:t>
      </w:r>
      <w:r w:rsidR="00BF393C">
        <w:rPr>
          <w:rFonts w:ascii="PT Serif" w:hAnsi="PT Serif" w:cs="PT Serif"/>
          <w:b w:val="0"/>
          <w:i w:val="0"/>
          <w:sz w:val="20"/>
          <w:szCs w:val="20"/>
        </w:rPr>
        <w:t>ículo</w:t>
      </w:r>
      <w:r w:rsidRPr="001362CD">
        <w:rPr>
          <w:rFonts w:ascii="PT Serif" w:hAnsi="PT Serif" w:cs="PT Serif"/>
          <w:b w:val="0"/>
          <w:i w:val="0"/>
          <w:sz w:val="20"/>
          <w:szCs w:val="20"/>
        </w:rPr>
        <w:t xml:space="preserve"> 834 CC que evitara sus dudas de inconstitucionalidad. En concreto, destaca que dicha disposición, en el caso de la separación de hecho, se refiere a supuestos en los que la misma se produzca por decisión de ambos o uno solo de los cónyuges. Es decir, cuando concurra la voluntad de uno o ambos cónyuges de poner fin a la convivencia,</w:t>
      </w:r>
      <w:r w:rsidR="002D573D">
        <w:rPr>
          <w:rFonts w:ascii="PT Serif" w:hAnsi="PT Serif" w:cs="PT Serif"/>
          <w:b w:val="0"/>
          <w:i w:val="0"/>
          <w:sz w:val="20"/>
          <w:szCs w:val="20"/>
        </w:rPr>
        <w:t xml:space="preserve"> siendo</w:t>
      </w:r>
      <w:r w:rsidRPr="001362CD">
        <w:rPr>
          <w:rFonts w:ascii="PT Serif" w:hAnsi="PT Serif" w:cs="PT Serif"/>
          <w:b w:val="0"/>
          <w:i w:val="0"/>
          <w:sz w:val="20"/>
          <w:szCs w:val="20"/>
        </w:rPr>
        <w:t xml:space="preserve"> su “libre decisión”. Sin embargo, la separación de hecho motivada por una orden judicial de alejamiento en caso de violencia de género cae fuera del ámbito de adecuación de la disposición analizada, puesto que no concurre la libre decisión, sino que es impuesta judicialmente (FJ 5 in fine):</w:t>
      </w:r>
    </w:p>
    <w:p w14:paraId="3EB9806F" w14:textId="77777777" w:rsidR="001362CD" w:rsidRDefault="001362CD" w:rsidP="001362CD">
      <w:pPr>
        <w:spacing w:after="0" w:line="264" w:lineRule="auto"/>
        <w:jc w:val="both"/>
        <w:rPr>
          <w:rFonts w:ascii="PT Serif" w:hAnsi="PT Serif"/>
          <w:sz w:val="20"/>
          <w:szCs w:val="20"/>
        </w:rPr>
      </w:pPr>
    </w:p>
    <w:p w14:paraId="636962FB" w14:textId="75254872" w:rsidR="001362CD" w:rsidRPr="001362CD" w:rsidRDefault="00525987" w:rsidP="00525987">
      <w:pPr>
        <w:spacing w:after="120" w:line="264" w:lineRule="auto"/>
        <w:ind w:left="567" w:right="566" w:firstLine="0"/>
        <w:jc w:val="both"/>
        <w:rPr>
          <w:rFonts w:ascii="PT Serif" w:hAnsi="PT Serif"/>
          <w:sz w:val="20"/>
          <w:szCs w:val="20"/>
        </w:rPr>
      </w:pPr>
      <w:r w:rsidRPr="00B44CE4">
        <w:rPr>
          <w:rFonts w:ascii="PT Serif" w:hAnsi="PT Serif" w:cs="PT Serif"/>
          <w:b w:val="0"/>
          <w:i w:val="0"/>
          <w:sz w:val="20"/>
          <w:szCs w:val="20"/>
        </w:rPr>
        <w:t>«</w:t>
      </w:r>
      <w:r w:rsidR="001362CD" w:rsidRPr="001362CD">
        <w:rPr>
          <w:rFonts w:ascii="PT Serif" w:hAnsi="PT Serif" w:cs="PT Serif"/>
          <w:b w:val="0"/>
          <w:i w:val="0"/>
          <w:sz w:val="20"/>
          <w:szCs w:val="20"/>
        </w:rPr>
        <w:t>Este es uno de esos casos en la medida en que era posible, sin forzar su sentido, hacer una interpretación del precepto que permitía excluir la duda de constitucionalidad que se plantea, atendiendo a la interpretación sistemática del precepto “en relación con el contexto” (</w:t>
      </w:r>
      <w:hyperlink r:id="rId11" w:anchor="I2144')" w:tooltip="enlace" w:history="1">
        <w:r w:rsidR="001362CD" w:rsidRPr="001362CD">
          <w:rPr>
            <w:rFonts w:ascii="PT Serif" w:hAnsi="PT Serif"/>
          </w:rPr>
          <w:t>art. 3.1 CC</w:t>
        </w:r>
      </w:hyperlink>
      <w:r w:rsidR="001362CD" w:rsidRPr="001362CD">
        <w:rPr>
          <w:rFonts w:ascii="PT Serif" w:hAnsi="PT Serif" w:cs="PT Serif"/>
          <w:b w:val="0"/>
          <w:i w:val="0"/>
          <w:sz w:val="20"/>
          <w:szCs w:val="20"/>
        </w:rPr>
        <w:t xml:space="preserve">). En tal sentido es posible entender que, a diferencia del supuesto de la separación judicial en el que esta deriva de la decisión de un tercero, el juez, el concepto de separación de hecho como productora de efectos jurídicos no se refiere a toda cesación temporal de la convivencia conyugal por hechos ajenos a la voluntad de los esposos, sino que solamente será este el caso cuando esa cesación de la vida conyugal tiene lugar por voluntad de estos o de alguno de ellos, sin que exista pronunciamiento judicial al </w:t>
      </w:r>
      <w:r w:rsidR="001362CD" w:rsidRPr="001362CD">
        <w:rPr>
          <w:rFonts w:ascii="PT Serif" w:hAnsi="PT Serif" w:cs="PT Serif"/>
          <w:b w:val="0"/>
          <w:i w:val="0"/>
          <w:sz w:val="20"/>
          <w:szCs w:val="20"/>
        </w:rPr>
        <w:lastRenderedPageBreak/>
        <w:t>respecto. De hecho, ese es uno de los argumentos que se sostienen en la demanda, en relación con un entendimiento del precepto que vincula la separación de hecho a la que alude el precepto con la idea de voluntariedad en la decisión de, al menos, uno de los cónyuges y la excluye en caso de que se trate de una decisión de un tercero</w:t>
      </w:r>
      <w:r w:rsidRPr="00B76E3F">
        <w:rPr>
          <w:rFonts w:ascii="PT Serif" w:hAnsi="PT Serif" w:cs="PT Serif"/>
          <w:b w:val="0"/>
          <w:i w:val="0"/>
          <w:sz w:val="20"/>
          <w:szCs w:val="20"/>
        </w:rPr>
        <w:t>»</w:t>
      </w:r>
      <w:r w:rsidR="001362CD" w:rsidRPr="001362CD">
        <w:rPr>
          <w:rFonts w:ascii="PT Serif" w:hAnsi="PT Serif" w:cs="PT Serif"/>
          <w:b w:val="0"/>
          <w:i w:val="0"/>
          <w:sz w:val="20"/>
          <w:szCs w:val="20"/>
        </w:rPr>
        <w:t>.</w:t>
      </w:r>
    </w:p>
    <w:p w14:paraId="7F5726E8" w14:textId="77777777" w:rsidR="001362CD" w:rsidRDefault="001362CD" w:rsidP="00525987">
      <w:pPr>
        <w:spacing w:after="0" w:line="264" w:lineRule="auto"/>
        <w:ind w:left="567" w:right="566"/>
        <w:jc w:val="both"/>
        <w:rPr>
          <w:rFonts w:ascii="PT Serif" w:hAnsi="PT Serif"/>
          <w:sz w:val="20"/>
          <w:szCs w:val="20"/>
        </w:rPr>
      </w:pPr>
    </w:p>
    <w:p w14:paraId="5D071BD0" w14:textId="3DF93536" w:rsidR="001362CD" w:rsidRDefault="001362CD" w:rsidP="001362CD">
      <w:pPr>
        <w:spacing w:after="120" w:line="264" w:lineRule="auto"/>
        <w:ind w:firstLine="0"/>
        <w:jc w:val="both"/>
        <w:rPr>
          <w:rFonts w:ascii="PT Serif" w:hAnsi="PT Serif"/>
          <w:sz w:val="20"/>
          <w:szCs w:val="20"/>
        </w:rPr>
      </w:pPr>
      <w:r w:rsidRPr="001362CD">
        <w:rPr>
          <w:rFonts w:ascii="PT Serif" w:hAnsi="PT Serif" w:cs="PT Serif"/>
          <w:b w:val="0"/>
          <w:i w:val="0"/>
          <w:sz w:val="20"/>
          <w:szCs w:val="20"/>
        </w:rPr>
        <w:t>De hecho, reprocha al Juzgado que no haya hecho “un esfuerzo argumental” para realizar esta interpretación que hubiera evitado la promoción de la cuestión de inconstitucionalidad</w:t>
      </w:r>
      <w:r w:rsidR="00525987">
        <w:rPr>
          <w:rStyle w:val="Refernciadenotaapeudepgina"/>
          <w:rFonts w:ascii="PT Serif" w:hAnsi="PT Serif" w:cs="PT Serif"/>
          <w:b w:val="0"/>
          <w:i w:val="0"/>
          <w:sz w:val="20"/>
          <w:szCs w:val="20"/>
        </w:rPr>
        <w:footnoteReference w:id="22"/>
      </w:r>
      <w:r w:rsidRPr="001362CD">
        <w:rPr>
          <w:rFonts w:ascii="PT Serif" w:hAnsi="PT Serif" w:cs="PT Serif"/>
          <w:b w:val="0"/>
          <w:i w:val="0"/>
          <w:sz w:val="20"/>
          <w:szCs w:val="20"/>
        </w:rPr>
        <w:t xml:space="preserve">: </w:t>
      </w:r>
    </w:p>
    <w:p w14:paraId="0A08B568" w14:textId="77777777" w:rsidR="001362CD" w:rsidRPr="001362CD" w:rsidRDefault="001362CD" w:rsidP="001362CD">
      <w:pPr>
        <w:spacing w:after="0" w:line="264" w:lineRule="auto"/>
        <w:jc w:val="both"/>
        <w:rPr>
          <w:rFonts w:ascii="PT Serif" w:hAnsi="PT Serif"/>
          <w:sz w:val="20"/>
          <w:szCs w:val="20"/>
        </w:rPr>
      </w:pPr>
    </w:p>
    <w:p w14:paraId="74C2D23A" w14:textId="4A13D113" w:rsidR="001362CD" w:rsidRPr="001362CD" w:rsidRDefault="00525987" w:rsidP="00525987">
      <w:pPr>
        <w:spacing w:after="120" w:line="264" w:lineRule="auto"/>
        <w:ind w:left="567" w:right="566" w:firstLine="0"/>
        <w:jc w:val="both"/>
        <w:rPr>
          <w:rFonts w:ascii="PT Serif" w:hAnsi="PT Serif"/>
          <w:sz w:val="20"/>
          <w:szCs w:val="20"/>
        </w:rPr>
      </w:pPr>
      <w:r w:rsidRPr="00B44CE4">
        <w:rPr>
          <w:rFonts w:ascii="PT Serif" w:hAnsi="PT Serif" w:cs="PT Serif"/>
          <w:b w:val="0"/>
          <w:i w:val="0"/>
          <w:sz w:val="20"/>
          <w:szCs w:val="20"/>
        </w:rPr>
        <w:t>«</w:t>
      </w:r>
      <w:r w:rsidR="001362CD" w:rsidRPr="001362CD">
        <w:rPr>
          <w:rFonts w:ascii="PT Serif" w:hAnsi="PT Serif" w:cs="PT Serif"/>
          <w:b w:val="0"/>
          <w:i w:val="0"/>
          <w:sz w:val="20"/>
          <w:szCs w:val="20"/>
        </w:rPr>
        <w:t>Como se despende de las circunstancias del proceso a quo es posible una interpretación alternativa a la que el órgano judicial formula como punto de partida de su duda de constitucionalidad. Interpretación centrada en la mencionada vinculación de la separación de hecho a la que alude el precepto cuestionado con la idea de voluntariedad, en el sentido de que esa separación dependa, en realidad, de la libre decisión de uno o ambos de los cónyuges. Por tanto, el órgano judicial debería haber realizado un esfuerzo argumental dirigido a probar por qué esa interpretación alternativa aplicada al caso concreto no era factible con el marco legal vigente y procedía en su lugar plantear la cuestión de inconstitucionalidad</w:t>
      </w:r>
      <w:r w:rsidRPr="00B76E3F">
        <w:rPr>
          <w:rFonts w:ascii="PT Serif" w:hAnsi="PT Serif" w:cs="PT Serif"/>
          <w:b w:val="0"/>
          <w:i w:val="0"/>
          <w:sz w:val="20"/>
          <w:szCs w:val="20"/>
        </w:rPr>
        <w:t>»</w:t>
      </w:r>
      <w:r w:rsidR="001362CD" w:rsidRPr="001362CD">
        <w:rPr>
          <w:rFonts w:ascii="PT Serif" w:hAnsi="PT Serif" w:cs="PT Serif"/>
          <w:b w:val="0"/>
          <w:i w:val="0"/>
          <w:sz w:val="20"/>
          <w:szCs w:val="20"/>
        </w:rPr>
        <w:t>.</w:t>
      </w:r>
    </w:p>
    <w:p w14:paraId="4D2F338D" w14:textId="77777777" w:rsidR="001362CD" w:rsidRDefault="001362CD" w:rsidP="004B561D">
      <w:pPr>
        <w:spacing w:after="0" w:line="264" w:lineRule="auto"/>
        <w:jc w:val="both"/>
        <w:rPr>
          <w:rFonts w:ascii="PT Serif" w:hAnsi="PT Serif"/>
          <w:sz w:val="20"/>
          <w:szCs w:val="20"/>
        </w:rPr>
      </w:pPr>
    </w:p>
    <w:p w14:paraId="7176CB0E" w14:textId="77777777" w:rsidR="00390F8E" w:rsidRPr="00390F8E" w:rsidRDefault="00390F8E" w:rsidP="00390F8E">
      <w:pPr>
        <w:spacing w:after="0" w:line="264" w:lineRule="auto"/>
        <w:jc w:val="both"/>
        <w:rPr>
          <w:rFonts w:ascii="PT Serif" w:hAnsi="PT Serif"/>
          <w:sz w:val="20"/>
          <w:szCs w:val="20"/>
        </w:rPr>
      </w:pPr>
    </w:p>
    <w:p w14:paraId="6F13348D" w14:textId="16D263BF" w:rsidR="00390F8E" w:rsidRDefault="00390F8E" w:rsidP="00390F8E">
      <w:pPr>
        <w:spacing w:after="120" w:line="264" w:lineRule="auto"/>
        <w:ind w:firstLine="0"/>
        <w:jc w:val="both"/>
        <w:rPr>
          <w:rFonts w:ascii="PT Serif" w:hAnsi="PT Serif"/>
          <w:sz w:val="20"/>
          <w:szCs w:val="20"/>
        </w:rPr>
      </w:pPr>
      <w:r w:rsidRPr="00390F8E">
        <w:rPr>
          <w:rFonts w:ascii="PT Serif" w:hAnsi="PT Serif" w:cs="PT Serif"/>
          <w:b w:val="0"/>
          <w:i w:val="0"/>
          <w:sz w:val="20"/>
          <w:szCs w:val="20"/>
        </w:rPr>
        <w:t xml:space="preserve">Como hemos indicado más arriba, el segundo argumento que utiliza el JPII para sospechar de la </w:t>
      </w:r>
      <w:r w:rsidR="00BF393C">
        <w:rPr>
          <w:rFonts w:ascii="PT Serif" w:hAnsi="PT Serif" w:cs="PT Serif"/>
          <w:b w:val="0"/>
          <w:i w:val="0"/>
          <w:sz w:val="20"/>
          <w:szCs w:val="20"/>
        </w:rPr>
        <w:t>“in</w:t>
      </w:r>
      <w:r w:rsidRPr="00390F8E">
        <w:rPr>
          <w:rFonts w:ascii="PT Serif" w:hAnsi="PT Serif" w:cs="PT Serif"/>
          <w:b w:val="0"/>
          <w:i w:val="0"/>
          <w:sz w:val="20"/>
          <w:szCs w:val="20"/>
        </w:rPr>
        <w:t>constitucionalidad</w:t>
      </w:r>
      <w:r w:rsidR="00BF393C">
        <w:rPr>
          <w:rFonts w:ascii="PT Serif" w:hAnsi="PT Serif" w:cs="PT Serif"/>
          <w:b w:val="0"/>
          <w:i w:val="0"/>
          <w:sz w:val="20"/>
          <w:szCs w:val="20"/>
        </w:rPr>
        <w:t>”</w:t>
      </w:r>
      <w:r w:rsidRPr="00390F8E">
        <w:rPr>
          <w:rFonts w:ascii="PT Serif" w:hAnsi="PT Serif" w:cs="PT Serif"/>
          <w:b w:val="0"/>
          <w:i w:val="0"/>
          <w:sz w:val="20"/>
          <w:szCs w:val="20"/>
        </w:rPr>
        <w:t xml:space="preserve"> del art</w:t>
      </w:r>
      <w:r w:rsidR="00BF393C">
        <w:rPr>
          <w:rFonts w:ascii="PT Serif" w:hAnsi="PT Serif" w:cs="PT Serif"/>
          <w:b w:val="0"/>
          <w:i w:val="0"/>
          <w:sz w:val="20"/>
          <w:szCs w:val="20"/>
        </w:rPr>
        <w:t>ículo</w:t>
      </w:r>
      <w:r w:rsidRPr="00390F8E">
        <w:rPr>
          <w:rFonts w:ascii="PT Serif" w:hAnsi="PT Serif" w:cs="PT Serif"/>
          <w:b w:val="0"/>
          <w:i w:val="0"/>
          <w:sz w:val="20"/>
          <w:szCs w:val="20"/>
        </w:rPr>
        <w:t xml:space="preserve"> 834 CC en relación con las víctimas de violencia de género, es su contradicción con los artículos 12.3, 18 y 29 del Convenio de Estambul. En definitiva, </w:t>
      </w:r>
      <w:r w:rsidR="00BF393C">
        <w:rPr>
          <w:rFonts w:ascii="PT Serif" w:hAnsi="PT Serif" w:cs="PT Serif"/>
          <w:b w:val="0"/>
          <w:i w:val="0"/>
          <w:sz w:val="20"/>
          <w:szCs w:val="20"/>
        </w:rPr>
        <w:t xml:space="preserve">utiliza el cauce procesal de la cuestión de inconstitucionalidad para solicitar </w:t>
      </w:r>
      <w:r w:rsidRPr="00390F8E">
        <w:rPr>
          <w:rFonts w:ascii="PT Serif" w:hAnsi="PT Serif" w:cs="PT Serif"/>
          <w:b w:val="0"/>
          <w:i w:val="0"/>
          <w:sz w:val="20"/>
          <w:szCs w:val="20"/>
        </w:rPr>
        <w:t>al TC un pronunciamiento acerca de la adecuación de una norma interna con normas convencionales.</w:t>
      </w:r>
      <w:r w:rsidR="00BF393C">
        <w:rPr>
          <w:rFonts w:ascii="PT Serif" w:hAnsi="PT Serif" w:cs="PT Serif"/>
          <w:b w:val="0"/>
          <w:i w:val="0"/>
          <w:sz w:val="20"/>
          <w:szCs w:val="20"/>
        </w:rPr>
        <w:t xml:space="preserve"> Es decir, entiende que</w:t>
      </w:r>
      <w:r w:rsidR="00426238">
        <w:rPr>
          <w:rFonts w:ascii="PT Serif" w:hAnsi="PT Serif" w:cs="PT Serif"/>
          <w:b w:val="0"/>
          <w:i w:val="0"/>
          <w:sz w:val="20"/>
          <w:szCs w:val="20"/>
        </w:rPr>
        <w:t xml:space="preserve"> la cuestión de inconstitucionalidad es el cauce procesal oportuno para que el TC lleve a cabo un control concentrado de convencionalidad, sin que la Jurisdicción ordinaria pueda realizarlo de manera difusa</w:t>
      </w:r>
      <w:r w:rsidR="00BF393C">
        <w:rPr>
          <w:rFonts w:ascii="PT Serif" w:hAnsi="PT Serif" w:cs="PT Serif"/>
          <w:b w:val="0"/>
          <w:i w:val="0"/>
          <w:sz w:val="20"/>
          <w:szCs w:val="20"/>
        </w:rPr>
        <w:t>.</w:t>
      </w:r>
    </w:p>
    <w:p w14:paraId="411640AC" w14:textId="77777777" w:rsidR="00390F8E" w:rsidRDefault="00390F8E" w:rsidP="00390F8E">
      <w:pPr>
        <w:spacing w:after="0" w:line="240" w:lineRule="auto"/>
        <w:jc w:val="both"/>
        <w:rPr>
          <w:rFonts w:ascii="PT Serif" w:hAnsi="PT Serif"/>
          <w:sz w:val="20"/>
          <w:szCs w:val="20"/>
        </w:rPr>
      </w:pPr>
    </w:p>
    <w:p w14:paraId="4ED3FE3B" w14:textId="2651BD5E" w:rsidR="00390F8E" w:rsidRDefault="00390F8E" w:rsidP="00390F8E">
      <w:pPr>
        <w:spacing w:after="120" w:line="264" w:lineRule="auto"/>
        <w:ind w:firstLine="0"/>
        <w:jc w:val="both"/>
        <w:rPr>
          <w:rFonts w:ascii="PT Serif" w:hAnsi="PT Serif"/>
          <w:sz w:val="20"/>
          <w:szCs w:val="20"/>
        </w:rPr>
      </w:pPr>
      <w:r w:rsidRPr="00390F8E">
        <w:rPr>
          <w:rFonts w:ascii="PT Serif" w:hAnsi="PT Serif" w:cs="PT Serif"/>
          <w:b w:val="0"/>
          <w:i w:val="0"/>
          <w:sz w:val="20"/>
          <w:szCs w:val="20"/>
        </w:rPr>
        <w:t>Pues bien, el TC subraya que efectivamente, las normas internas deben interpretarse de acuerdo con la Declaración Universal de los Derechos Humanos y otros tratados internacionales</w:t>
      </w:r>
      <w:r w:rsidR="00426238">
        <w:rPr>
          <w:rFonts w:ascii="PT Serif" w:hAnsi="PT Serif" w:cs="PT Serif"/>
          <w:b w:val="0"/>
          <w:i w:val="0"/>
          <w:sz w:val="20"/>
          <w:szCs w:val="20"/>
        </w:rPr>
        <w:t xml:space="preserve"> (art. 10.2 CE)</w:t>
      </w:r>
      <w:r w:rsidRPr="00390F8E">
        <w:rPr>
          <w:rFonts w:ascii="PT Serif" w:hAnsi="PT Serif" w:cs="PT Serif"/>
          <w:b w:val="0"/>
          <w:i w:val="0"/>
          <w:sz w:val="20"/>
          <w:szCs w:val="20"/>
        </w:rPr>
        <w:t xml:space="preserve">. Sin embargo, </w:t>
      </w:r>
      <w:r w:rsidR="00BF393C">
        <w:rPr>
          <w:rFonts w:ascii="PT Serif" w:hAnsi="PT Serif" w:cs="PT Serif"/>
          <w:b w:val="0"/>
          <w:i w:val="0"/>
          <w:sz w:val="20"/>
          <w:szCs w:val="20"/>
        </w:rPr>
        <w:t xml:space="preserve">subraya que </w:t>
      </w:r>
      <w:r w:rsidRPr="00390F8E">
        <w:rPr>
          <w:rFonts w:ascii="PT Serif" w:hAnsi="PT Serif" w:cs="PT Serif"/>
          <w:b w:val="0"/>
          <w:i w:val="0"/>
          <w:sz w:val="20"/>
          <w:szCs w:val="20"/>
        </w:rPr>
        <w:t>los tratados internacionales no ocupan la misma posición que la CE ni sirven como parámetro para</w:t>
      </w:r>
      <w:r w:rsidR="00BF393C">
        <w:rPr>
          <w:rFonts w:ascii="PT Serif" w:hAnsi="PT Serif" w:cs="PT Serif"/>
          <w:b w:val="0"/>
          <w:i w:val="0"/>
          <w:sz w:val="20"/>
          <w:szCs w:val="20"/>
        </w:rPr>
        <w:t xml:space="preserve"> un eventual </w:t>
      </w:r>
      <w:r w:rsidRPr="00390F8E">
        <w:rPr>
          <w:rFonts w:ascii="PT Serif" w:hAnsi="PT Serif" w:cs="PT Serif"/>
          <w:b w:val="0"/>
          <w:i w:val="0"/>
          <w:sz w:val="20"/>
          <w:szCs w:val="20"/>
        </w:rPr>
        <w:t>control de constitucionalidad. Al respecto, en el FJ afirma:</w:t>
      </w:r>
    </w:p>
    <w:p w14:paraId="61C8582C" w14:textId="77777777" w:rsidR="00390F8E" w:rsidRDefault="00390F8E" w:rsidP="00390F8E">
      <w:pPr>
        <w:spacing w:after="0" w:line="240" w:lineRule="auto"/>
        <w:ind w:left="567" w:right="567"/>
        <w:jc w:val="both"/>
        <w:rPr>
          <w:rFonts w:ascii="PT Serif" w:hAnsi="PT Serif"/>
          <w:sz w:val="20"/>
          <w:szCs w:val="20"/>
        </w:rPr>
      </w:pPr>
    </w:p>
    <w:p w14:paraId="35CD04C3" w14:textId="0EBA987E" w:rsidR="00390F8E" w:rsidRDefault="00390F8E" w:rsidP="00390F8E">
      <w:pPr>
        <w:spacing w:after="120" w:line="264" w:lineRule="auto"/>
        <w:ind w:left="567" w:right="567" w:firstLine="0"/>
        <w:jc w:val="both"/>
        <w:rPr>
          <w:rFonts w:ascii="PT Serif" w:hAnsi="PT Serif"/>
          <w:sz w:val="20"/>
          <w:szCs w:val="20"/>
        </w:rPr>
      </w:pPr>
      <w:r w:rsidRPr="00B44CE4">
        <w:rPr>
          <w:rFonts w:ascii="PT Serif" w:hAnsi="PT Serif" w:cs="PT Serif"/>
          <w:b w:val="0"/>
          <w:i w:val="0"/>
          <w:sz w:val="20"/>
          <w:szCs w:val="20"/>
        </w:rPr>
        <w:t>«</w:t>
      </w:r>
      <w:r w:rsidRPr="00390F8E">
        <w:rPr>
          <w:rFonts w:ascii="PT Serif" w:hAnsi="PT Serif" w:cs="PT Serif"/>
          <w:b w:val="0"/>
          <w:i w:val="0"/>
          <w:sz w:val="20"/>
          <w:szCs w:val="20"/>
        </w:rPr>
        <w:t>En primer término, por lo que hace a la denunciada infracción del </w:t>
      </w:r>
      <w:hyperlink r:id="rId12" w:anchor="I174')" w:tooltip="enlace" w:history="1">
        <w:r w:rsidRPr="00390F8E">
          <w:rPr>
            <w:rFonts w:ascii="PT Serif" w:hAnsi="PT Serif"/>
          </w:rPr>
          <w:t>art. 10.2 CE</w:t>
        </w:r>
      </w:hyperlink>
      <w:r w:rsidRPr="00390F8E">
        <w:rPr>
          <w:rFonts w:ascii="PT Serif" w:hAnsi="PT Serif" w:cs="PT Serif"/>
          <w:b w:val="0"/>
          <w:i w:val="0"/>
          <w:sz w:val="20"/>
          <w:szCs w:val="20"/>
        </w:rPr>
        <w:t> en relación con el Convenio de Estambul, hay que recordar que el </w:t>
      </w:r>
      <w:hyperlink r:id="rId13" w:anchor="I174')" w:tooltip="enlace" w:history="1">
        <w:r w:rsidRPr="00390F8E">
          <w:rPr>
            <w:rFonts w:ascii="PT Serif" w:hAnsi="PT Serif"/>
          </w:rPr>
          <w:t>art. 10.2 CE</w:t>
        </w:r>
      </w:hyperlink>
      <w:r w:rsidRPr="00390F8E">
        <w:rPr>
          <w:rFonts w:ascii="PT Serif" w:hAnsi="PT Serif" w:cs="PT Serif"/>
          <w:b w:val="0"/>
          <w:i w:val="0"/>
          <w:sz w:val="20"/>
          <w:szCs w:val="20"/>
        </w:rPr>
        <w:t xml:space="preserve"> remite como criterio interpretativo de los derechos </w:t>
      </w:r>
      <w:r w:rsidRPr="00BF393C">
        <w:rPr>
          <w:rFonts w:ascii="PT Serif" w:hAnsi="PT Serif" w:cs="PT Serif"/>
          <w:b w:val="0"/>
          <w:i w:val="0"/>
          <w:sz w:val="20"/>
          <w:szCs w:val="20"/>
        </w:rPr>
        <w:t>fundamentales a la </w:t>
      </w:r>
      <w:hyperlink r:id="rId14" w:tooltip="enlace" w:history="1">
        <w:r w:rsidRPr="00BF393C">
          <w:rPr>
            <w:rFonts w:ascii="PT Serif" w:hAnsi="PT Serif"/>
            <w:sz w:val="20"/>
            <w:szCs w:val="20"/>
          </w:rPr>
          <w:t>Declaración universal de derechos humanos</w:t>
        </w:r>
      </w:hyperlink>
      <w:r w:rsidRPr="00BF393C">
        <w:rPr>
          <w:rFonts w:ascii="PT Serif" w:hAnsi="PT Serif" w:cs="PT Serif"/>
          <w:b w:val="0"/>
          <w:i w:val="0"/>
          <w:sz w:val="20"/>
          <w:szCs w:val="20"/>
        </w:rPr>
        <w:t> y los demás tratados y acu</w:t>
      </w:r>
      <w:r w:rsidRPr="00390F8E">
        <w:rPr>
          <w:rFonts w:ascii="PT Serif" w:hAnsi="PT Serif" w:cs="PT Serif"/>
          <w:b w:val="0"/>
          <w:i w:val="0"/>
          <w:sz w:val="20"/>
          <w:szCs w:val="20"/>
        </w:rPr>
        <w:t xml:space="preserve">erdos internacionales sobre las mismas materias ratificados por España, pero eso no significa que tales </w:t>
      </w:r>
      <w:r w:rsidRPr="00390F8E">
        <w:rPr>
          <w:rFonts w:ascii="PT Serif" w:hAnsi="PT Serif" w:cs="PT Serif"/>
          <w:b w:val="0"/>
          <w:i w:val="0"/>
          <w:sz w:val="20"/>
          <w:szCs w:val="20"/>
        </w:rPr>
        <w:lastRenderedPageBreak/>
        <w:t>tratados ocupen la misma posición que la Constitución y sean parámetro directo de la constitucionalidad de las normas internas</w:t>
      </w:r>
      <w:r w:rsidRPr="00B76E3F">
        <w:rPr>
          <w:rFonts w:ascii="PT Serif" w:hAnsi="PT Serif" w:cs="PT Serif"/>
          <w:b w:val="0"/>
          <w:i w:val="0"/>
          <w:sz w:val="20"/>
          <w:szCs w:val="20"/>
        </w:rPr>
        <w:t>»</w:t>
      </w:r>
      <w:r w:rsidRPr="00390F8E">
        <w:rPr>
          <w:rFonts w:ascii="PT Serif" w:hAnsi="PT Serif" w:cs="PT Serif"/>
          <w:b w:val="0"/>
          <w:i w:val="0"/>
          <w:sz w:val="20"/>
          <w:szCs w:val="20"/>
        </w:rPr>
        <w:t>.</w:t>
      </w:r>
    </w:p>
    <w:p w14:paraId="250C55E3" w14:textId="77777777" w:rsidR="00AE0616" w:rsidRPr="00390F8E" w:rsidRDefault="00AE0616" w:rsidP="00390F8E">
      <w:pPr>
        <w:spacing w:after="0" w:line="240" w:lineRule="auto"/>
        <w:ind w:left="567" w:right="567"/>
        <w:jc w:val="both"/>
        <w:rPr>
          <w:rFonts w:ascii="PT Serif" w:hAnsi="PT Serif"/>
          <w:sz w:val="20"/>
          <w:szCs w:val="20"/>
        </w:rPr>
      </w:pPr>
    </w:p>
    <w:p w14:paraId="20089B6F" w14:textId="113CB381" w:rsidR="00BF393C" w:rsidRDefault="00BF393C" w:rsidP="00390F8E">
      <w:pPr>
        <w:spacing w:after="120" w:line="264" w:lineRule="auto"/>
        <w:ind w:firstLine="0"/>
        <w:jc w:val="both"/>
        <w:rPr>
          <w:rFonts w:ascii="PT Serif" w:hAnsi="PT Serif"/>
          <w:sz w:val="20"/>
          <w:szCs w:val="20"/>
        </w:rPr>
      </w:pPr>
      <w:r>
        <w:rPr>
          <w:rFonts w:ascii="PT Serif" w:hAnsi="PT Serif" w:cs="PT Serif"/>
          <w:b w:val="0"/>
          <w:i w:val="0"/>
          <w:sz w:val="20"/>
          <w:szCs w:val="20"/>
        </w:rPr>
        <w:t>Es decir, los tratados internacionales no integran el bloque de constitucionalidad, por lo que no incumbe al TC, vía cuestión de inconstitucionalidad, y añadimos, ni tampoco vía “recurso” de inconstitucionalidad, controlar la adecuación de las normas internas con las convencionales.</w:t>
      </w:r>
    </w:p>
    <w:p w14:paraId="48A30E37" w14:textId="77777777" w:rsidR="00BF393C" w:rsidRDefault="00BF393C" w:rsidP="00390F8E">
      <w:pPr>
        <w:spacing w:after="0" w:line="240" w:lineRule="auto"/>
        <w:jc w:val="both"/>
        <w:rPr>
          <w:rFonts w:ascii="PT Serif" w:hAnsi="PT Serif"/>
          <w:sz w:val="20"/>
          <w:szCs w:val="20"/>
        </w:rPr>
      </w:pPr>
    </w:p>
    <w:p w14:paraId="435BC1E6" w14:textId="03B05F53" w:rsidR="00093533" w:rsidRDefault="00390F8E" w:rsidP="00390F8E">
      <w:pPr>
        <w:spacing w:after="120" w:line="264" w:lineRule="auto"/>
        <w:ind w:firstLine="0"/>
        <w:jc w:val="both"/>
        <w:rPr>
          <w:rFonts w:ascii="PT Serif" w:hAnsi="PT Serif"/>
          <w:sz w:val="20"/>
          <w:szCs w:val="20"/>
        </w:rPr>
      </w:pPr>
      <w:r w:rsidRPr="00390F8E">
        <w:rPr>
          <w:rFonts w:ascii="PT Serif" w:hAnsi="PT Serif" w:cs="PT Serif"/>
          <w:b w:val="0"/>
          <w:i w:val="0"/>
          <w:sz w:val="20"/>
          <w:szCs w:val="20"/>
        </w:rPr>
        <w:t>El TC recuerda su sentencia 140/2018, de 20 de diciembre,</w:t>
      </w:r>
      <w:r w:rsidR="002D573D">
        <w:rPr>
          <w:rFonts w:ascii="PT Serif" w:hAnsi="PT Serif" w:cs="PT Serif"/>
          <w:b w:val="0"/>
          <w:i w:val="0"/>
          <w:sz w:val="20"/>
          <w:szCs w:val="20"/>
        </w:rPr>
        <w:t xml:space="preserve"> dictada en relación con la regulación </w:t>
      </w:r>
      <w:r w:rsidR="00BF393C">
        <w:rPr>
          <w:rFonts w:ascii="PT Serif" w:hAnsi="PT Serif" w:cs="PT Serif"/>
          <w:b w:val="0"/>
          <w:i w:val="0"/>
          <w:sz w:val="20"/>
          <w:szCs w:val="20"/>
        </w:rPr>
        <w:t>sobre la extensión y límites de la Jurisdicción española en materia criminal</w:t>
      </w:r>
      <w:r w:rsidR="00286576">
        <w:rPr>
          <w:rFonts w:ascii="PT Serif" w:hAnsi="PT Serif" w:cs="PT Serif"/>
          <w:b w:val="0"/>
          <w:i w:val="0"/>
          <w:sz w:val="20"/>
          <w:szCs w:val="20"/>
        </w:rPr>
        <w:t xml:space="preserve"> -emitida </w:t>
      </w:r>
      <w:r w:rsidR="00BF393C">
        <w:rPr>
          <w:rFonts w:ascii="PT Serif" w:hAnsi="PT Serif" w:cs="PT Serif"/>
          <w:b w:val="0"/>
          <w:i w:val="0"/>
          <w:sz w:val="20"/>
          <w:szCs w:val="20"/>
        </w:rPr>
        <w:t>previa interposición de un “recurso” de inconstitucionalidad</w:t>
      </w:r>
      <w:r w:rsidR="00286576">
        <w:rPr>
          <w:rFonts w:ascii="PT Serif" w:hAnsi="PT Serif" w:cs="PT Serif"/>
          <w:b w:val="0"/>
          <w:i w:val="0"/>
          <w:sz w:val="20"/>
          <w:szCs w:val="20"/>
        </w:rPr>
        <w:t>-</w:t>
      </w:r>
      <w:r w:rsidR="00BF393C">
        <w:rPr>
          <w:rFonts w:ascii="PT Serif" w:hAnsi="PT Serif" w:cs="PT Serif"/>
          <w:b w:val="0"/>
          <w:i w:val="0"/>
          <w:sz w:val="20"/>
          <w:szCs w:val="20"/>
        </w:rPr>
        <w:t xml:space="preserve"> </w:t>
      </w:r>
      <w:r w:rsidRPr="00390F8E">
        <w:rPr>
          <w:rFonts w:ascii="PT Serif" w:hAnsi="PT Serif" w:cs="PT Serif"/>
          <w:b w:val="0"/>
          <w:i w:val="0"/>
          <w:sz w:val="20"/>
          <w:szCs w:val="20"/>
        </w:rPr>
        <w:t>para sostener que</w:t>
      </w:r>
      <w:r w:rsidR="002D573D">
        <w:rPr>
          <w:rFonts w:ascii="PT Serif" w:hAnsi="PT Serif" w:cs="PT Serif"/>
          <w:b w:val="0"/>
          <w:i w:val="0"/>
          <w:sz w:val="20"/>
          <w:szCs w:val="20"/>
        </w:rPr>
        <w:t xml:space="preserve"> un</w:t>
      </w:r>
      <w:r w:rsidR="00FF6B33">
        <w:rPr>
          <w:rFonts w:ascii="PT Serif" w:hAnsi="PT Serif" w:cs="PT Serif"/>
          <w:b w:val="0"/>
          <w:i w:val="0"/>
          <w:sz w:val="20"/>
          <w:szCs w:val="20"/>
        </w:rPr>
        <w:t xml:space="preserve"> tratado internacional</w:t>
      </w:r>
      <w:r w:rsidR="002D573D">
        <w:rPr>
          <w:rFonts w:ascii="PT Serif" w:hAnsi="PT Serif" w:cs="PT Serif"/>
          <w:b w:val="0"/>
          <w:i w:val="0"/>
          <w:sz w:val="20"/>
          <w:szCs w:val="20"/>
        </w:rPr>
        <w:t xml:space="preserve">, </w:t>
      </w:r>
      <w:r w:rsidR="00286576">
        <w:rPr>
          <w:rFonts w:ascii="PT Serif" w:hAnsi="PT Serif" w:cs="PT Serif"/>
          <w:b w:val="0"/>
          <w:i w:val="0"/>
          <w:sz w:val="20"/>
          <w:szCs w:val="20"/>
        </w:rPr>
        <w:t>n</w:t>
      </w:r>
      <w:r w:rsidRPr="00390F8E">
        <w:rPr>
          <w:rFonts w:ascii="PT Serif" w:hAnsi="PT Serif" w:cs="PT Serif"/>
          <w:b w:val="0"/>
          <w:i w:val="0"/>
          <w:sz w:val="20"/>
          <w:szCs w:val="20"/>
        </w:rPr>
        <w:t xml:space="preserve">o es </w:t>
      </w:r>
      <w:r w:rsidRPr="00B44CE4">
        <w:rPr>
          <w:rFonts w:ascii="PT Serif" w:hAnsi="PT Serif" w:cs="PT Serif"/>
          <w:b w:val="0"/>
          <w:i w:val="0"/>
          <w:sz w:val="20"/>
          <w:szCs w:val="20"/>
        </w:rPr>
        <w:t>«</w:t>
      </w:r>
      <w:r w:rsidRPr="00390F8E">
        <w:rPr>
          <w:rFonts w:ascii="PT Serif" w:hAnsi="PT Serif" w:cs="PT Serif"/>
          <w:b w:val="0"/>
          <w:i w:val="0"/>
          <w:sz w:val="20"/>
          <w:szCs w:val="20"/>
        </w:rPr>
        <w:t>parámetro directo de constitucionalidad del precepto que se ha cuestionado por el órgano judicial</w:t>
      </w:r>
      <w:r w:rsidRPr="00B76E3F">
        <w:rPr>
          <w:rFonts w:ascii="PT Serif" w:hAnsi="PT Serif" w:cs="PT Serif"/>
          <w:b w:val="0"/>
          <w:i w:val="0"/>
          <w:sz w:val="20"/>
          <w:szCs w:val="20"/>
        </w:rPr>
        <w:t>»</w:t>
      </w:r>
      <w:r w:rsidRPr="00390F8E">
        <w:rPr>
          <w:rFonts w:ascii="PT Serif" w:hAnsi="PT Serif" w:cs="PT Serif"/>
          <w:b w:val="0"/>
          <w:i w:val="0"/>
          <w:sz w:val="20"/>
          <w:szCs w:val="20"/>
        </w:rPr>
        <w:t>.</w:t>
      </w:r>
    </w:p>
    <w:p w14:paraId="38163F34" w14:textId="77777777" w:rsidR="003F26EA" w:rsidRDefault="003F26EA" w:rsidP="00390F8E">
      <w:pPr>
        <w:spacing w:after="0" w:line="240" w:lineRule="auto"/>
        <w:jc w:val="both"/>
        <w:rPr>
          <w:rFonts w:ascii="PT Serif" w:hAnsi="PT Serif"/>
          <w:sz w:val="20"/>
          <w:szCs w:val="20"/>
        </w:rPr>
      </w:pPr>
    </w:p>
    <w:p w14:paraId="153C72D3" w14:textId="4CE2FFAA" w:rsidR="00390F8E" w:rsidRDefault="00390F8E" w:rsidP="00390F8E">
      <w:pPr>
        <w:spacing w:after="120" w:line="264" w:lineRule="auto"/>
        <w:ind w:firstLine="0"/>
        <w:jc w:val="both"/>
        <w:rPr>
          <w:rFonts w:ascii="PT Serif" w:hAnsi="PT Serif"/>
          <w:sz w:val="20"/>
          <w:szCs w:val="20"/>
        </w:rPr>
      </w:pPr>
      <w:r w:rsidRPr="00390F8E">
        <w:rPr>
          <w:rFonts w:ascii="PT Serif" w:hAnsi="PT Serif" w:cs="PT Serif"/>
          <w:b w:val="0"/>
          <w:i w:val="0"/>
          <w:sz w:val="20"/>
          <w:szCs w:val="20"/>
        </w:rPr>
        <w:t>En definitiva,</w:t>
      </w:r>
      <w:r w:rsidR="00093533">
        <w:rPr>
          <w:rFonts w:ascii="PT Serif" w:hAnsi="PT Serif" w:cs="PT Serif"/>
          <w:b w:val="0"/>
          <w:i w:val="0"/>
          <w:sz w:val="20"/>
          <w:szCs w:val="20"/>
        </w:rPr>
        <w:t xml:space="preserve"> una </w:t>
      </w:r>
      <w:r w:rsidR="00426238">
        <w:rPr>
          <w:rFonts w:ascii="PT Serif" w:hAnsi="PT Serif" w:cs="PT Serif"/>
          <w:b w:val="0"/>
          <w:i w:val="0"/>
          <w:sz w:val="20"/>
          <w:szCs w:val="20"/>
        </w:rPr>
        <w:t>“</w:t>
      </w:r>
      <w:r w:rsidR="00093533">
        <w:rPr>
          <w:rFonts w:ascii="PT Serif" w:hAnsi="PT Serif" w:cs="PT Serif"/>
          <w:b w:val="0"/>
          <w:i w:val="0"/>
          <w:sz w:val="20"/>
          <w:szCs w:val="20"/>
        </w:rPr>
        <w:t>cuestión de inconstitucionalidad</w:t>
      </w:r>
      <w:r w:rsidR="00426238">
        <w:rPr>
          <w:rFonts w:ascii="PT Serif" w:hAnsi="PT Serif" w:cs="PT Serif"/>
          <w:b w:val="0"/>
          <w:i w:val="0"/>
          <w:sz w:val="20"/>
          <w:szCs w:val="20"/>
        </w:rPr>
        <w:t>”</w:t>
      </w:r>
      <w:r w:rsidR="00093533">
        <w:rPr>
          <w:rFonts w:ascii="PT Serif" w:hAnsi="PT Serif" w:cs="PT Serif"/>
          <w:b w:val="0"/>
          <w:i w:val="0"/>
          <w:sz w:val="20"/>
          <w:szCs w:val="20"/>
        </w:rPr>
        <w:t>, de igual manera que un “recurso” de inconstitucionalidad, no son instrumentos procesales adecuados para procurar la obtención de un pronunciamiento del TC sobre la convencionalidad de las normas internas.</w:t>
      </w:r>
      <w:r w:rsidRPr="00390F8E">
        <w:rPr>
          <w:rFonts w:ascii="PT Serif" w:hAnsi="PT Serif" w:cs="PT Serif"/>
          <w:b w:val="0"/>
          <w:i w:val="0"/>
          <w:sz w:val="20"/>
          <w:szCs w:val="20"/>
        </w:rPr>
        <w:t xml:space="preserve"> </w:t>
      </w:r>
      <w:r w:rsidR="00286576">
        <w:rPr>
          <w:rFonts w:ascii="PT Serif" w:hAnsi="PT Serif" w:cs="PT Serif"/>
          <w:b w:val="0"/>
          <w:i w:val="0"/>
          <w:sz w:val="20"/>
          <w:szCs w:val="20"/>
        </w:rPr>
        <w:t>El</w:t>
      </w:r>
      <w:r w:rsidRPr="00390F8E">
        <w:rPr>
          <w:rFonts w:ascii="PT Serif" w:hAnsi="PT Serif" w:cs="PT Serif"/>
          <w:b w:val="0"/>
          <w:i w:val="0"/>
          <w:sz w:val="20"/>
          <w:szCs w:val="20"/>
        </w:rPr>
        <w:t xml:space="preserve"> TC</w:t>
      </w:r>
      <w:r w:rsidR="00286576">
        <w:rPr>
          <w:rFonts w:ascii="PT Serif" w:hAnsi="PT Serif" w:cs="PT Serif"/>
          <w:b w:val="0"/>
          <w:i w:val="0"/>
          <w:sz w:val="20"/>
          <w:szCs w:val="20"/>
        </w:rPr>
        <w:t xml:space="preserve"> es claro en sostener que</w:t>
      </w:r>
      <w:r w:rsidRPr="00390F8E">
        <w:rPr>
          <w:rFonts w:ascii="PT Serif" w:hAnsi="PT Serif" w:cs="PT Serif"/>
          <w:b w:val="0"/>
          <w:i w:val="0"/>
          <w:sz w:val="20"/>
          <w:szCs w:val="20"/>
        </w:rPr>
        <w:t xml:space="preserve"> no le incumbe el control</w:t>
      </w:r>
      <w:r w:rsidR="00426238">
        <w:rPr>
          <w:rFonts w:ascii="PT Serif" w:hAnsi="PT Serif" w:cs="PT Serif"/>
          <w:b w:val="0"/>
          <w:i w:val="0"/>
          <w:sz w:val="20"/>
          <w:szCs w:val="20"/>
        </w:rPr>
        <w:t xml:space="preserve"> -concentrado-</w:t>
      </w:r>
      <w:r w:rsidRPr="00390F8E">
        <w:rPr>
          <w:rFonts w:ascii="PT Serif" w:hAnsi="PT Serif" w:cs="PT Serif"/>
          <w:b w:val="0"/>
          <w:i w:val="0"/>
          <w:sz w:val="20"/>
          <w:szCs w:val="20"/>
        </w:rPr>
        <w:t xml:space="preserve"> de convencionalidad de normas internas. Corresponde a la Jurisdicción ordinaria</w:t>
      </w:r>
      <w:r w:rsidR="00286576">
        <w:rPr>
          <w:rFonts w:ascii="PT Serif" w:hAnsi="PT Serif" w:cs="PT Serif"/>
          <w:b w:val="0"/>
          <w:i w:val="0"/>
          <w:sz w:val="20"/>
          <w:szCs w:val="20"/>
        </w:rPr>
        <w:t xml:space="preserve"> dicho enjuiciamiento</w:t>
      </w:r>
      <w:r w:rsidR="00426238">
        <w:rPr>
          <w:rFonts w:ascii="PT Serif" w:hAnsi="PT Serif" w:cs="PT Serif"/>
          <w:b w:val="0"/>
          <w:i w:val="0"/>
          <w:sz w:val="20"/>
          <w:szCs w:val="20"/>
        </w:rPr>
        <w:t xml:space="preserve"> -de manera difusa-</w:t>
      </w:r>
      <w:r w:rsidR="00286576">
        <w:rPr>
          <w:rFonts w:ascii="PT Serif" w:hAnsi="PT Serif" w:cs="PT Serif"/>
          <w:b w:val="0"/>
          <w:i w:val="0"/>
          <w:sz w:val="20"/>
          <w:szCs w:val="20"/>
        </w:rPr>
        <w:t xml:space="preserve"> y tras el mismo, </w:t>
      </w:r>
      <w:r w:rsidRPr="00390F8E">
        <w:rPr>
          <w:rFonts w:ascii="PT Serif" w:hAnsi="PT Serif" w:cs="PT Serif"/>
          <w:b w:val="0"/>
          <w:i w:val="0"/>
          <w:sz w:val="20"/>
          <w:szCs w:val="20"/>
        </w:rPr>
        <w:t>el</w:t>
      </w:r>
      <w:r w:rsidR="00286576">
        <w:rPr>
          <w:rFonts w:ascii="PT Serif" w:hAnsi="PT Serif" w:cs="PT Serif"/>
          <w:b w:val="0"/>
          <w:i w:val="0"/>
          <w:sz w:val="20"/>
          <w:szCs w:val="20"/>
        </w:rPr>
        <w:t>egir l</w:t>
      </w:r>
      <w:r w:rsidRPr="00390F8E">
        <w:rPr>
          <w:rFonts w:ascii="PT Serif" w:hAnsi="PT Serif" w:cs="PT Serif"/>
          <w:b w:val="0"/>
          <w:i w:val="0"/>
          <w:sz w:val="20"/>
          <w:szCs w:val="20"/>
        </w:rPr>
        <w:t xml:space="preserve">a norma </w:t>
      </w:r>
      <w:r w:rsidR="00286576">
        <w:rPr>
          <w:rFonts w:ascii="PT Serif" w:hAnsi="PT Serif" w:cs="PT Serif"/>
          <w:b w:val="0"/>
          <w:i w:val="0"/>
          <w:sz w:val="20"/>
          <w:szCs w:val="20"/>
        </w:rPr>
        <w:t xml:space="preserve">a aplicar </w:t>
      </w:r>
      <w:r w:rsidRPr="00390F8E">
        <w:rPr>
          <w:rFonts w:ascii="PT Serif" w:hAnsi="PT Serif" w:cs="PT Serif"/>
          <w:b w:val="0"/>
          <w:i w:val="0"/>
          <w:sz w:val="20"/>
          <w:szCs w:val="20"/>
        </w:rPr>
        <w:t>al caso concreto. Así, afirma:</w:t>
      </w:r>
    </w:p>
    <w:p w14:paraId="5E3C375B" w14:textId="77777777" w:rsidR="00390F8E" w:rsidRDefault="00390F8E" w:rsidP="00390F8E">
      <w:pPr>
        <w:spacing w:after="0" w:line="240" w:lineRule="auto"/>
        <w:ind w:left="567" w:right="567"/>
        <w:jc w:val="both"/>
        <w:rPr>
          <w:rFonts w:ascii="PT Serif" w:hAnsi="PT Serif"/>
          <w:sz w:val="20"/>
          <w:szCs w:val="20"/>
        </w:rPr>
      </w:pPr>
    </w:p>
    <w:p w14:paraId="4B0DD527" w14:textId="25ED3BC4" w:rsidR="00390F8E" w:rsidRDefault="00390F8E" w:rsidP="00390F8E">
      <w:pPr>
        <w:spacing w:after="120" w:line="264" w:lineRule="auto"/>
        <w:ind w:left="567" w:right="567" w:firstLine="0"/>
        <w:jc w:val="both"/>
        <w:rPr>
          <w:rFonts w:ascii="PT Serif" w:hAnsi="PT Serif"/>
          <w:sz w:val="20"/>
          <w:szCs w:val="20"/>
        </w:rPr>
      </w:pPr>
      <w:r w:rsidRPr="00B44CE4">
        <w:rPr>
          <w:rFonts w:ascii="PT Serif" w:hAnsi="PT Serif" w:cs="PT Serif"/>
          <w:b w:val="0"/>
          <w:i w:val="0"/>
          <w:sz w:val="20"/>
          <w:szCs w:val="20"/>
        </w:rPr>
        <w:t>«</w:t>
      </w:r>
      <w:r w:rsidRPr="00390F8E">
        <w:rPr>
          <w:rFonts w:ascii="PT Serif" w:hAnsi="PT Serif" w:cs="PT Serif"/>
          <w:b w:val="0"/>
          <w:i w:val="0"/>
          <w:sz w:val="20"/>
          <w:szCs w:val="20"/>
        </w:rPr>
        <w:t xml:space="preserve">Por otra parte, desde otro punto de vista, no puede ser admitida la pretensión de que las disposiciones del Convenio de Estambul sean parámetro directo de constitucionalidad del precepto que se ha cuestionado por el órgano judicial. Conforme a la doctrina que recuerda </w:t>
      </w:r>
      <w:r w:rsidRPr="00093533">
        <w:rPr>
          <w:rFonts w:ascii="PT Serif" w:hAnsi="PT Serif" w:cs="PT Serif"/>
          <w:b w:val="0"/>
          <w:i w:val="0"/>
          <w:sz w:val="20"/>
          <w:szCs w:val="20"/>
        </w:rPr>
        <w:t>la </w:t>
      </w:r>
      <w:hyperlink r:id="rId15" w:tooltip="enlace" w:history="1">
        <w:r w:rsidRPr="00093533">
          <w:rPr>
            <w:rFonts w:ascii="PT Serif" w:hAnsi="PT Serif"/>
            <w:sz w:val="20"/>
            <w:szCs w:val="20"/>
          </w:rPr>
          <w:t>STC 140/2018, de 20 de diciembre</w:t>
        </w:r>
      </w:hyperlink>
      <w:r w:rsidRPr="00093533">
        <w:rPr>
          <w:rFonts w:ascii="PT Serif" w:hAnsi="PT Serif" w:cs="PT Serif"/>
          <w:b w:val="0"/>
          <w:i w:val="0"/>
          <w:sz w:val="20"/>
          <w:szCs w:val="20"/>
        </w:rPr>
        <w:t>, FJ 6, esta tacha no puede ser apreciada, ya que el análisis</w:t>
      </w:r>
      <w:r w:rsidRPr="00390F8E">
        <w:rPr>
          <w:rFonts w:ascii="PT Serif" w:hAnsi="PT Serif" w:cs="PT Serif"/>
          <w:b w:val="0"/>
          <w:i w:val="0"/>
          <w:sz w:val="20"/>
          <w:szCs w:val="20"/>
        </w:rPr>
        <w:t xml:space="preserve"> de constitucionalidad no incluye un examen sobre la compatibilidad entre tratados internacionales y ley interna, en cuanto que “[e]l marco jurídico constitucional existente erige, pues, al control de convencionalidad en el sistema español en una mera regla de selección de derecho aplicable, que corresponde realizar, en cada caso concreto, a los jueces y magistrados de la jurisdicción ordinaria</w:t>
      </w:r>
      <w:r w:rsidRPr="00B76E3F">
        <w:rPr>
          <w:rFonts w:ascii="PT Serif" w:hAnsi="PT Serif" w:cs="PT Serif"/>
          <w:b w:val="0"/>
          <w:i w:val="0"/>
          <w:sz w:val="20"/>
          <w:szCs w:val="20"/>
        </w:rPr>
        <w:t>»</w:t>
      </w:r>
      <w:r w:rsidRPr="00390F8E">
        <w:rPr>
          <w:rFonts w:ascii="PT Serif" w:hAnsi="PT Serif" w:cs="PT Serif"/>
          <w:b w:val="0"/>
          <w:i w:val="0"/>
          <w:sz w:val="20"/>
          <w:szCs w:val="20"/>
        </w:rPr>
        <w:t>.</w:t>
      </w:r>
    </w:p>
    <w:p w14:paraId="3833C0B7" w14:textId="77777777" w:rsidR="00390F8E" w:rsidRDefault="00390F8E" w:rsidP="00390F8E">
      <w:pPr>
        <w:spacing w:after="0" w:line="240" w:lineRule="auto"/>
        <w:jc w:val="both"/>
        <w:rPr>
          <w:rFonts w:ascii="PT Serif" w:hAnsi="PT Serif"/>
          <w:sz w:val="20"/>
          <w:szCs w:val="20"/>
        </w:rPr>
      </w:pPr>
    </w:p>
    <w:p w14:paraId="06B9C69F" w14:textId="30A630F1" w:rsidR="001F7EB4" w:rsidRDefault="00286576" w:rsidP="001F7EB4">
      <w:pPr>
        <w:spacing w:after="120" w:line="264" w:lineRule="auto"/>
        <w:ind w:firstLine="0"/>
        <w:jc w:val="both"/>
        <w:rPr>
          <w:rFonts w:ascii="PT Serif" w:hAnsi="PT Serif"/>
          <w:sz w:val="20"/>
          <w:szCs w:val="20"/>
        </w:rPr>
      </w:pPr>
      <w:r>
        <w:rPr>
          <w:rFonts w:ascii="PT Serif" w:hAnsi="PT Serif" w:cs="PT Serif"/>
          <w:b w:val="0"/>
          <w:i w:val="0"/>
          <w:sz w:val="20"/>
          <w:szCs w:val="20"/>
        </w:rPr>
        <w:t xml:space="preserve">En la elección de la norma aplicable no se realiza un juico de “validez” como sí hace el TC. Es simplemente la resolución de un concurso normativo entre dos normas (interna y convencional) igualmente válidas. </w:t>
      </w:r>
      <w:r w:rsidR="001F7EB4">
        <w:rPr>
          <w:rFonts w:ascii="PT Serif" w:hAnsi="PT Serif" w:cs="PT Serif"/>
          <w:b w:val="0"/>
          <w:i w:val="0"/>
          <w:sz w:val="20"/>
          <w:szCs w:val="20"/>
        </w:rPr>
        <w:t xml:space="preserve">Nótese, que el TC </w:t>
      </w:r>
      <w:r w:rsidR="001F7EB4" w:rsidRPr="00390F8E">
        <w:rPr>
          <w:rFonts w:ascii="PT Serif" w:hAnsi="PT Serif" w:cs="PT Serif"/>
          <w:b w:val="0"/>
          <w:i w:val="0"/>
          <w:sz w:val="20"/>
          <w:szCs w:val="20"/>
        </w:rPr>
        <w:t xml:space="preserve">excluye los tratados del canon de </w:t>
      </w:r>
      <w:r w:rsidR="00093533">
        <w:rPr>
          <w:rFonts w:ascii="PT Serif" w:hAnsi="PT Serif" w:cs="PT Serif"/>
          <w:b w:val="0"/>
          <w:i w:val="0"/>
          <w:sz w:val="20"/>
          <w:szCs w:val="20"/>
        </w:rPr>
        <w:t>“</w:t>
      </w:r>
      <w:r w:rsidR="001F7EB4" w:rsidRPr="00390F8E">
        <w:rPr>
          <w:rFonts w:ascii="PT Serif" w:hAnsi="PT Serif" w:cs="PT Serif"/>
          <w:b w:val="0"/>
          <w:i w:val="0"/>
          <w:sz w:val="20"/>
          <w:szCs w:val="20"/>
        </w:rPr>
        <w:t>validez</w:t>
      </w:r>
      <w:r w:rsidR="00093533">
        <w:rPr>
          <w:rFonts w:ascii="PT Serif" w:hAnsi="PT Serif" w:cs="PT Serif"/>
          <w:b w:val="0"/>
          <w:i w:val="0"/>
          <w:sz w:val="20"/>
          <w:szCs w:val="20"/>
        </w:rPr>
        <w:t>”</w:t>
      </w:r>
      <w:r w:rsidR="001F7EB4" w:rsidRPr="00390F8E">
        <w:rPr>
          <w:rFonts w:ascii="PT Serif" w:hAnsi="PT Serif" w:cs="PT Serif"/>
          <w:b w:val="0"/>
          <w:i w:val="0"/>
          <w:sz w:val="20"/>
          <w:szCs w:val="20"/>
        </w:rPr>
        <w:t xml:space="preserve"> de las normas internas.</w:t>
      </w:r>
      <w:r w:rsidR="00093533">
        <w:rPr>
          <w:rFonts w:ascii="PT Serif" w:hAnsi="PT Serif" w:cs="PT Serif"/>
          <w:b w:val="0"/>
          <w:i w:val="0"/>
          <w:sz w:val="20"/>
          <w:szCs w:val="20"/>
        </w:rPr>
        <w:t xml:space="preserve"> El</w:t>
      </w:r>
      <w:r w:rsidR="00262AB9">
        <w:rPr>
          <w:rFonts w:ascii="PT Serif" w:hAnsi="PT Serif" w:cs="PT Serif"/>
          <w:b w:val="0"/>
          <w:i w:val="0"/>
          <w:sz w:val="20"/>
          <w:szCs w:val="20"/>
        </w:rPr>
        <w:t xml:space="preserve"> eventual</w:t>
      </w:r>
      <w:r w:rsidR="00093533">
        <w:rPr>
          <w:rFonts w:ascii="PT Serif" w:hAnsi="PT Serif" w:cs="PT Serif"/>
          <w:b w:val="0"/>
          <w:i w:val="0"/>
          <w:sz w:val="20"/>
          <w:szCs w:val="20"/>
        </w:rPr>
        <w:t xml:space="preserve"> choque</w:t>
      </w:r>
      <w:r w:rsidR="00262AB9">
        <w:rPr>
          <w:rFonts w:ascii="PT Serif" w:hAnsi="PT Serif" w:cs="PT Serif"/>
          <w:b w:val="0"/>
          <w:i w:val="0"/>
          <w:sz w:val="20"/>
          <w:szCs w:val="20"/>
        </w:rPr>
        <w:t xml:space="preserve"> o contradicción</w:t>
      </w:r>
      <w:r w:rsidR="00093533">
        <w:rPr>
          <w:rFonts w:ascii="PT Serif" w:hAnsi="PT Serif" w:cs="PT Serif"/>
          <w:b w:val="0"/>
          <w:i w:val="0"/>
          <w:sz w:val="20"/>
          <w:szCs w:val="20"/>
        </w:rPr>
        <w:t xml:space="preserve"> entre normas internas y convencionales</w:t>
      </w:r>
      <w:r>
        <w:rPr>
          <w:rFonts w:ascii="PT Serif" w:hAnsi="PT Serif" w:cs="PT Serif"/>
          <w:b w:val="0"/>
          <w:i w:val="0"/>
          <w:sz w:val="20"/>
          <w:szCs w:val="20"/>
        </w:rPr>
        <w:t xml:space="preserve"> por lo tanto,</w:t>
      </w:r>
      <w:r w:rsidR="00093533">
        <w:rPr>
          <w:rFonts w:ascii="PT Serif" w:hAnsi="PT Serif" w:cs="PT Serif"/>
          <w:b w:val="0"/>
          <w:i w:val="0"/>
          <w:sz w:val="20"/>
          <w:szCs w:val="20"/>
        </w:rPr>
        <w:t xml:space="preserve"> no se dirime ante el TC</w:t>
      </w:r>
      <w:r>
        <w:rPr>
          <w:rFonts w:ascii="PT Serif" w:hAnsi="PT Serif" w:cs="PT Serif"/>
          <w:b w:val="0"/>
          <w:i w:val="0"/>
          <w:sz w:val="20"/>
          <w:szCs w:val="20"/>
        </w:rPr>
        <w:t>. E</w:t>
      </w:r>
      <w:r w:rsidR="00093533">
        <w:rPr>
          <w:rFonts w:ascii="PT Serif" w:hAnsi="PT Serif" w:cs="PT Serif"/>
          <w:b w:val="0"/>
          <w:i w:val="0"/>
          <w:sz w:val="20"/>
          <w:szCs w:val="20"/>
        </w:rPr>
        <w:t>s la Jurisdicción ordinaria la que debe tomar la decisión acerca de qué norma aplica al caso concreto. Como indica el TC es “una mera regla de selección de derecho aplicable”.</w:t>
      </w:r>
    </w:p>
    <w:p w14:paraId="783D2B23" w14:textId="77777777" w:rsidR="003F26EA" w:rsidRDefault="003F26EA" w:rsidP="001F7EB4">
      <w:pPr>
        <w:spacing w:after="0" w:line="240" w:lineRule="auto"/>
        <w:jc w:val="both"/>
        <w:rPr>
          <w:rFonts w:ascii="PT Serif" w:hAnsi="PT Serif"/>
          <w:sz w:val="20"/>
          <w:szCs w:val="20"/>
        </w:rPr>
      </w:pPr>
    </w:p>
    <w:p w14:paraId="34D6E801" w14:textId="33F57451" w:rsidR="00093533" w:rsidRDefault="00093533" w:rsidP="001F7EB4">
      <w:pPr>
        <w:spacing w:after="120" w:line="264" w:lineRule="auto"/>
        <w:ind w:firstLine="0"/>
        <w:jc w:val="both"/>
        <w:rPr>
          <w:rFonts w:ascii="PT Serif" w:hAnsi="PT Serif"/>
          <w:sz w:val="20"/>
          <w:szCs w:val="20"/>
        </w:rPr>
      </w:pPr>
      <w:r>
        <w:rPr>
          <w:rFonts w:ascii="PT Serif" w:hAnsi="PT Serif" w:cs="PT Serif"/>
          <w:b w:val="0"/>
          <w:i w:val="0"/>
          <w:sz w:val="20"/>
          <w:szCs w:val="20"/>
        </w:rPr>
        <w:t>En definitiva, tenemos resuelta la primera cuestión investigativa que hemos planteado al inicio de nuestro trabajo. La Jurisdicción ordinaria en su posición ante una norma</w:t>
      </w:r>
      <w:r w:rsidR="00286576">
        <w:rPr>
          <w:rFonts w:ascii="PT Serif" w:hAnsi="PT Serif" w:cs="PT Serif"/>
          <w:b w:val="0"/>
          <w:i w:val="0"/>
          <w:sz w:val="20"/>
          <w:szCs w:val="20"/>
        </w:rPr>
        <w:t xml:space="preserve"> interna</w:t>
      </w:r>
      <w:r>
        <w:rPr>
          <w:rFonts w:ascii="PT Serif" w:hAnsi="PT Serif" w:cs="PT Serif"/>
          <w:b w:val="0"/>
          <w:i w:val="0"/>
          <w:sz w:val="20"/>
          <w:szCs w:val="20"/>
        </w:rPr>
        <w:t xml:space="preserve"> inconvencional aplicable a un caso concreto no pu</w:t>
      </w:r>
      <w:r w:rsidR="00286576">
        <w:rPr>
          <w:rFonts w:ascii="PT Serif" w:hAnsi="PT Serif" w:cs="PT Serif"/>
          <w:b w:val="0"/>
          <w:i w:val="0"/>
          <w:sz w:val="20"/>
          <w:szCs w:val="20"/>
        </w:rPr>
        <w:t>e</w:t>
      </w:r>
      <w:r>
        <w:rPr>
          <w:rFonts w:ascii="PT Serif" w:hAnsi="PT Serif" w:cs="PT Serif"/>
          <w:b w:val="0"/>
          <w:i w:val="0"/>
          <w:sz w:val="20"/>
          <w:szCs w:val="20"/>
        </w:rPr>
        <w:t>de ni debe promover cuestión de inconstitucionalidad.</w:t>
      </w:r>
      <w:r w:rsidR="00262AB9">
        <w:rPr>
          <w:rFonts w:ascii="PT Serif" w:hAnsi="PT Serif" w:cs="PT Serif"/>
          <w:b w:val="0"/>
          <w:i w:val="0"/>
          <w:sz w:val="20"/>
          <w:szCs w:val="20"/>
        </w:rPr>
        <w:t xml:space="preserve"> Los procesos de enjuiciamiento de normas ante el TC no son los idóneos para resolver los conflictos entre normas internas y convencionales. Como hemos indicado, estos conflictos se producen entre normas igualmente válidas y es la Jurisdicción ordinaria la de que manera difusa debe realizar el control de convencionalidad y decidir qué norma aplica al caso concreto, sin que ninguna de ellas sea expulsada del ordenamiento jurídico.</w:t>
      </w:r>
    </w:p>
    <w:p w14:paraId="4C3D4CF2" w14:textId="77777777" w:rsidR="003F26EA" w:rsidRDefault="003F26EA" w:rsidP="001F7EB4">
      <w:pPr>
        <w:spacing w:after="0" w:line="240" w:lineRule="auto"/>
        <w:jc w:val="both"/>
        <w:rPr>
          <w:rFonts w:ascii="PT Serif" w:hAnsi="PT Serif"/>
          <w:sz w:val="20"/>
          <w:szCs w:val="20"/>
        </w:rPr>
      </w:pPr>
    </w:p>
    <w:p w14:paraId="2BB8243C" w14:textId="2487242B" w:rsidR="00093533" w:rsidRDefault="00093533" w:rsidP="001F7EB4">
      <w:pPr>
        <w:spacing w:after="120" w:line="264" w:lineRule="auto"/>
        <w:ind w:firstLine="0"/>
        <w:jc w:val="both"/>
        <w:rPr>
          <w:rFonts w:ascii="PT Serif" w:hAnsi="PT Serif"/>
          <w:sz w:val="20"/>
          <w:szCs w:val="20"/>
        </w:rPr>
      </w:pPr>
      <w:r>
        <w:rPr>
          <w:rFonts w:ascii="PT Serif" w:hAnsi="PT Serif" w:cs="PT Serif"/>
          <w:b w:val="0"/>
          <w:i w:val="0"/>
          <w:sz w:val="20"/>
          <w:szCs w:val="20"/>
        </w:rPr>
        <w:t xml:space="preserve">Al dar respuesta a la primera cuestión investigativa, estamos </w:t>
      </w:r>
      <w:r w:rsidR="00262AB9">
        <w:rPr>
          <w:rFonts w:ascii="PT Serif" w:hAnsi="PT Serif" w:cs="PT Serif"/>
          <w:b w:val="0"/>
          <w:i w:val="0"/>
          <w:sz w:val="20"/>
          <w:szCs w:val="20"/>
        </w:rPr>
        <w:t xml:space="preserve">sentando las </w:t>
      </w:r>
      <w:r>
        <w:rPr>
          <w:rFonts w:ascii="PT Serif" w:hAnsi="PT Serif" w:cs="PT Serif"/>
          <w:b w:val="0"/>
          <w:i w:val="0"/>
          <w:sz w:val="20"/>
          <w:szCs w:val="20"/>
        </w:rPr>
        <w:t>bases para abordar y profundizar en la segunda. En concreto, si el TC no es competente para resolver las dudas de convencionalidad, esta función le incumbe a la Jurisdicción ordinaria con carácter difuso.</w:t>
      </w:r>
      <w:r w:rsidR="00262AB9">
        <w:rPr>
          <w:rFonts w:ascii="PT Serif" w:hAnsi="PT Serif" w:cs="PT Serif"/>
          <w:b w:val="0"/>
          <w:i w:val="0"/>
          <w:sz w:val="20"/>
          <w:szCs w:val="20"/>
        </w:rPr>
        <w:t xml:space="preserve"> En este caso, la duda investigativa a resolver es la de concretar con base a qué parámetros o criterios la </w:t>
      </w:r>
      <w:r w:rsidR="00262AB9">
        <w:rPr>
          <w:rFonts w:ascii="PT Serif" w:hAnsi="PT Serif" w:cs="PT Serif"/>
          <w:b w:val="0"/>
          <w:i w:val="0"/>
          <w:sz w:val="20"/>
          <w:szCs w:val="20"/>
        </w:rPr>
        <w:lastRenderedPageBreak/>
        <w:t>Jurisdicción ordinaria, de manera difusa yen el caso concreto, “opta” por aplicar una norma interna o convencional al caso concreto, procediendo a desplazar la que no es aplicada.</w:t>
      </w:r>
    </w:p>
    <w:p w14:paraId="16D11B32" w14:textId="77777777" w:rsidR="003F26EA" w:rsidRDefault="003F26EA" w:rsidP="001F7EB4">
      <w:pPr>
        <w:spacing w:after="0" w:line="240" w:lineRule="auto"/>
        <w:jc w:val="both"/>
        <w:rPr>
          <w:rFonts w:ascii="PT Serif" w:hAnsi="PT Serif"/>
          <w:sz w:val="20"/>
          <w:szCs w:val="20"/>
        </w:rPr>
      </w:pPr>
    </w:p>
    <w:p w14:paraId="60B34730" w14:textId="25EC8EC5" w:rsidR="003F26EA" w:rsidRDefault="00262AB9" w:rsidP="001F7EB4">
      <w:pPr>
        <w:spacing w:after="120" w:line="264" w:lineRule="auto"/>
        <w:ind w:firstLine="0"/>
        <w:jc w:val="both"/>
        <w:rPr>
          <w:rFonts w:ascii="PT Serif" w:hAnsi="PT Serif"/>
          <w:sz w:val="20"/>
          <w:szCs w:val="20"/>
        </w:rPr>
      </w:pPr>
      <w:r>
        <w:rPr>
          <w:rFonts w:ascii="PT Serif" w:hAnsi="PT Serif" w:cs="PT Serif"/>
          <w:b w:val="0"/>
          <w:i w:val="0"/>
          <w:sz w:val="20"/>
          <w:szCs w:val="20"/>
        </w:rPr>
        <w:t>Para poder abordar de manera adecuada esta cuestión, nos vemos en la necesidad de c</w:t>
      </w:r>
      <w:r w:rsidR="00093533">
        <w:rPr>
          <w:rFonts w:ascii="PT Serif" w:hAnsi="PT Serif" w:cs="PT Serif"/>
          <w:b w:val="0"/>
          <w:i w:val="0"/>
          <w:sz w:val="20"/>
          <w:szCs w:val="20"/>
        </w:rPr>
        <w:t xml:space="preserve">ontextualizar </w:t>
      </w:r>
      <w:r>
        <w:rPr>
          <w:rFonts w:ascii="PT Serif" w:hAnsi="PT Serif" w:cs="PT Serif"/>
          <w:b w:val="0"/>
          <w:i w:val="0"/>
          <w:sz w:val="20"/>
          <w:szCs w:val="20"/>
        </w:rPr>
        <w:t>la</w:t>
      </w:r>
      <w:r w:rsidR="00093533">
        <w:rPr>
          <w:rFonts w:ascii="PT Serif" w:hAnsi="PT Serif" w:cs="PT Serif"/>
          <w:b w:val="0"/>
          <w:i w:val="0"/>
          <w:sz w:val="20"/>
          <w:szCs w:val="20"/>
        </w:rPr>
        <w:t xml:space="preserve"> interpretación constitucional acerca del sistema difuso de control de convencionalidad</w:t>
      </w:r>
      <w:r>
        <w:rPr>
          <w:rFonts w:ascii="PT Serif" w:hAnsi="PT Serif" w:cs="PT Serif"/>
          <w:b w:val="0"/>
          <w:i w:val="0"/>
          <w:sz w:val="20"/>
          <w:szCs w:val="20"/>
        </w:rPr>
        <w:t xml:space="preserve"> que se realiza en la STC 140/2018</w:t>
      </w:r>
      <w:r w:rsidR="00093533">
        <w:rPr>
          <w:rFonts w:ascii="PT Serif" w:hAnsi="PT Serif" w:cs="PT Serif"/>
          <w:b w:val="0"/>
          <w:i w:val="0"/>
          <w:sz w:val="20"/>
          <w:szCs w:val="20"/>
        </w:rPr>
        <w:t>,</w:t>
      </w:r>
      <w:r>
        <w:rPr>
          <w:rFonts w:ascii="PT Serif" w:hAnsi="PT Serif" w:cs="PT Serif"/>
          <w:b w:val="0"/>
          <w:i w:val="0"/>
          <w:sz w:val="20"/>
          <w:szCs w:val="20"/>
        </w:rPr>
        <w:t xml:space="preserve"> para así, </w:t>
      </w:r>
      <w:r w:rsidR="00093533">
        <w:rPr>
          <w:rFonts w:ascii="PT Serif" w:hAnsi="PT Serif" w:cs="PT Serif"/>
          <w:b w:val="0"/>
          <w:i w:val="0"/>
          <w:sz w:val="20"/>
          <w:szCs w:val="20"/>
        </w:rPr>
        <w:t>abordar el análisis de los criterios deben adoptar jueces y juezas de la Jurisdicción ordinaria para la selección del Derecho aplicable al caso.</w:t>
      </w:r>
      <w:r w:rsidR="00286576">
        <w:rPr>
          <w:rFonts w:ascii="PT Serif" w:hAnsi="PT Serif" w:cs="PT Serif"/>
          <w:b w:val="0"/>
          <w:i w:val="0"/>
          <w:sz w:val="20"/>
          <w:szCs w:val="20"/>
        </w:rPr>
        <w:t xml:space="preserve"> Como ya hemos indicado es un juicio de “aplicabilidad” que queda en manos cada juez o jueza en el proceso que esté conociendo.</w:t>
      </w:r>
    </w:p>
    <w:p w14:paraId="04741FF1" w14:textId="6BB1B6CA" w:rsidR="00286576" w:rsidRPr="003F26EA" w:rsidRDefault="00AA0167" w:rsidP="001F7EB4">
      <w:pPr>
        <w:spacing w:after="360" w:line="240" w:lineRule="auto" w:before="160"/>
        <w:jc w:val="both"/>
        <w:rPr>
          <w:rFonts w:ascii="Open Sans" w:hAnsi="Open Sans" w:cs="Open Sans"/>
          <w:b/>
          <w:bCs/>
        </w:rPr>
      </w:pPr>
      <w:r w:rsidRPr="003F26EA">
        <w:rPr>
          <w:rFonts w:ascii="Open Sans" w:hAnsi="Open Sans" w:cs="Open Sans"/>
          <w:b/>
          <w:bCs/>
          <w:i w:val="0"/>
          <w:sz w:val="22"/>
        </w:rPr>
        <w:t>3. Parámetros</w:t>
      </w:r>
      <w:r w:rsidR="00262AB9">
        <w:rPr>
          <w:rFonts w:ascii="Open Sans" w:hAnsi="Open Sans" w:cs="Open Sans"/>
          <w:b/>
          <w:bCs/>
          <w:i w:val="0"/>
          <w:sz w:val="22"/>
        </w:rPr>
        <w:t xml:space="preserve"> y principios</w:t>
      </w:r>
      <w:r w:rsidRPr="003F26EA">
        <w:rPr>
          <w:rFonts w:ascii="Open Sans" w:hAnsi="Open Sans" w:cs="Open Sans"/>
          <w:b/>
          <w:bCs/>
          <w:i w:val="0"/>
          <w:sz w:val="22"/>
        </w:rPr>
        <w:t xml:space="preserve"> para el control de convencionalidad en general, y en especial, en materia de derechos humanos</w:t>
      </w:r>
    </w:p>
    <w:p w14:paraId="2FA48BA2" w14:textId="77777777" w:rsidR="003F26EA" w:rsidRDefault="003F26EA" w:rsidP="001F7EB4">
      <w:pPr>
        <w:spacing w:after="0" w:line="240" w:lineRule="auto"/>
        <w:jc w:val="both"/>
        <w:rPr>
          <w:rFonts w:ascii="PT Serif" w:hAnsi="PT Serif"/>
          <w:b/>
          <w:bCs/>
          <w:sz w:val="20"/>
          <w:szCs w:val="20"/>
        </w:rPr>
      </w:pPr>
    </w:p>
    <w:p w14:paraId="131B2A08" w14:textId="589AC42B" w:rsidR="00AA0167" w:rsidRDefault="00AA0167" w:rsidP="001F7EB4">
      <w:pPr>
        <w:spacing w:after="60" w:line="240" w:lineRule="auto" w:before="120"/>
        <w:jc w:val="both"/>
        <w:rPr>
          <w:rFonts w:ascii="PT Serif" w:hAnsi="PT Serif"/>
          <w:b/>
          <w:bCs/>
          <w:sz w:val="20"/>
          <w:szCs w:val="20"/>
        </w:rPr>
      </w:pPr>
      <w:r>
        <w:rPr>
          <w:rFonts w:ascii="PT Serif" w:hAnsi="PT Serif" w:cs="PT Serif"/>
          <w:b/>
          <w:bCs/>
          <w:i w:val="0"/>
          <w:sz w:val="20"/>
          <w:szCs w:val="20"/>
        </w:rPr>
        <w:t>3.1. Introducción</w:t>
      </w:r>
    </w:p>
    <w:p w14:paraId="11A46171" w14:textId="77777777" w:rsidR="003F26EA" w:rsidRPr="00AA0167" w:rsidRDefault="003F26EA" w:rsidP="001F7EB4">
      <w:pPr>
        <w:spacing w:after="0" w:line="240" w:lineRule="auto"/>
        <w:jc w:val="both"/>
        <w:rPr>
          <w:rFonts w:ascii="PT Serif" w:hAnsi="PT Serif"/>
          <w:b/>
          <w:bCs/>
          <w:sz w:val="20"/>
          <w:szCs w:val="20"/>
        </w:rPr>
      </w:pPr>
    </w:p>
    <w:p w14:paraId="5E49C5BC" w14:textId="48CFAE8D" w:rsidR="00AA0167" w:rsidRDefault="002768AD" w:rsidP="002768AD">
      <w:pPr>
        <w:pStyle w:val="03Texto"/>
        <w:spacing w:before="0" w:lineRule="auto" w:line="264" w:after="120"/>
        <w:ind w:firstLine="0"/>
        <w:jc w:val="both"/>
        <w:rPr>
          <w:rFonts w:ascii="PT Serif" w:eastAsiaTheme="minorHAnsi" w:hAnsi="PT Serif" w:cstheme="minorBidi"/>
          <w:sz w:val="20"/>
          <w:lang w:eastAsia="en-US"/>
        </w:rPr>
      </w:pPr>
      <w:r w:rsidRPr="002768AD">
        <w:rPr>
          <w:rFonts w:ascii="PT Serif" w:hAnsi="PT Serif" w:cs="PT Serif"/>
          <w:b w:val="0"/>
          <w:i w:val="0"/>
          <w:sz w:val="20"/>
          <w:lang w:eastAsia="en-US"/>
        </w:rPr>
        <w:t>En el apartado anterior hemos puesto de manifiesto</w:t>
      </w:r>
      <w:r w:rsidR="00AA0167">
        <w:rPr>
          <w:rFonts w:ascii="PT Serif" w:hAnsi="PT Serif" w:cs="PT Serif"/>
          <w:b w:val="0"/>
          <w:i w:val="0"/>
          <w:sz w:val="20"/>
          <w:lang w:eastAsia="en-US"/>
        </w:rPr>
        <w:t xml:space="preserve"> que en </w:t>
      </w:r>
      <w:r w:rsidRPr="002768AD">
        <w:rPr>
          <w:rFonts w:ascii="PT Serif" w:hAnsi="PT Serif" w:cs="PT Serif"/>
          <w:b w:val="0"/>
          <w:i w:val="0"/>
          <w:sz w:val="20"/>
          <w:lang w:eastAsia="en-US"/>
        </w:rPr>
        <w:t>el ATC 301/2023</w:t>
      </w:r>
      <w:r w:rsidR="00AA0167">
        <w:rPr>
          <w:rFonts w:ascii="PT Serif" w:hAnsi="PT Serif" w:cs="PT Serif"/>
          <w:b w:val="0"/>
          <w:i w:val="0"/>
          <w:sz w:val="20"/>
          <w:lang w:eastAsia="en-US"/>
        </w:rPr>
        <w:t xml:space="preserve"> se</w:t>
      </w:r>
      <w:r w:rsidRPr="002768AD">
        <w:rPr>
          <w:rFonts w:ascii="PT Serif" w:hAnsi="PT Serif" w:cs="PT Serif"/>
          <w:b w:val="0"/>
          <w:i w:val="0"/>
          <w:sz w:val="20"/>
          <w:lang w:eastAsia="en-US"/>
        </w:rPr>
        <w:t xml:space="preserve"> indica que</w:t>
      </w:r>
      <w:r w:rsidR="00AA0167">
        <w:rPr>
          <w:rFonts w:ascii="PT Serif" w:hAnsi="PT Serif" w:cs="PT Serif"/>
          <w:b w:val="0"/>
          <w:i w:val="0"/>
          <w:sz w:val="20"/>
          <w:lang w:eastAsia="en-US"/>
        </w:rPr>
        <w:t xml:space="preserve"> la </w:t>
      </w:r>
      <w:r w:rsidRPr="002768AD">
        <w:rPr>
          <w:rFonts w:ascii="PT Serif" w:hAnsi="PT Serif" w:cs="PT Serif"/>
          <w:b w:val="0"/>
          <w:i w:val="0"/>
          <w:sz w:val="20"/>
          <w:lang w:eastAsia="en-US"/>
        </w:rPr>
        <w:t>función de control de constitucionalidad</w:t>
      </w:r>
      <w:r w:rsidR="00AA0167">
        <w:rPr>
          <w:rFonts w:ascii="PT Serif" w:hAnsi="PT Serif" w:cs="PT Serif"/>
          <w:b w:val="0"/>
          <w:i w:val="0"/>
          <w:sz w:val="20"/>
          <w:lang w:eastAsia="en-US"/>
        </w:rPr>
        <w:t xml:space="preserve"> del TC</w:t>
      </w:r>
      <w:r w:rsidRPr="002768AD">
        <w:rPr>
          <w:rFonts w:ascii="PT Serif" w:hAnsi="PT Serif" w:cs="PT Serif"/>
          <w:b w:val="0"/>
          <w:i w:val="0"/>
          <w:sz w:val="20"/>
          <w:lang w:eastAsia="en-US"/>
        </w:rPr>
        <w:t xml:space="preserve"> </w:t>
      </w:r>
      <w:r w:rsidRPr="00B44CE4">
        <w:rPr>
          <w:rFonts w:ascii="PT Serif" w:hAnsi="PT Serif" w:cs="PT Serif"/>
          <w:b w:val="0"/>
          <w:i w:val="0"/>
          <w:sz w:val="20"/>
        </w:rPr>
        <w:t>«</w:t>
      </w:r>
      <w:r w:rsidRPr="002768AD">
        <w:rPr>
          <w:rFonts w:ascii="PT Serif" w:hAnsi="PT Serif" w:cs="PT Serif"/>
          <w:b w:val="0"/>
          <w:i w:val="0"/>
          <w:sz w:val="20"/>
          <w:lang w:eastAsia="en-US"/>
        </w:rPr>
        <w:t>no incluye un examen sobre la compatibilidad entre tratados internacionales y ley interna</w:t>
      </w:r>
      <w:r w:rsidRPr="00B76E3F">
        <w:rPr>
          <w:rFonts w:ascii="PT Serif" w:hAnsi="PT Serif" w:cs="PT Serif"/>
          <w:b w:val="0"/>
          <w:i w:val="0"/>
          <w:sz w:val="20"/>
        </w:rPr>
        <w:t>»</w:t>
      </w:r>
      <w:r w:rsidRPr="002768AD">
        <w:rPr>
          <w:rFonts w:ascii="PT Serif" w:hAnsi="PT Serif" w:cs="PT Serif"/>
          <w:b w:val="0"/>
          <w:i w:val="0"/>
          <w:sz w:val="20"/>
          <w:lang w:eastAsia="en-US"/>
        </w:rPr>
        <w:t xml:space="preserve">, añadiendo que el control de convencionalidad es </w:t>
      </w:r>
      <w:r w:rsidRPr="00B44CE4">
        <w:rPr>
          <w:rFonts w:ascii="PT Serif" w:hAnsi="PT Serif" w:cs="PT Serif"/>
          <w:b w:val="0"/>
          <w:i w:val="0"/>
          <w:sz w:val="20"/>
        </w:rPr>
        <w:t>«</w:t>
      </w:r>
      <w:r w:rsidRPr="002768AD">
        <w:rPr>
          <w:rFonts w:ascii="PT Serif" w:hAnsi="PT Serif" w:cs="PT Serif"/>
          <w:b w:val="0"/>
          <w:i w:val="0"/>
          <w:sz w:val="20"/>
          <w:lang w:eastAsia="en-US"/>
        </w:rPr>
        <w:t>una mera regla de selección de derecho aplicable, que corresponde realizar, en cada caso concreto, a los jueces y magistrados de la jurisdicción ordinaria</w:t>
      </w:r>
      <w:r w:rsidR="009B2BFE" w:rsidRPr="00B76E3F">
        <w:rPr>
          <w:rFonts w:ascii="PT Serif" w:hAnsi="PT Serif" w:cs="PT Serif"/>
          <w:b w:val="0"/>
          <w:i w:val="0"/>
          <w:sz w:val="20"/>
        </w:rPr>
        <w:t>»</w:t>
      </w:r>
      <w:r w:rsidR="00C50C16">
        <w:rPr>
          <w:rStyle w:val="Refernciadenotaapeudepgina"/>
          <w:rFonts w:ascii="PT Serif" w:hAnsi="PT Serif" w:cs="PT Serif"/>
          <w:b w:val="0"/>
          <w:i w:val="0"/>
          <w:sz w:val="20"/>
          <w:lang w:eastAsia="en-US"/>
        </w:rPr>
        <w:footnoteReference w:id="23"/>
      </w:r>
      <w:r w:rsidRPr="002768AD">
        <w:rPr>
          <w:rFonts w:ascii="PT Serif" w:hAnsi="PT Serif" w:cs="PT Serif"/>
          <w:b w:val="0"/>
          <w:i w:val="0"/>
          <w:sz w:val="20"/>
          <w:lang w:eastAsia="en-US"/>
        </w:rPr>
        <w:t>.</w:t>
      </w:r>
      <w:r w:rsidR="003F26EA">
        <w:rPr>
          <w:rFonts w:ascii="PT Serif" w:hAnsi="PT Serif" w:cs="PT Serif"/>
          <w:b w:val="0"/>
          <w:i w:val="0"/>
          <w:sz w:val="20"/>
          <w:lang w:eastAsia="en-US"/>
        </w:rPr>
        <w:t xml:space="preserve"> </w:t>
      </w:r>
      <w:r w:rsidR="00AA0167">
        <w:rPr>
          <w:rFonts w:ascii="PT Serif" w:hAnsi="PT Serif" w:cs="PT Serif"/>
          <w:b w:val="0"/>
          <w:i w:val="0"/>
          <w:sz w:val="20"/>
          <w:lang w:eastAsia="en-US"/>
        </w:rPr>
        <w:t xml:space="preserve">Es decir, se deja en manos de la Jurisdicción ordinaria, de manera difusa, el control de convencionalidad de normas internas. </w:t>
      </w:r>
    </w:p>
    <w:p w14:paraId="08DF21DC" w14:textId="77777777" w:rsidR="003F26EA" w:rsidRDefault="003F26EA" w:rsidP="002768AD">
      <w:pPr>
        <w:pStyle w:val="03Texto"/>
        <w:spacing w:before="0"/>
        <w:ind w:firstLine="0"/>
        <w:rPr>
          <w:rFonts w:ascii="PT Serif" w:eastAsiaTheme="minorHAnsi" w:hAnsi="PT Serif" w:cstheme="minorBidi"/>
          <w:sz w:val="20"/>
          <w:lang w:eastAsia="en-US"/>
        </w:rPr>
      </w:pPr>
    </w:p>
    <w:p w14:paraId="6B16DEC5" w14:textId="071A6275" w:rsidR="00AA0167" w:rsidRDefault="00AA0167"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 xml:space="preserve">Precisamente, el análisis del ATC 301/2023 nos obliga a seguir avanzando en nuestra investigación a los efectos de identificar coordenadas que permitan encuadrar mejor el papel de los jueces y juezas ante la ley interna inconvencional. En </w:t>
      </w:r>
      <w:r w:rsidR="00262AB9">
        <w:rPr>
          <w:rFonts w:ascii="PT Serif" w:hAnsi="PT Serif" w:cs="PT Serif"/>
          <w:b w:val="0"/>
          <w:i w:val="0"/>
          <w:sz w:val="20"/>
          <w:lang w:eastAsia="en-US"/>
        </w:rPr>
        <w:t xml:space="preserve">especial, </w:t>
      </w:r>
      <w:r>
        <w:rPr>
          <w:rFonts w:ascii="PT Serif" w:hAnsi="PT Serif" w:cs="PT Serif"/>
          <w:b w:val="0"/>
          <w:i w:val="0"/>
          <w:sz w:val="20"/>
          <w:lang w:eastAsia="en-US"/>
        </w:rPr>
        <w:t>queremos prestar atención a la in</w:t>
      </w:r>
      <w:r w:rsidR="000F25DB">
        <w:rPr>
          <w:rFonts w:ascii="PT Serif" w:hAnsi="PT Serif" w:cs="PT Serif"/>
          <w:b w:val="0"/>
          <w:i w:val="0"/>
          <w:sz w:val="20"/>
          <w:lang w:eastAsia="en-US"/>
        </w:rPr>
        <w:t>convencionalidad</w:t>
      </w:r>
      <w:r>
        <w:rPr>
          <w:rFonts w:ascii="PT Serif" w:hAnsi="PT Serif" w:cs="PT Serif"/>
          <w:b w:val="0"/>
          <w:i w:val="0"/>
          <w:sz w:val="20"/>
          <w:lang w:eastAsia="en-US"/>
        </w:rPr>
        <w:t xml:space="preserve"> en materia de derechos humanos</w:t>
      </w:r>
      <w:r w:rsidR="00262AB9">
        <w:rPr>
          <w:rFonts w:ascii="PT Serif" w:hAnsi="PT Serif" w:cs="PT Serif"/>
          <w:b w:val="0"/>
          <w:i w:val="0"/>
          <w:sz w:val="20"/>
          <w:lang w:eastAsia="en-US"/>
        </w:rPr>
        <w:t>. Al respecto, recorda</w:t>
      </w:r>
      <w:r w:rsidR="005A21B3">
        <w:rPr>
          <w:rFonts w:ascii="PT Serif" w:hAnsi="PT Serif" w:cs="PT Serif"/>
          <w:b w:val="0"/>
          <w:i w:val="0"/>
          <w:sz w:val="20"/>
          <w:lang w:eastAsia="en-US"/>
        </w:rPr>
        <w:t>mos</w:t>
      </w:r>
      <w:r w:rsidR="00262AB9">
        <w:rPr>
          <w:rFonts w:ascii="PT Serif" w:hAnsi="PT Serif" w:cs="PT Serif"/>
          <w:b w:val="0"/>
          <w:i w:val="0"/>
          <w:sz w:val="20"/>
          <w:lang w:eastAsia="en-US"/>
        </w:rPr>
        <w:t xml:space="preserve"> que</w:t>
      </w:r>
      <w:r w:rsidR="005A21B3">
        <w:rPr>
          <w:rFonts w:ascii="PT Serif" w:hAnsi="PT Serif" w:cs="PT Serif"/>
          <w:b w:val="0"/>
          <w:i w:val="0"/>
          <w:sz w:val="20"/>
          <w:lang w:eastAsia="en-US"/>
        </w:rPr>
        <w:t xml:space="preserve"> </w:t>
      </w:r>
      <w:r w:rsidR="00262AB9">
        <w:rPr>
          <w:rFonts w:ascii="PT Serif" w:hAnsi="PT Serif" w:cs="PT Serif"/>
          <w:b w:val="0"/>
          <w:i w:val="0"/>
          <w:sz w:val="20"/>
          <w:lang w:eastAsia="en-US"/>
        </w:rPr>
        <w:t>el ATC 301/2023 y la STC 140/2018 a que se remite, a</w:t>
      </w:r>
      <w:r w:rsidR="005A21B3">
        <w:rPr>
          <w:rFonts w:ascii="PT Serif" w:hAnsi="PT Serif" w:cs="PT Serif"/>
          <w:b w:val="0"/>
          <w:i w:val="0"/>
          <w:sz w:val="20"/>
          <w:lang w:eastAsia="en-US"/>
        </w:rPr>
        <w:t>bordan el control de convencionalidad en relación con los derechos humanos, en violencia de género en el primer caso, y Jurisdicción penal universal, en el segundo.</w:t>
      </w:r>
    </w:p>
    <w:p w14:paraId="51998B35" w14:textId="77777777" w:rsidR="003F26EA" w:rsidRDefault="003F26EA" w:rsidP="002768AD">
      <w:pPr>
        <w:pStyle w:val="03Texto"/>
        <w:spacing w:before="0"/>
        <w:ind w:firstLine="0"/>
        <w:rPr>
          <w:rFonts w:ascii="PT Serif" w:eastAsiaTheme="minorHAnsi" w:hAnsi="PT Serif" w:cstheme="minorBidi"/>
          <w:sz w:val="20"/>
          <w:lang w:eastAsia="en-US"/>
        </w:rPr>
      </w:pPr>
    </w:p>
    <w:p w14:paraId="787BE04E" w14:textId="696F3F00" w:rsidR="00AA0167" w:rsidRDefault="00AA0167"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P</w:t>
      </w:r>
      <w:r w:rsidR="005A21B3">
        <w:rPr>
          <w:rFonts w:ascii="PT Serif" w:hAnsi="PT Serif" w:cs="PT Serif"/>
          <w:b w:val="0"/>
          <w:i w:val="0"/>
          <w:sz w:val="20"/>
          <w:lang w:eastAsia="en-US"/>
        </w:rPr>
        <w:t>ara un mejor seguimiento de este apartado, indicamos que l</w:t>
      </w:r>
      <w:r>
        <w:rPr>
          <w:rFonts w:ascii="PT Serif" w:hAnsi="PT Serif" w:cs="PT Serif"/>
          <w:b w:val="0"/>
          <w:i w:val="0"/>
          <w:sz w:val="20"/>
          <w:lang w:eastAsia="en-US"/>
        </w:rPr>
        <w:t>o vamos a art</w:t>
      </w:r>
      <w:r w:rsidR="000F25DB">
        <w:rPr>
          <w:rFonts w:ascii="PT Serif" w:hAnsi="PT Serif" w:cs="PT Serif"/>
          <w:b w:val="0"/>
          <w:i w:val="0"/>
          <w:sz w:val="20"/>
          <w:lang w:eastAsia="en-US"/>
        </w:rPr>
        <w:t xml:space="preserve">icular </w:t>
      </w:r>
      <w:r>
        <w:rPr>
          <w:rFonts w:ascii="PT Serif" w:hAnsi="PT Serif" w:cs="PT Serif"/>
          <w:b w:val="0"/>
          <w:i w:val="0"/>
          <w:sz w:val="20"/>
          <w:lang w:eastAsia="en-US"/>
        </w:rPr>
        <w:t xml:space="preserve">en </w:t>
      </w:r>
      <w:r w:rsidR="000F25DB">
        <w:rPr>
          <w:rFonts w:ascii="PT Serif" w:hAnsi="PT Serif" w:cs="PT Serif"/>
          <w:b w:val="0"/>
          <w:i w:val="0"/>
          <w:sz w:val="20"/>
          <w:lang w:eastAsia="en-US"/>
        </w:rPr>
        <w:t>dos partes</w:t>
      </w:r>
      <w:r>
        <w:rPr>
          <w:rFonts w:ascii="PT Serif" w:hAnsi="PT Serif" w:cs="PT Serif"/>
          <w:b w:val="0"/>
          <w:i w:val="0"/>
          <w:sz w:val="20"/>
          <w:lang w:eastAsia="en-US"/>
        </w:rPr>
        <w:t xml:space="preserve">. En la </w:t>
      </w:r>
      <w:r w:rsidR="000F25DB">
        <w:rPr>
          <w:rFonts w:ascii="PT Serif" w:hAnsi="PT Serif" w:cs="PT Serif"/>
          <w:b w:val="0"/>
          <w:i w:val="0"/>
          <w:sz w:val="20"/>
          <w:lang w:eastAsia="en-US"/>
        </w:rPr>
        <w:t>primera,</w:t>
      </w:r>
      <w:r>
        <w:rPr>
          <w:rFonts w:ascii="PT Serif" w:hAnsi="PT Serif" w:cs="PT Serif"/>
          <w:b w:val="0"/>
          <w:i w:val="0"/>
          <w:sz w:val="20"/>
          <w:lang w:eastAsia="en-US"/>
        </w:rPr>
        <w:t xml:space="preserve"> </w:t>
      </w:r>
      <w:r w:rsidR="000F25DB">
        <w:rPr>
          <w:rFonts w:ascii="PT Serif" w:hAnsi="PT Serif" w:cs="PT Serif"/>
          <w:b w:val="0"/>
          <w:i w:val="0"/>
          <w:sz w:val="20"/>
          <w:lang w:eastAsia="en-US"/>
        </w:rPr>
        <w:t>analizamos</w:t>
      </w:r>
      <w:r>
        <w:rPr>
          <w:rFonts w:ascii="PT Serif" w:hAnsi="PT Serif" w:cs="PT Serif"/>
          <w:b w:val="0"/>
          <w:i w:val="0"/>
          <w:sz w:val="20"/>
          <w:lang w:eastAsia="en-US"/>
        </w:rPr>
        <w:t xml:space="preserve"> la jur</w:t>
      </w:r>
      <w:r w:rsidR="000F25DB">
        <w:rPr>
          <w:rFonts w:ascii="PT Serif" w:hAnsi="PT Serif" w:cs="PT Serif"/>
          <w:b w:val="0"/>
          <w:i w:val="0"/>
          <w:sz w:val="20"/>
          <w:lang w:eastAsia="en-US"/>
        </w:rPr>
        <w:t xml:space="preserve">isprudencia </w:t>
      </w:r>
      <w:r>
        <w:rPr>
          <w:rFonts w:ascii="PT Serif" w:hAnsi="PT Serif" w:cs="PT Serif"/>
          <w:b w:val="0"/>
          <w:i w:val="0"/>
          <w:sz w:val="20"/>
          <w:lang w:eastAsia="en-US"/>
        </w:rPr>
        <w:t>con</w:t>
      </w:r>
      <w:r w:rsidR="000F25DB">
        <w:rPr>
          <w:rFonts w:ascii="PT Serif" w:hAnsi="PT Serif" w:cs="PT Serif"/>
          <w:b w:val="0"/>
          <w:i w:val="0"/>
          <w:sz w:val="20"/>
          <w:lang w:eastAsia="en-US"/>
        </w:rPr>
        <w:t>s</w:t>
      </w:r>
      <w:r>
        <w:rPr>
          <w:rFonts w:ascii="PT Serif" w:hAnsi="PT Serif" w:cs="PT Serif"/>
          <w:b w:val="0"/>
          <w:i w:val="0"/>
          <w:sz w:val="20"/>
          <w:lang w:eastAsia="en-US"/>
        </w:rPr>
        <w:t>ti</w:t>
      </w:r>
      <w:r w:rsidR="000F25DB">
        <w:rPr>
          <w:rFonts w:ascii="PT Serif" w:hAnsi="PT Serif" w:cs="PT Serif"/>
          <w:b w:val="0"/>
          <w:i w:val="0"/>
          <w:sz w:val="20"/>
          <w:lang w:eastAsia="en-US"/>
        </w:rPr>
        <w:t>tucional más r</w:t>
      </w:r>
      <w:r w:rsidR="005A21B3">
        <w:rPr>
          <w:rFonts w:ascii="PT Serif" w:hAnsi="PT Serif" w:cs="PT Serif"/>
          <w:b w:val="0"/>
          <w:i w:val="0"/>
          <w:sz w:val="20"/>
          <w:lang w:eastAsia="en-US"/>
        </w:rPr>
        <w:t xml:space="preserve">elevante en relación con la consolidación de </w:t>
      </w:r>
      <w:r>
        <w:rPr>
          <w:rFonts w:ascii="PT Serif" w:hAnsi="PT Serif" w:cs="PT Serif"/>
          <w:b w:val="0"/>
          <w:i w:val="0"/>
          <w:sz w:val="20"/>
          <w:lang w:eastAsia="en-US"/>
        </w:rPr>
        <w:t>la construcción</w:t>
      </w:r>
      <w:r w:rsidR="005A21B3">
        <w:rPr>
          <w:rFonts w:ascii="PT Serif" w:hAnsi="PT Serif" w:cs="PT Serif"/>
          <w:b w:val="0"/>
          <w:i w:val="0"/>
          <w:sz w:val="20"/>
          <w:lang w:eastAsia="en-US"/>
        </w:rPr>
        <w:t xml:space="preserve"> acerca del </w:t>
      </w:r>
      <w:r>
        <w:rPr>
          <w:rFonts w:ascii="PT Serif" w:hAnsi="PT Serif" w:cs="PT Serif"/>
          <w:b w:val="0"/>
          <w:i w:val="0"/>
          <w:sz w:val="20"/>
          <w:lang w:eastAsia="en-US"/>
        </w:rPr>
        <w:t>control</w:t>
      </w:r>
      <w:r w:rsidR="005A21B3">
        <w:rPr>
          <w:rFonts w:ascii="PT Serif" w:hAnsi="PT Serif" w:cs="PT Serif"/>
          <w:b w:val="0"/>
          <w:i w:val="0"/>
          <w:sz w:val="20"/>
          <w:lang w:eastAsia="en-US"/>
        </w:rPr>
        <w:t xml:space="preserve"> difuso</w:t>
      </w:r>
      <w:r>
        <w:rPr>
          <w:rFonts w:ascii="PT Serif" w:hAnsi="PT Serif" w:cs="PT Serif"/>
          <w:b w:val="0"/>
          <w:i w:val="0"/>
          <w:sz w:val="20"/>
          <w:lang w:eastAsia="en-US"/>
        </w:rPr>
        <w:t xml:space="preserve"> de </w:t>
      </w:r>
      <w:r w:rsidR="000F25DB">
        <w:rPr>
          <w:rFonts w:ascii="PT Serif" w:hAnsi="PT Serif" w:cs="PT Serif"/>
          <w:b w:val="0"/>
          <w:i w:val="0"/>
          <w:sz w:val="20"/>
          <w:lang w:eastAsia="en-US"/>
        </w:rPr>
        <w:t>convencionalidad en materia de derechos humanos.</w:t>
      </w:r>
    </w:p>
    <w:p w14:paraId="2D3A665F" w14:textId="77777777" w:rsidR="003F26EA" w:rsidRDefault="003F26EA" w:rsidP="002768AD">
      <w:pPr>
        <w:pStyle w:val="03Texto"/>
        <w:spacing w:before="0"/>
        <w:ind w:firstLine="0"/>
        <w:rPr>
          <w:rFonts w:ascii="PT Serif" w:eastAsiaTheme="minorHAnsi" w:hAnsi="PT Serif" w:cstheme="minorBidi"/>
          <w:sz w:val="20"/>
          <w:lang w:eastAsia="en-US"/>
        </w:rPr>
      </w:pPr>
    </w:p>
    <w:p w14:paraId="0B91F2B2" w14:textId="0E989437" w:rsidR="000F25DB" w:rsidRDefault="00AA0167"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 xml:space="preserve">Posteriormente, </w:t>
      </w:r>
      <w:r w:rsidR="000F25DB">
        <w:rPr>
          <w:rFonts w:ascii="PT Serif" w:hAnsi="PT Serif" w:cs="PT Serif"/>
          <w:b w:val="0"/>
          <w:i w:val="0"/>
          <w:sz w:val="20"/>
          <w:lang w:eastAsia="en-US"/>
        </w:rPr>
        <w:t>daremos</w:t>
      </w:r>
      <w:r>
        <w:rPr>
          <w:rFonts w:ascii="PT Serif" w:hAnsi="PT Serif" w:cs="PT Serif"/>
          <w:b w:val="0"/>
          <w:i w:val="0"/>
          <w:sz w:val="20"/>
          <w:lang w:eastAsia="en-US"/>
        </w:rPr>
        <w:t xml:space="preserve"> un paso más a los efectos de ofrecer</w:t>
      </w:r>
      <w:r w:rsidR="005A21B3">
        <w:rPr>
          <w:rFonts w:ascii="PT Serif" w:hAnsi="PT Serif" w:cs="PT Serif"/>
          <w:b w:val="0"/>
          <w:i w:val="0"/>
          <w:sz w:val="20"/>
          <w:lang w:eastAsia="en-US"/>
        </w:rPr>
        <w:t xml:space="preserve"> los principios o</w:t>
      </w:r>
      <w:r>
        <w:rPr>
          <w:rFonts w:ascii="PT Serif" w:hAnsi="PT Serif" w:cs="PT Serif"/>
          <w:b w:val="0"/>
          <w:i w:val="0"/>
          <w:sz w:val="20"/>
          <w:lang w:eastAsia="en-US"/>
        </w:rPr>
        <w:t xml:space="preserve"> criterios</w:t>
      </w:r>
      <w:r w:rsidR="000F25DB">
        <w:rPr>
          <w:rFonts w:ascii="PT Serif" w:hAnsi="PT Serif" w:cs="PT Serif"/>
          <w:b w:val="0"/>
          <w:i w:val="0"/>
          <w:sz w:val="20"/>
          <w:lang w:eastAsia="en-US"/>
        </w:rPr>
        <w:t xml:space="preserve"> para la resolución del concurso entre norma interna y convencional que s</w:t>
      </w:r>
      <w:r w:rsidR="005A21B3">
        <w:rPr>
          <w:rFonts w:ascii="PT Serif" w:hAnsi="PT Serif" w:cs="PT Serif"/>
          <w:b w:val="0"/>
          <w:i w:val="0"/>
          <w:sz w:val="20"/>
          <w:lang w:eastAsia="en-US"/>
        </w:rPr>
        <w:t>ean</w:t>
      </w:r>
      <w:r w:rsidR="000F25DB">
        <w:rPr>
          <w:rFonts w:ascii="PT Serif" w:hAnsi="PT Serif" w:cs="PT Serif"/>
          <w:b w:val="0"/>
          <w:i w:val="0"/>
          <w:sz w:val="20"/>
          <w:lang w:eastAsia="en-US"/>
        </w:rPr>
        <w:t xml:space="preserve"> contradictorias, y que, sin embargo, son igualmente válidas. Es decir, el control de convencionalidad</w:t>
      </w:r>
      <w:r w:rsidR="005A21B3">
        <w:rPr>
          <w:rFonts w:ascii="PT Serif" w:hAnsi="PT Serif" w:cs="PT Serif"/>
          <w:b w:val="0"/>
          <w:i w:val="0"/>
          <w:sz w:val="20"/>
          <w:lang w:eastAsia="en-US"/>
        </w:rPr>
        <w:t xml:space="preserve"> en manos de la Jurisdicción ordinaria</w:t>
      </w:r>
      <w:r w:rsidR="000F25DB">
        <w:rPr>
          <w:rFonts w:ascii="PT Serif" w:hAnsi="PT Serif" w:cs="PT Serif"/>
          <w:b w:val="0"/>
          <w:i w:val="0"/>
          <w:sz w:val="20"/>
          <w:lang w:eastAsia="en-US"/>
        </w:rPr>
        <w:t xml:space="preserve"> nunca implica una declaración de invalidez de una norma, sino una selección, para su aplicación en el caso concreto, </w:t>
      </w:r>
      <w:r w:rsidR="005A21B3">
        <w:rPr>
          <w:rFonts w:ascii="PT Serif" w:hAnsi="PT Serif" w:cs="PT Serif"/>
          <w:b w:val="0"/>
          <w:i w:val="0"/>
          <w:sz w:val="20"/>
          <w:lang w:eastAsia="en-US"/>
        </w:rPr>
        <w:t>entre</w:t>
      </w:r>
      <w:r w:rsidR="000F25DB">
        <w:rPr>
          <w:rFonts w:ascii="PT Serif" w:hAnsi="PT Serif" w:cs="PT Serif"/>
          <w:b w:val="0"/>
          <w:i w:val="0"/>
          <w:sz w:val="20"/>
          <w:lang w:eastAsia="en-US"/>
        </w:rPr>
        <w:t xml:space="preserve"> normas</w:t>
      </w:r>
      <w:r w:rsidR="005A21B3">
        <w:rPr>
          <w:rFonts w:ascii="PT Serif" w:hAnsi="PT Serif" w:cs="PT Serif"/>
          <w:b w:val="0"/>
          <w:i w:val="0"/>
          <w:sz w:val="20"/>
          <w:lang w:eastAsia="en-US"/>
        </w:rPr>
        <w:t xml:space="preserve"> igualmente</w:t>
      </w:r>
      <w:r w:rsidR="000F25DB">
        <w:rPr>
          <w:rFonts w:ascii="PT Serif" w:hAnsi="PT Serif" w:cs="PT Serif"/>
          <w:b w:val="0"/>
          <w:i w:val="0"/>
          <w:sz w:val="20"/>
          <w:lang w:eastAsia="en-US"/>
        </w:rPr>
        <w:t xml:space="preserve"> válidas.</w:t>
      </w:r>
      <w:r w:rsidR="00CE3485">
        <w:rPr>
          <w:rFonts w:ascii="PT Serif" w:hAnsi="PT Serif" w:cs="PT Serif"/>
          <w:b w:val="0"/>
          <w:i w:val="0"/>
          <w:sz w:val="20"/>
          <w:lang w:eastAsia="en-US"/>
        </w:rPr>
        <w:t xml:space="preserve"> </w:t>
      </w:r>
      <w:r w:rsidR="000F25DB">
        <w:rPr>
          <w:rFonts w:ascii="PT Serif" w:hAnsi="PT Serif" w:cs="PT Serif"/>
          <w:b w:val="0"/>
          <w:i w:val="0"/>
          <w:sz w:val="20"/>
          <w:lang w:eastAsia="en-US"/>
        </w:rPr>
        <w:t>En este caso, las situaciones que pueden darse son dos.</w:t>
      </w:r>
    </w:p>
    <w:p w14:paraId="2FF389AF" w14:textId="77777777" w:rsidR="003F26EA" w:rsidRDefault="003F26EA" w:rsidP="002768AD">
      <w:pPr>
        <w:pStyle w:val="03Texto"/>
        <w:spacing w:before="0"/>
        <w:ind w:firstLine="0"/>
        <w:rPr>
          <w:rFonts w:ascii="PT Serif" w:eastAsiaTheme="minorHAnsi" w:hAnsi="PT Serif" w:cstheme="minorBidi"/>
          <w:sz w:val="20"/>
          <w:lang w:eastAsia="en-US"/>
        </w:rPr>
      </w:pPr>
    </w:p>
    <w:p w14:paraId="2D2E08F4" w14:textId="12A29BA2" w:rsidR="000F25DB" w:rsidRDefault="000F25DB"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lastRenderedPageBreak/>
        <w:t xml:space="preserve">La primera, que la norma interna que contradice la convencional sea más </w:t>
      </w:r>
      <w:r w:rsidR="00CE3485">
        <w:rPr>
          <w:rFonts w:ascii="PT Serif" w:hAnsi="PT Serif" w:cs="PT Serif"/>
          <w:b w:val="0"/>
          <w:i w:val="0"/>
          <w:sz w:val="20"/>
          <w:lang w:eastAsia="en-US"/>
        </w:rPr>
        <w:t>restrictiva</w:t>
      </w:r>
      <w:r>
        <w:rPr>
          <w:rFonts w:ascii="PT Serif" w:hAnsi="PT Serif" w:cs="PT Serif"/>
          <w:b w:val="0"/>
          <w:i w:val="0"/>
          <w:sz w:val="20"/>
          <w:lang w:eastAsia="en-US"/>
        </w:rPr>
        <w:t xml:space="preserve"> en el ámbito de los derechos humanos. La segunda situación que puede</w:t>
      </w:r>
      <w:r w:rsidR="00CE3485">
        <w:rPr>
          <w:rFonts w:ascii="PT Serif" w:hAnsi="PT Serif" w:cs="PT Serif"/>
          <w:b w:val="0"/>
          <w:i w:val="0"/>
          <w:sz w:val="20"/>
          <w:lang w:eastAsia="en-US"/>
        </w:rPr>
        <w:t xml:space="preserve"> darse</w:t>
      </w:r>
      <w:r>
        <w:rPr>
          <w:rFonts w:ascii="PT Serif" w:hAnsi="PT Serif" w:cs="PT Serif"/>
          <w:b w:val="0"/>
          <w:i w:val="0"/>
          <w:sz w:val="20"/>
          <w:lang w:eastAsia="en-US"/>
        </w:rPr>
        <w:t xml:space="preserve"> y que no hay que </w:t>
      </w:r>
      <w:r w:rsidR="00CE3485">
        <w:rPr>
          <w:rFonts w:ascii="PT Serif" w:hAnsi="PT Serif" w:cs="PT Serif"/>
          <w:b w:val="0"/>
          <w:i w:val="0"/>
          <w:sz w:val="20"/>
          <w:lang w:eastAsia="en-US"/>
        </w:rPr>
        <w:t>descartar</w:t>
      </w:r>
      <w:r>
        <w:rPr>
          <w:rFonts w:ascii="PT Serif" w:hAnsi="PT Serif" w:cs="PT Serif"/>
          <w:b w:val="0"/>
          <w:i w:val="0"/>
          <w:sz w:val="20"/>
          <w:lang w:eastAsia="en-US"/>
        </w:rPr>
        <w:t xml:space="preserve"> es la contraria. Es decir, que la contradicción entre la norma interna y la </w:t>
      </w:r>
      <w:r w:rsidR="00CE3485">
        <w:rPr>
          <w:rFonts w:ascii="PT Serif" w:hAnsi="PT Serif" w:cs="PT Serif"/>
          <w:b w:val="0"/>
          <w:i w:val="0"/>
          <w:sz w:val="20"/>
          <w:lang w:eastAsia="en-US"/>
        </w:rPr>
        <w:t>convencional</w:t>
      </w:r>
      <w:r>
        <w:rPr>
          <w:rFonts w:ascii="PT Serif" w:hAnsi="PT Serif" w:cs="PT Serif"/>
          <w:b w:val="0"/>
          <w:i w:val="0"/>
          <w:sz w:val="20"/>
          <w:lang w:eastAsia="en-US"/>
        </w:rPr>
        <w:t xml:space="preserve"> sea porque la primera reconoce de </w:t>
      </w:r>
      <w:r w:rsidR="00CE3485">
        <w:rPr>
          <w:rFonts w:ascii="PT Serif" w:hAnsi="PT Serif" w:cs="PT Serif"/>
          <w:b w:val="0"/>
          <w:i w:val="0"/>
          <w:sz w:val="20"/>
          <w:lang w:eastAsia="en-US"/>
        </w:rPr>
        <w:t>manera</w:t>
      </w:r>
      <w:r>
        <w:rPr>
          <w:rFonts w:ascii="PT Serif" w:hAnsi="PT Serif" w:cs="PT Serif"/>
          <w:b w:val="0"/>
          <w:i w:val="0"/>
          <w:sz w:val="20"/>
          <w:lang w:eastAsia="en-US"/>
        </w:rPr>
        <w:t xml:space="preserve"> más </w:t>
      </w:r>
      <w:r w:rsidR="00CE3485">
        <w:rPr>
          <w:rFonts w:ascii="PT Serif" w:hAnsi="PT Serif" w:cs="PT Serif"/>
          <w:b w:val="0"/>
          <w:i w:val="0"/>
          <w:sz w:val="20"/>
          <w:lang w:eastAsia="en-US"/>
        </w:rPr>
        <w:t>amplia</w:t>
      </w:r>
      <w:r>
        <w:rPr>
          <w:rFonts w:ascii="PT Serif" w:hAnsi="PT Serif" w:cs="PT Serif"/>
          <w:b w:val="0"/>
          <w:i w:val="0"/>
          <w:sz w:val="20"/>
          <w:lang w:eastAsia="en-US"/>
        </w:rPr>
        <w:t xml:space="preserve"> o dota de mayor vi</w:t>
      </w:r>
      <w:r w:rsidR="00CE3485">
        <w:rPr>
          <w:rFonts w:ascii="PT Serif" w:hAnsi="PT Serif" w:cs="PT Serif"/>
          <w:b w:val="0"/>
          <w:i w:val="0"/>
          <w:sz w:val="20"/>
          <w:lang w:eastAsia="en-US"/>
        </w:rPr>
        <w:t>rtualidad</w:t>
      </w:r>
      <w:r>
        <w:rPr>
          <w:rFonts w:ascii="PT Serif" w:hAnsi="PT Serif" w:cs="PT Serif"/>
          <w:b w:val="0"/>
          <w:i w:val="0"/>
          <w:sz w:val="20"/>
          <w:lang w:eastAsia="en-US"/>
        </w:rPr>
        <w:t xml:space="preserve"> al derecho </w:t>
      </w:r>
      <w:r w:rsidR="00CE3485">
        <w:rPr>
          <w:rFonts w:ascii="PT Serif" w:hAnsi="PT Serif" w:cs="PT Serif"/>
          <w:b w:val="0"/>
          <w:i w:val="0"/>
          <w:sz w:val="20"/>
          <w:lang w:eastAsia="en-US"/>
        </w:rPr>
        <w:t>humano.</w:t>
      </w:r>
    </w:p>
    <w:p w14:paraId="6C7103B7" w14:textId="77777777" w:rsidR="003F26EA" w:rsidRDefault="003F26EA" w:rsidP="002768AD">
      <w:pPr>
        <w:pStyle w:val="03Texto"/>
        <w:spacing w:before="0"/>
        <w:ind w:firstLine="0"/>
        <w:rPr>
          <w:rFonts w:ascii="PT Serif" w:eastAsiaTheme="minorHAnsi" w:hAnsi="PT Serif" w:cstheme="minorBidi"/>
          <w:sz w:val="20"/>
          <w:lang w:eastAsia="en-US"/>
        </w:rPr>
      </w:pPr>
    </w:p>
    <w:p w14:paraId="63AC9F48" w14:textId="04D94B71" w:rsidR="00CE3485" w:rsidRDefault="00CE3485"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En ambos casos, estamos ante normas válidas que concurren en un caso concreto. En la segunda parte de este apartado ofrecemos los criterios para la resolución de estos concursos normativos.</w:t>
      </w:r>
    </w:p>
    <w:p w14:paraId="634F8FFA" w14:textId="2C744740" w:rsidR="002768AD" w:rsidRDefault="00CE3485" w:rsidP="002768AD">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 xml:space="preserve">En definitiva, es preciso tener presente para entender bien el alcance de nuestra investigación que el </w:t>
      </w:r>
      <w:r w:rsidR="002768AD" w:rsidRPr="002768AD">
        <w:rPr>
          <w:rFonts w:ascii="PT Serif" w:hAnsi="PT Serif" w:cs="PT Serif"/>
          <w:b w:val="0"/>
          <w:i w:val="0"/>
          <w:sz w:val="20"/>
          <w:lang w:eastAsia="en-US"/>
        </w:rPr>
        <w:t>control de convencionalidad</w:t>
      </w:r>
      <w:r>
        <w:rPr>
          <w:rFonts w:ascii="PT Serif" w:hAnsi="PT Serif" w:cs="PT Serif"/>
          <w:b w:val="0"/>
          <w:i w:val="0"/>
          <w:sz w:val="20"/>
          <w:lang w:eastAsia="en-US"/>
        </w:rPr>
        <w:t xml:space="preserve"> y los aportes que realizamos se hacen con el objetivo de r</w:t>
      </w:r>
      <w:r w:rsidR="002768AD" w:rsidRPr="002768AD">
        <w:rPr>
          <w:rFonts w:ascii="PT Serif" w:hAnsi="PT Serif" w:cs="PT Serif"/>
          <w:b w:val="0"/>
          <w:i w:val="0"/>
          <w:sz w:val="20"/>
          <w:lang w:eastAsia="en-US"/>
        </w:rPr>
        <w:t>ef</w:t>
      </w:r>
      <w:r>
        <w:rPr>
          <w:rFonts w:ascii="PT Serif" w:hAnsi="PT Serif" w:cs="PT Serif"/>
          <w:b w:val="0"/>
          <w:i w:val="0"/>
          <w:sz w:val="20"/>
          <w:lang w:eastAsia="en-US"/>
        </w:rPr>
        <w:t>orzar</w:t>
      </w:r>
      <w:r w:rsidR="002768AD" w:rsidRPr="002768AD">
        <w:rPr>
          <w:rFonts w:ascii="PT Serif" w:hAnsi="PT Serif" w:cs="PT Serif"/>
          <w:b w:val="0"/>
          <w:i w:val="0"/>
          <w:sz w:val="20"/>
          <w:lang w:eastAsia="en-US"/>
        </w:rPr>
        <w:t xml:space="preserve"> el papel de cada juez y jueza como garante de los derechos humanos, permitiendo obviar las trabas normativas que impidan la efectividad de esos derechos</w:t>
      </w:r>
      <w:r>
        <w:rPr>
          <w:rFonts w:ascii="PT Serif" w:hAnsi="PT Serif" w:cs="PT Serif"/>
          <w:b w:val="0"/>
          <w:i w:val="0"/>
          <w:sz w:val="20"/>
          <w:lang w:eastAsia="en-US"/>
        </w:rPr>
        <w:t>, sin que en ningún caso se esté actuando al margen de la “ley” ni declarando o considerando inválida ninguna norma</w:t>
      </w:r>
      <w:r w:rsidR="002768AD" w:rsidRPr="002768AD">
        <w:rPr>
          <w:rFonts w:ascii="PT Serif" w:hAnsi="PT Serif" w:cs="PT Serif"/>
          <w:b w:val="0"/>
          <w:i w:val="0"/>
          <w:sz w:val="20"/>
          <w:lang w:eastAsia="en-US"/>
        </w:rPr>
        <w:t>. De hecho, no puede desconocerse que pertenece al núcleo duro e irreductible de la labor jurisdiccional, la protección de los derechos fundamentales y libertades públicas</w:t>
      </w:r>
      <w:r w:rsidR="00AC3AA1">
        <w:rPr>
          <w:rStyle w:val="Refernciadenotaapeudepgina"/>
          <w:rFonts w:ascii="PT Serif" w:hAnsi="PT Serif" w:cs="PT Serif"/>
          <w:b w:val="0"/>
          <w:i w:val="0"/>
          <w:sz w:val="20"/>
          <w:lang w:eastAsia="en-US"/>
        </w:rPr>
        <w:footnoteReference w:id="24"/>
      </w:r>
      <w:r w:rsidR="00ED3A8E" w:rsidRPr="00B76E3F">
        <w:rPr>
          <w:rFonts w:ascii="PT Serif" w:hAnsi="PT Serif" w:cs="PT Serif"/>
          <w:b w:val="0"/>
          <w:i w:val="0"/>
          <w:sz w:val="20"/>
        </w:rPr>
        <w:t>»</w:t>
      </w:r>
      <w:r w:rsidR="002768AD" w:rsidRPr="002768AD">
        <w:rPr>
          <w:rFonts w:ascii="PT Serif" w:hAnsi="PT Serif" w:cs="PT Serif"/>
          <w:b w:val="0"/>
          <w:i w:val="0"/>
          <w:sz w:val="20"/>
          <w:lang w:eastAsia="en-US"/>
        </w:rPr>
        <w:t>.</w:t>
      </w:r>
      <w:r w:rsidR="005A21B3">
        <w:rPr>
          <w:rFonts w:ascii="PT Serif" w:hAnsi="PT Serif" w:cs="PT Serif"/>
          <w:b w:val="0"/>
          <w:i w:val="0"/>
          <w:sz w:val="20"/>
          <w:lang w:eastAsia="en-US"/>
        </w:rPr>
        <w:t xml:space="preserve"> </w:t>
      </w:r>
    </w:p>
    <w:p w14:paraId="472A40D7" w14:textId="77777777" w:rsidR="003F26EA" w:rsidRDefault="003F26EA" w:rsidP="002768AD">
      <w:pPr>
        <w:pStyle w:val="03Texto"/>
        <w:spacing w:before="0"/>
        <w:ind w:firstLine="0"/>
        <w:rPr>
          <w:rFonts w:ascii="PT Serif" w:eastAsiaTheme="minorHAnsi" w:hAnsi="PT Serif" w:cstheme="minorBidi"/>
          <w:sz w:val="20"/>
          <w:lang w:eastAsia="en-US"/>
        </w:rPr>
      </w:pPr>
    </w:p>
    <w:p w14:paraId="10411653" w14:textId="69E1FD50" w:rsidR="002768AD" w:rsidRDefault="00CE3485" w:rsidP="002768AD">
      <w:pPr>
        <w:spacing w:after="60" w:line="240" w:lineRule="auto" w:before="120"/>
        <w:jc w:val="both"/>
        <w:rPr>
          <w:rFonts w:ascii="PT Serif" w:hAnsi="PT Serif"/>
          <w:b/>
          <w:sz w:val="20"/>
          <w:szCs w:val="20"/>
        </w:rPr>
      </w:pPr>
      <w:r>
        <w:rPr>
          <w:rFonts w:ascii="PT Serif" w:hAnsi="PT Serif" w:cs="PT Serif"/>
          <w:b/>
          <w:i w:val="0"/>
          <w:sz w:val="20"/>
          <w:szCs w:val="20"/>
        </w:rPr>
        <w:t xml:space="preserve">3.2. Parámetros en la </w:t>
      </w:r>
      <w:r w:rsidR="005C33F4">
        <w:rPr>
          <w:rFonts w:ascii="PT Serif" w:hAnsi="PT Serif" w:cs="PT Serif"/>
          <w:b/>
          <w:i w:val="0"/>
          <w:sz w:val="20"/>
          <w:szCs w:val="20"/>
        </w:rPr>
        <w:t>jurisprudencia</w:t>
      </w:r>
      <w:r>
        <w:rPr>
          <w:rFonts w:ascii="PT Serif" w:hAnsi="PT Serif" w:cs="PT Serif"/>
          <w:b/>
          <w:i w:val="0"/>
          <w:sz w:val="20"/>
          <w:szCs w:val="20"/>
        </w:rPr>
        <w:t xml:space="preserve"> constitucional</w:t>
      </w:r>
    </w:p>
    <w:p w14:paraId="7F82000D" w14:textId="77777777" w:rsidR="003F26EA" w:rsidRDefault="003F26EA" w:rsidP="002768AD">
      <w:pPr>
        <w:spacing w:after="0" w:line="264" w:lineRule="auto"/>
        <w:jc w:val="both"/>
        <w:rPr>
          <w:rFonts w:ascii="PT Serif" w:hAnsi="PT Serif"/>
          <w:b/>
          <w:sz w:val="20"/>
          <w:szCs w:val="20"/>
        </w:rPr>
      </w:pPr>
    </w:p>
    <w:p w14:paraId="58AD593C" w14:textId="23CE008C" w:rsidR="002C6CA8" w:rsidRPr="00854594" w:rsidRDefault="003C778C" w:rsidP="00854594">
      <w:pPr>
        <w:pStyle w:val="Pargrafdellista"/>
        <w:numPr>
          <w:ilvl w:val="2"/>
          <w:numId w:val="34"/>
        </w:numPr>
        <w:spacing w:after="120" w:line="264" w:lineRule="auto"/>
        <w:ind w:left="567" w:firstLine="0"/>
        <w:jc w:val="both"/>
        <w:rPr>
          <w:rFonts w:ascii="PT Serif" w:hAnsi="PT Serif"/>
          <w:bCs/>
          <w:i/>
          <w:iCs/>
          <w:sz w:val="20"/>
          <w:szCs w:val="20"/>
        </w:rPr>
      </w:pPr>
      <w:r w:rsidRPr="00854594">
        <w:rPr>
          <w:rFonts w:ascii="PT Serif" w:hAnsi="PT Serif" w:cs="PT Serif"/>
          <w:b w:val="0"/>
          <w:bCs/>
          <w:i/>
          <w:iCs/>
          <w:sz w:val="20"/>
          <w:szCs w:val="20"/>
        </w:rPr>
        <w:t>Debate en torno al carácter abstracto o difuso</w:t>
      </w:r>
      <w:r w:rsidR="0008223F" w:rsidRPr="00854594">
        <w:rPr>
          <w:rFonts w:ascii="PT Serif" w:hAnsi="PT Serif" w:cs="PT Serif"/>
          <w:b w:val="0"/>
          <w:bCs/>
          <w:i/>
          <w:iCs/>
          <w:sz w:val="20"/>
          <w:szCs w:val="20"/>
        </w:rPr>
        <w:t xml:space="preserve"> (</w:t>
      </w:r>
      <w:r w:rsidR="002C6CA8" w:rsidRPr="00854594">
        <w:rPr>
          <w:rFonts w:ascii="PT Serif" w:hAnsi="PT Serif" w:cs="PT Serif"/>
          <w:b w:val="0"/>
          <w:bCs/>
          <w:i/>
          <w:iCs/>
          <w:sz w:val="20"/>
          <w:szCs w:val="20"/>
        </w:rPr>
        <w:t>STC 270/2015, 17 diciembre (Pleno)</w:t>
      </w:r>
    </w:p>
    <w:p w14:paraId="405F8B77" w14:textId="77777777" w:rsidR="003F26EA" w:rsidRDefault="003F26EA" w:rsidP="005C33F4">
      <w:pPr>
        <w:spacing w:after="0" w:line="264" w:lineRule="auto"/>
        <w:jc w:val="both"/>
        <w:rPr>
          <w:rFonts w:ascii="PT Serif" w:hAnsi="PT Serif"/>
          <w:b/>
          <w:sz w:val="20"/>
          <w:szCs w:val="20"/>
        </w:rPr>
      </w:pPr>
    </w:p>
    <w:p w14:paraId="46240F97" w14:textId="537F83FF" w:rsidR="00525009" w:rsidRDefault="0008223F" w:rsidP="00136119">
      <w:pPr>
        <w:spacing w:after="120" w:line="264" w:lineRule="auto"/>
        <w:ind w:firstLine="0"/>
        <w:jc w:val="both"/>
        <w:rPr>
          <w:rFonts w:ascii="PT Serif" w:hAnsi="PT Serif"/>
          <w:sz w:val="20"/>
          <w:szCs w:val="20"/>
        </w:rPr>
      </w:pPr>
      <w:r>
        <w:rPr>
          <w:rFonts w:ascii="PT Serif" w:hAnsi="PT Serif" w:cs="PT Serif"/>
          <w:b w:val="0"/>
          <w:bCs/>
          <w:i w:val="0"/>
          <w:sz w:val="20"/>
          <w:szCs w:val="20"/>
        </w:rPr>
        <w:t>El ATC 301/2023 hace remisión expresa a la STC 140/2018 que abordamos en el siguiente subapartado. Esta sentencia supone la consolidación y fijación de la jurisprudencia constitucional en torno al control (difuso) de convencionalidad. No obstante, creemos que es interesante, con carácter previo, analizar la</w:t>
      </w:r>
      <w:r w:rsidRPr="00637BCD">
        <w:rPr>
          <w:rFonts w:ascii="PT Serif" w:hAnsi="PT Serif" w:cs="PT Serif"/>
          <w:b w:val="0"/>
          <w:i w:val="0"/>
          <w:sz w:val="20"/>
          <w:szCs w:val="20"/>
        </w:rPr>
        <w:t xml:space="preserve"> STC 270/2015, 17 diciembre (Pleno), y el voto particular concurrente que formula el magistrado D. J.A. Xiol Ríos, al que se adhieren la magistrada Dña. A. Asua Batarrita y el magistrado D. F. Valdés Dal-Ré</w:t>
      </w:r>
      <w:r>
        <w:rPr>
          <w:rStyle w:val="Refernciadenotaapeudepgina"/>
          <w:rFonts w:ascii="PT Serif" w:hAnsi="PT Serif" w:cs="PT Serif"/>
          <w:b w:val="0"/>
          <w:i w:val="0"/>
          <w:sz w:val="20"/>
          <w:szCs w:val="20"/>
        </w:rPr>
        <w:footnoteReference w:id="25"/>
      </w:r>
      <w:r w:rsidRPr="00637BCD">
        <w:rPr>
          <w:rFonts w:ascii="PT Serif" w:hAnsi="PT Serif" w:cs="PT Serif"/>
          <w:b w:val="0"/>
          <w:i w:val="0"/>
          <w:sz w:val="20"/>
          <w:szCs w:val="20"/>
        </w:rPr>
        <w:t>.</w:t>
      </w:r>
      <w:r w:rsidR="005A21B3">
        <w:rPr>
          <w:rFonts w:ascii="PT Serif" w:hAnsi="PT Serif" w:cs="PT Serif"/>
          <w:b w:val="0"/>
          <w:i w:val="0"/>
          <w:sz w:val="20"/>
          <w:szCs w:val="20"/>
        </w:rPr>
        <w:t xml:space="preserve"> En el mismo se evidencia la necesidad de que el TC aborde de una vez y de manera clara</w:t>
      </w:r>
      <w:r w:rsidR="00136119">
        <w:rPr>
          <w:rFonts w:ascii="PT Serif" w:hAnsi="PT Serif" w:cs="PT Serif"/>
          <w:b w:val="0"/>
          <w:i w:val="0"/>
          <w:sz w:val="20"/>
          <w:szCs w:val="20"/>
        </w:rPr>
        <w:t xml:space="preserve">, </w:t>
      </w:r>
      <w:r w:rsidR="005A21B3">
        <w:rPr>
          <w:rFonts w:ascii="PT Serif" w:hAnsi="PT Serif" w:cs="PT Serif"/>
          <w:b w:val="0"/>
          <w:i w:val="0"/>
          <w:sz w:val="20"/>
          <w:szCs w:val="20"/>
        </w:rPr>
        <w:t>si el control de convencionalidad en abstracto le incumbe o si</w:t>
      </w:r>
      <w:r w:rsidR="00136119">
        <w:rPr>
          <w:rFonts w:ascii="PT Serif" w:hAnsi="PT Serif" w:cs="PT Serif"/>
          <w:b w:val="0"/>
          <w:i w:val="0"/>
          <w:sz w:val="20"/>
          <w:szCs w:val="20"/>
        </w:rPr>
        <w:t>,</w:t>
      </w:r>
      <w:r w:rsidR="005A21B3">
        <w:rPr>
          <w:rFonts w:ascii="PT Serif" w:hAnsi="PT Serif" w:cs="PT Serif"/>
          <w:b w:val="0"/>
          <w:i w:val="0"/>
          <w:sz w:val="20"/>
          <w:szCs w:val="20"/>
        </w:rPr>
        <w:t xml:space="preserve"> por el contrario, debe ser </w:t>
      </w:r>
      <w:r w:rsidR="00136119">
        <w:rPr>
          <w:rFonts w:ascii="PT Serif" w:hAnsi="PT Serif" w:cs="PT Serif"/>
          <w:b w:val="0"/>
          <w:i w:val="0"/>
          <w:sz w:val="20"/>
          <w:szCs w:val="20"/>
        </w:rPr>
        <w:t xml:space="preserve">siempre </w:t>
      </w:r>
      <w:r w:rsidR="005A21B3">
        <w:rPr>
          <w:rFonts w:ascii="PT Serif" w:hAnsi="PT Serif" w:cs="PT Serif"/>
          <w:b w:val="0"/>
          <w:i w:val="0"/>
          <w:sz w:val="20"/>
          <w:szCs w:val="20"/>
        </w:rPr>
        <w:t>difuso.</w:t>
      </w:r>
      <w:r w:rsidR="00136119">
        <w:rPr>
          <w:rFonts w:ascii="PT Serif" w:hAnsi="PT Serif" w:cs="PT Serif"/>
          <w:b w:val="0"/>
          <w:i w:val="0"/>
          <w:sz w:val="20"/>
          <w:szCs w:val="20"/>
        </w:rPr>
        <w:t xml:space="preserve"> </w:t>
      </w:r>
      <w:r w:rsidR="00525009">
        <w:rPr>
          <w:rFonts w:ascii="PT Serif" w:hAnsi="PT Serif" w:cs="PT Serif"/>
          <w:b w:val="0"/>
          <w:i w:val="0"/>
          <w:sz w:val="20"/>
          <w:szCs w:val="20"/>
        </w:rPr>
        <w:t xml:space="preserve">Es cierto que en el momento de emisión de la STC 270/2015 existe jurisprudencia precedente acerca de la posición de los tratados en el ordenamiento jurídico español y que van indicando cómo resolver los eventuales conflictos con normas internas. Sin embargo, el TC </w:t>
      </w:r>
      <w:r w:rsidR="00136119">
        <w:rPr>
          <w:rFonts w:ascii="PT Serif" w:hAnsi="PT Serif" w:cs="PT Serif"/>
          <w:b w:val="0"/>
          <w:i w:val="0"/>
          <w:sz w:val="20"/>
          <w:szCs w:val="20"/>
        </w:rPr>
        <w:t>en el momento de emisión de esta sentencia aú</w:t>
      </w:r>
      <w:r w:rsidR="00525009">
        <w:rPr>
          <w:rFonts w:ascii="PT Serif" w:hAnsi="PT Serif" w:cs="PT Serif"/>
          <w:b w:val="0"/>
          <w:i w:val="0"/>
          <w:sz w:val="20"/>
          <w:szCs w:val="20"/>
        </w:rPr>
        <w:t>n no ha</w:t>
      </w:r>
      <w:r w:rsidR="00136119">
        <w:rPr>
          <w:rFonts w:ascii="PT Serif" w:hAnsi="PT Serif" w:cs="PT Serif"/>
          <w:b w:val="0"/>
          <w:i w:val="0"/>
          <w:sz w:val="20"/>
          <w:szCs w:val="20"/>
        </w:rPr>
        <w:t xml:space="preserve"> resuelto con rotundidad la cuestión, y </w:t>
      </w:r>
      <w:r w:rsidR="00525009">
        <w:rPr>
          <w:rFonts w:ascii="PT Serif" w:hAnsi="PT Serif" w:cs="PT Serif"/>
          <w:b w:val="0"/>
          <w:i w:val="0"/>
          <w:sz w:val="20"/>
          <w:szCs w:val="20"/>
        </w:rPr>
        <w:t>encontramos voces discordantes en la sentencia acerca de la naturaleza que debe tener el control</w:t>
      </w:r>
      <w:r w:rsidR="00136119">
        <w:rPr>
          <w:rFonts w:ascii="PT Serif" w:hAnsi="PT Serif" w:cs="PT Serif"/>
          <w:b w:val="0"/>
          <w:i w:val="0"/>
          <w:sz w:val="20"/>
          <w:szCs w:val="20"/>
        </w:rPr>
        <w:t xml:space="preserve"> de convencionalidad</w:t>
      </w:r>
      <w:r w:rsidR="00525009">
        <w:rPr>
          <w:rFonts w:ascii="PT Serif" w:hAnsi="PT Serif" w:cs="PT Serif"/>
          <w:b w:val="0"/>
          <w:i w:val="0"/>
          <w:sz w:val="20"/>
          <w:szCs w:val="20"/>
        </w:rPr>
        <w:t>, si abstracto o difuso.</w:t>
      </w:r>
    </w:p>
    <w:p w14:paraId="404AF19D" w14:textId="0C19B3E5" w:rsidR="00637BCD" w:rsidRPr="00637BCD"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La sentencia recae como consecuencia de la demanda de inconstitucionalidad presentada por el Consejo de Gobierno de la Comunidad Autónoma de la Región de Murcia, contra el artículo 1 y diferentes disposiciones del Real Decreto-ley 9/2013, de 12 de julio</w:t>
      </w:r>
      <w:r w:rsidR="00CA1F8C">
        <w:rPr>
          <w:rStyle w:val="Refernciadenotaapeudepgina"/>
          <w:rFonts w:ascii="PT Serif" w:hAnsi="PT Serif" w:cs="PT Serif"/>
          <w:b w:val="0"/>
          <w:i w:val="0"/>
          <w:sz w:val="20"/>
          <w:szCs w:val="20"/>
        </w:rPr>
        <w:footnoteReference w:id="26"/>
      </w:r>
      <w:r w:rsidR="00CA1F8C">
        <w:rPr>
          <w:rFonts w:ascii="PT Serif" w:hAnsi="PT Serif" w:cs="PT Serif"/>
          <w:b w:val="0"/>
          <w:i w:val="0"/>
          <w:sz w:val="20"/>
          <w:szCs w:val="20"/>
        </w:rPr>
        <w:t>.</w:t>
      </w:r>
      <w:r w:rsidRPr="00637BCD">
        <w:rPr>
          <w:rFonts w:ascii="PT Serif" w:hAnsi="PT Serif" w:cs="PT Serif"/>
          <w:b w:val="0"/>
          <w:i w:val="0"/>
          <w:sz w:val="20"/>
          <w:szCs w:val="20"/>
        </w:rPr>
        <w:t xml:space="preserve"> En lo que nos interesa destacar, uno de los argumentos expuestos en la demanda de inconstitucionalidad, es que el Real Decreto-ley vulnera el artículo 9.1 y 3 CE, en lo que referente al principio de jerarquía normativa y de sometimiento de los poderes públicos al CE y al resto del ordenamiento jurídico. En </w:t>
      </w:r>
      <w:r w:rsidRPr="00637BCD">
        <w:rPr>
          <w:rFonts w:ascii="PT Serif" w:hAnsi="PT Serif" w:cs="PT Serif"/>
          <w:b w:val="0"/>
          <w:i w:val="0"/>
          <w:sz w:val="20"/>
          <w:szCs w:val="20"/>
        </w:rPr>
        <w:lastRenderedPageBreak/>
        <w:t>particular, se consideran infringidos los artículos 10 y 13 del Tratado sobre la Carta de la Energía, hecho en Lisboa el 17 de diciembre de 1994.</w:t>
      </w:r>
    </w:p>
    <w:p w14:paraId="70EF227A" w14:textId="77777777" w:rsidR="00637BCD" w:rsidRDefault="00637BCD" w:rsidP="00637BCD">
      <w:pPr>
        <w:spacing w:after="0" w:line="240" w:lineRule="auto"/>
        <w:jc w:val="both"/>
        <w:rPr>
          <w:rFonts w:ascii="PT Serif" w:hAnsi="PT Serif"/>
          <w:sz w:val="20"/>
          <w:szCs w:val="20"/>
        </w:rPr>
      </w:pPr>
    </w:p>
    <w:p w14:paraId="75D01E29" w14:textId="291194D6" w:rsidR="0008223F"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No vamos a entrar en el análisis de fondo</w:t>
      </w:r>
      <w:r w:rsidR="00136119">
        <w:rPr>
          <w:rFonts w:ascii="PT Serif" w:hAnsi="PT Serif" w:cs="PT Serif"/>
          <w:b w:val="0"/>
          <w:i w:val="0"/>
          <w:sz w:val="20"/>
          <w:szCs w:val="20"/>
        </w:rPr>
        <w:t xml:space="preserve"> ya que no se plantea un problema acerca de la virtualidad de los derechos humanos</w:t>
      </w:r>
      <w:r w:rsidRPr="00637BCD">
        <w:rPr>
          <w:rFonts w:ascii="PT Serif" w:hAnsi="PT Serif" w:cs="PT Serif"/>
          <w:b w:val="0"/>
          <w:i w:val="0"/>
          <w:sz w:val="20"/>
          <w:szCs w:val="20"/>
        </w:rPr>
        <w:t xml:space="preserve">. Lo importante es destacar que el demandante de inconstitucionalidad puso de manifiesto que, a su juicio, la regulación impugnada no se ajustaba a lo previsto en un tratado internacional. </w:t>
      </w:r>
    </w:p>
    <w:p w14:paraId="60A8427E" w14:textId="77777777" w:rsidR="003F26EA" w:rsidRDefault="003F26EA" w:rsidP="00637BCD">
      <w:pPr>
        <w:spacing w:after="0" w:line="240" w:lineRule="auto"/>
        <w:jc w:val="both"/>
        <w:rPr>
          <w:rFonts w:ascii="PT Serif" w:hAnsi="PT Serif"/>
          <w:sz w:val="20"/>
          <w:szCs w:val="20"/>
        </w:rPr>
      </w:pPr>
    </w:p>
    <w:p w14:paraId="1623FBF7" w14:textId="245D50F0" w:rsidR="00637BCD"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 xml:space="preserve">En el FJ 6º, el TC abordó la cuestión, rechazando que la norma impugnada </w:t>
      </w:r>
      <w:r w:rsidR="00136119">
        <w:rPr>
          <w:rFonts w:ascii="PT Serif" w:hAnsi="PT Serif" w:cs="PT Serif"/>
          <w:b w:val="0"/>
          <w:i w:val="0"/>
          <w:sz w:val="20"/>
          <w:szCs w:val="20"/>
        </w:rPr>
        <w:t>fuera</w:t>
      </w:r>
      <w:r w:rsidRPr="00637BCD">
        <w:rPr>
          <w:rFonts w:ascii="PT Serif" w:hAnsi="PT Serif" w:cs="PT Serif"/>
          <w:b w:val="0"/>
          <w:i w:val="0"/>
          <w:sz w:val="20"/>
          <w:szCs w:val="20"/>
        </w:rPr>
        <w:t xml:space="preserve"> inconstitucional. Los argumentos que se exponen en la sentencia, principalmente, son los siguientes:</w:t>
      </w:r>
    </w:p>
    <w:p w14:paraId="778FF704" w14:textId="77777777" w:rsidR="00637BCD" w:rsidRDefault="00637BCD" w:rsidP="00637BCD">
      <w:pPr>
        <w:spacing w:after="0" w:line="240" w:lineRule="auto"/>
        <w:jc w:val="both"/>
        <w:rPr>
          <w:rFonts w:ascii="PT Serif" w:hAnsi="PT Serif"/>
          <w:sz w:val="20"/>
          <w:szCs w:val="20"/>
        </w:rPr>
      </w:pPr>
    </w:p>
    <w:p w14:paraId="7D85E3BB" w14:textId="64B3AAC3" w:rsidR="00637BCD" w:rsidRDefault="00637BCD" w:rsidP="00637BCD">
      <w:pPr>
        <w:spacing w:after="120" w:line="264" w:lineRule="auto"/>
        <w:ind w:left="284" w:firstLine="0"/>
        <w:jc w:val="both"/>
        <w:rPr>
          <w:rFonts w:ascii="PT Serif" w:hAnsi="PT Serif"/>
          <w:sz w:val="20"/>
          <w:szCs w:val="20"/>
        </w:rPr>
      </w:pPr>
      <w:r w:rsidRPr="00637BCD">
        <w:rPr>
          <w:rFonts w:ascii="PT Serif" w:hAnsi="PT Serif" w:cs="PT Serif"/>
          <w:b w:val="0"/>
          <w:i w:val="0"/>
          <w:sz w:val="20"/>
          <w:szCs w:val="20"/>
        </w:rPr>
        <w:t xml:space="preserve">1º. Los tratados internacionales no son parámetro o canon para valorar la posible inconstitucionalidad de las leyes. Al respecto, afirma que </w:t>
      </w:r>
      <w:r w:rsidR="00CA7689" w:rsidRPr="00CA7689">
        <w:rPr>
          <w:rFonts w:ascii="PT Serif" w:hAnsi="PT Serif" w:cs="PT Serif"/>
          <w:b w:val="0"/>
          <w:i w:val="0"/>
          <w:sz w:val="20"/>
          <w:szCs w:val="20"/>
        </w:rPr>
        <w:t>«</w:t>
      </w:r>
      <w:r w:rsidRPr="00637BCD">
        <w:rPr>
          <w:rFonts w:ascii="PT Serif" w:hAnsi="PT Serif" w:cs="PT Serif"/>
          <w:b w:val="0"/>
          <w:i w:val="0"/>
          <w:sz w:val="20"/>
          <w:szCs w:val="20"/>
        </w:rPr>
        <w:t>procede advertir que este Tribunal ha declarado reiteradamente que los tratados internacionales no constituyen por sí mismos parámetro de contraste para valorar la posible inconstitucionalidad de las leyes</w:t>
      </w:r>
      <w:r w:rsidR="00CA7689" w:rsidRPr="00CA7689">
        <w:rPr>
          <w:rFonts w:ascii="PT Serif" w:hAnsi="PT Serif" w:cs="PT Serif"/>
          <w:b w:val="0"/>
          <w:i w:val="0"/>
          <w:sz w:val="20"/>
          <w:szCs w:val="20"/>
        </w:rPr>
        <w:t>»</w:t>
      </w:r>
      <w:r w:rsidRPr="00637BCD">
        <w:rPr>
          <w:rFonts w:ascii="PT Serif" w:hAnsi="PT Serif" w:cs="PT Serif"/>
          <w:b w:val="0"/>
          <w:i w:val="0"/>
          <w:sz w:val="20"/>
          <w:szCs w:val="20"/>
        </w:rPr>
        <w:t>.</w:t>
      </w:r>
    </w:p>
    <w:p w14:paraId="083FE2D2" w14:textId="77777777" w:rsidR="003F26EA" w:rsidRPr="00637BCD" w:rsidRDefault="003F26EA" w:rsidP="00637BCD">
      <w:pPr>
        <w:spacing w:after="0" w:line="240" w:lineRule="auto"/>
        <w:ind w:left="284"/>
        <w:jc w:val="both"/>
        <w:rPr>
          <w:rFonts w:ascii="PT Serif" w:hAnsi="PT Serif"/>
          <w:sz w:val="20"/>
          <w:szCs w:val="20"/>
        </w:rPr>
      </w:pPr>
    </w:p>
    <w:p w14:paraId="147E7532" w14:textId="77777777" w:rsidR="00637BCD" w:rsidRPr="00637BCD" w:rsidRDefault="00637BCD" w:rsidP="00637BCD">
      <w:pPr>
        <w:spacing w:after="120" w:line="264" w:lineRule="auto"/>
        <w:ind w:left="284" w:firstLine="0"/>
        <w:jc w:val="both"/>
        <w:rPr>
          <w:rFonts w:ascii="PT Serif" w:hAnsi="PT Serif"/>
          <w:sz w:val="20"/>
          <w:szCs w:val="20"/>
        </w:rPr>
      </w:pPr>
      <w:r w:rsidRPr="00637BCD">
        <w:rPr>
          <w:rFonts w:ascii="PT Serif" w:hAnsi="PT Serif" w:cs="PT Serif"/>
          <w:b w:val="0"/>
          <w:i w:val="0"/>
          <w:sz w:val="20"/>
          <w:szCs w:val="20"/>
        </w:rPr>
        <w:t>2º. No corresponde al TC, por lo tanto, analizar la eventual contradicción entre un tratado y una norma interna. Es un problema de selección del Derecho aplicable, que entendemos que debe resolver la Jurisdicción ordinaria, en la medida en que se deja fuera de las competencias de la jurisdicción constitucional. Así, el TC afirma:</w:t>
      </w:r>
    </w:p>
    <w:p w14:paraId="65CEC72C" w14:textId="77777777" w:rsidR="00637BCD" w:rsidRDefault="00637BCD" w:rsidP="00637BCD">
      <w:pPr>
        <w:spacing w:after="0" w:line="240" w:lineRule="auto"/>
        <w:ind w:left="567" w:right="567" w:firstLine="709"/>
        <w:jc w:val="both"/>
        <w:rPr>
          <w:rFonts w:ascii="PT Serif" w:hAnsi="PT Serif"/>
          <w:sz w:val="20"/>
          <w:szCs w:val="20"/>
        </w:rPr>
      </w:pPr>
    </w:p>
    <w:p w14:paraId="5262C72B" w14:textId="534396B3" w:rsidR="00637BCD" w:rsidRDefault="00CA7689" w:rsidP="00637BCD">
      <w:pPr>
        <w:spacing w:after="120" w:line="264" w:lineRule="auto"/>
        <w:ind w:left="567" w:right="567" w:firstLine="0"/>
        <w:jc w:val="both"/>
        <w:rPr>
          <w:rFonts w:ascii="PT Serif" w:hAnsi="PT Serif"/>
          <w:sz w:val="20"/>
          <w:szCs w:val="20"/>
        </w:rPr>
      </w:pPr>
      <w:r w:rsidRPr="00CA7689">
        <w:rPr>
          <w:rFonts w:ascii="PT Serif" w:hAnsi="PT Serif" w:cs="PT Serif"/>
          <w:b w:val="0"/>
          <w:i w:val="0"/>
          <w:sz w:val="20"/>
          <w:szCs w:val="20"/>
        </w:rPr>
        <w:t>«</w:t>
      </w:r>
      <w:r w:rsidR="00637BCD" w:rsidRPr="00637BCD">
        <w:rPr>
          <w:rFonts w:ascii="PT Serif" w:hAnsi="PT Serif" w:cs="PT Serif"/>
          <w:b w:val="0"/>
          <w:i w:val="0"/>
          <w:sz w:val="20"/>
          <w:szCs w:val="20"/>
        </w:rPr>
        <w:t>(…) la supuesta contradicción de los tratados por las leyes o por otras disposiciones normativas posteriores no es cuestión que afecte a la constitucionalidad de éstas y que, por tanto, deba ser resuelto por el Tribunal Constitucional (</w:t>
      </w:r>
      <w:hyperlink r:id="rId16" w:history="1">
        <w:r w:rsidR="00637BCD" w:rsidRPr="00637BCD">
          <w:rPr>
            <w:rFonts w:ascii="PT Serif" w:hAnsi="PT Serif"/>
          </w:rPr>
          <w:t>STC 49/1988, fundamento jurídico </w:t>
        </w:r>
      </w:hyperlink>
      <w:r w:rsidR="00637BCD" w:rsidRPr="00637BCD">
        <w:rPr>
          <w:rFonts w:ascii="PT Serif" w:hAnsi="PT Serif" w:cs="PT Serif"/>
          <w:b w:val="0"/>
          <w:i w:val="0"/>
          <w:sz w:val="20"/>
          <w:szCs w:val="20"/>
        </w:rPr>
        <w:t>14, in fine), sino que como puro problema de selección del derecho aplicable al caso concreto, su resolución corresponde a los órganos judiciales en los litigios de que conozcan— (</w:t>
      </w:r>
      <w:hyperlink r:id="rId17" w:history="1">
        <w:r w:rsidR="00637BCD" w:rsidRPr="00637BCD">
          <w:rPr>
            <w:rFonts w:ascii="PT Serif" w:hAnsi="PT Serif"/>
          </w:rPr>
          <w:t>STC 28/1991, de 14 de febrero</w:t>
        </w:r>
      </w:hyperlink>
      <w:r w:rsidR="00637BCD" w:rsidRPr="00637BCD">
        <w:rPr>
          <w:rFonts w:ascii="PT Serif" w:hAnsi="PT Serif" w:cs="PT Serif"/>
          <w:b w:val="0"/>
          <w:i w:val="0"/>
          <w:sz w:val="20"/>
          <w:szCs w:val="20"/>
        </w:rPr>
        <w:t>, FJ 5, y </w:t>
      </w:r>
      <w:hyperlink r:id="rId18" w:history="1">
        <w:r w:rsidR="00637BCD" w:rsidRPr="00637BCD">
          <w:rPr>
            <w:rFonts w:ascii="PT Serif" w:hAnsi="PT Serif"/>
          </w:rPr>
          <w:t>207/2013, de 5 de diciembre</w:t>
        </w:r>
      </w:hyperlink>
      <w:r w:rsidR="00637BCD" w:rsidRPr="00637BCD">
        <w:rPr>
          <w:rFonts w:ascii="PT Serif" w:hAnsi="PT Serif" w:cs="PT Serif"/>
          <w:b w:val="0"/>
          <w:i w:val="0"/>
          <w:sz w:val="20"/>
          <w:szCs w:val="20"/>
        </w:rPr>
        <w:t>, FJ 4). En suma,</w:t>
      </w:r>
      <w:r w:rsidR="00637BCD" w:rsidRPr="00637BCD">
        <w:rPr>
          <w:rFonts w:ascii="PT Serif" w:hAnsi="PT Serif" w:cs="PT Serif"/>
          <w:b w:val="0"/>
          <w:i w:val="0"/>
          <w:sz w:val="20"/>
          <w:szCs w:val="20"/>
        </w:rPr>
        <w:t>―</w:t>
      </w:r>
      <w:r w:rsidR="00637BCD" w:rsidRPr="00637BCD">
        <w:rPr>
          <w:rFonts w:ascii="PT Serif" w:hAnsi="PT Serif" w:cs="PT Serif"/>
          <w:b w:val="0"/>
          <w:i w:val="0"/>
          <w:sz w:val="20"/>
          <w:szCs w:val="20"/>
        </w:rPr>
        <w:t xml:space="preserve">no corresponde a este Tribunal determinar la compatibilidad o no de un precepto legal con un tratado internacional, ni </w:t>
      </w:r>
      <w:r w:rsidR="00637BCD" w:rsidRPr="00637BCD">
        <w:rPr>
          <w:rFonts w:ascii="PT Serif" w:hAnsi="PT Serif" w:cs="PT Serif"/>
          <w:b w:val="0"/>
          <w:i w:val="0"/>
          <w:sz w:val="20"/>
          <w:szCs w:val="20"/>
        </w:rPr>
        <w:t>é</w:t>
      </w:r>
      <w:r w:rsidR="00637BCD" w:rsidRPr="00637BCD">
        <w:rPr>
          <w:rFonts w:ascii="PT Serif" w:hAnsi="PT Serif" w:cs="PT Serif"/>
          <w:b w:val="0"/>
          <w:i w:val="0"/>
          <w:sz w:val="20"/>
          <w:szCs w:val="20"/>
        </w:rPr>
        <w:t>stos pueden erigirse en normas fundamentales y criterios de constitucionalidad</w:t>
      </w:r>
      <w:r w:rsidR="00637BCD" w:rsidRPr="00637BCD">
        <w:rPr>
          <w:rFonts w:ascii="PT Serif" w:hAnsi="PT Serif" w:cs="PT Serif"/>
          <w:b w:val="0"/>
          <w:i w:val="0"/>
          <w:sz w:val="20"/>
          <w:szCs w:val="20"/>
        </w:rPr>
        <w:t>—</w:t>
      </w:r>
      <w:r w:rsidR="00637BCD" w:rsidRPr="00637BCD">
        <w:rPr>
          <w:rFonts w:ascii="PT Serif" w:hAnsi="PT Serif" w:cs="PT Serif"/>
          <w:b w:val="0"/>
          <w:i w:val="0"/>
          <w:sz w:val="20"/>
          <w:szCs w:val="20"/>
        </w:rPr>
        <w:t xml:space="preserve"> (</w:t>
      </w:r>
      <w:hyperlink r:id="rId19" w:history="1">
        <w:r w:rsidR="00637BCD" w:rsidRPr="00637BCD">
          <w:rPr>
            <w:rFonts w:ascii="PT Serif" w:hAnsi="PT Serif"/>
          </w:rPr>
          <w:t>STC 142/1993, de 22 de abril</w:t>
        </w:r>
      </w:hyperlink>
      <w:r w:rsidR="00637BCD" w:rsidRPr="00637BCD">
        <w:rPr>
          <w:rFonts w:ascii="PT Serif" w:hAnsi="PT Serif" w:cs="PT Serif"/>
          <w:b w:val="0"/>
          <w:i w:val="0"/>
          <w:sz w:val="20"/>
          <w:szCs w:val="20"/>
        </w:rPr>
        <w:t>, FJ 3)</w:t>
      </w:r>
      <w:r w:rsidRPr="00CA7689">
        <w:rPr>
          <w:rFonts w:ascii="PT Serif" w:hAnsi="PT Serif" w:cs="PT Serif"/>
          <w:b w:val="0"/>
          <w:i w:val="0"/>
          <w:sz w:val="20"/>
          <w:szCs w:val="20"/>
        </w:rPr>
        <w:t>»</w:t>
      </w:r>
      <w:r w:rsidR="00637BCD" w:rsidRPr="00637BCD">
        <w:rPr>
          <w:rFonts w:ascii="PT Serif" w:hAnsi="PT Serif" w:cs="PT Serif"/>
          <w:b w:val="0"/>
          <w:i w:val="0"/>
          <w:sz w:val="20"/>
          <w:szCs w:val="20"/>
        </w:rPr>
        <w:t>.</w:t>
      </w:r>
    </w:p>
    <w:p w14:paraId="1615959B" w14:textId="77777777" w:rsidR="00637BCD" w:rsidRDefault="00637BCD" w:rsidP="00637BCD">
      <w:pPr>
        <w:spacing w:after="0" w:line="240" w:lineRule="auto"/>
        <w:jc w:val="both"/>
        <w:rPr>
          <w:rFonts w:ascii="PT Serif" w:hAnsi="PT Serif"/>
          <w:sz w:val="20"/>
          <w:szCs w:val="20"/>
        </w:rPr>
      </w:pPr>
    </w:p>
    <w:p w14:paraId="327FABD1" w14:textId="7128005F" w:rsidR="00637BCD" w:rsidRDefault="00637BCD" w:rsidP="00637BCD">
      <w:pPr>
        <w:spacing w:after="120" w:line="264" w:lineRule="auto"/>
        <w:ind w:left="284" w:firstLine="0"/>
        <w:jc w:val="both"/>
        <w:rPr>
          <w:rFonts w:ascii="PT Serif" w:hAnsi="PT Serif"/>
          <w:sz w:val="20"/>
          <w:szCs w:val="20"/>
        </w:rPr>
      </w:pPr>
      <w:r w:rsidRPr="00637BCD">
        <w:rPr>
          <w:rFonts w:ascii="PT Serif" w:hAnsi="PT Serif" w:cs="PT Serif"/>
          <w:b w:val="0"/>
          <w:i w:val="0"/>
          <w:sz w:val="20"/>
          <w:szCs w:val="20"/>
        </w:rPr>
        <w:t xml:space="preserve">3º. Al no integrar los tratados internacionales el bloque de </w:t>
      </w:r>
      <w:r w:rsidR="00525009" w:rsidRPr="00637BCD">
        <w:rPr>
          <w:rFonts w:ascii="PT Serif" w:hAnsi="PT Serif" w:cs="PT Serif"/>
          <w:b w:val="0"/>
          <w:i w:val="0"/>
          <w:sz w:val="20"/>
          <w:szCs w:val="20"/>
        </w:rPr>
        <w:t>constitucionalidad</w:t>
      </w:r>
      <w:r w:rsidRPr="00637BCD">
        <w:rPr>
          <w:rFonts w:ascii="PT Serif" w:hAnsi="PT Serif" w:cs="PT Serif"/>
          <w:b w:val="0"/>
          <w:i w:val="0"/>
          <w:sz w:val="20"/>
          <w:szCs w:val="20"/>
        </w:rPr>
        <w:t xml:space="preserve"> no puede sostenerse que una eventual contradicción en el ordenamiento interno con un tratado, vulnere el principio de jerarquía normativa:</w:t>
      </w:r>
    </w:p>
    <w:p w14:paraId="3E3C1C7A" w14:textId="77777777" w:rsidR="00637BCD" w:rsidRPr="00637BCD" w:rsidRDefault="00637BCD" w:rsidP="00637BCD">
      <w:pPr>
        <w:spacing w:after="0" w:line="240" w:lineRule="auto"/>
        <w:jc w:val="both"/>
        <w:rPr>
          <w:rFonts w:ascii="PT Serif" w:hAnsi="PT Serif"/>
          <w:sz w:val="20"/>
          <w:szCs w:val="20"/>
        </w:rPr>
      </w:pPr>
    </w:p>
    <w:p w14:paraId="66EF39AE" w14:textId="4DE7890B" w:rsidR="00637BCD" w:rsidRDefault="00BD6FA2" w:rsidP="00637BCD">
      <w:pPr>
        <w:spacing w:after="120" w:line="264" w:lineRule="auto"/>
        <w:ind w:left="567" w:right="567" w:firstLine="0"/>
        <w:jc w:val="both"/>
        <w:rPr>
          <w:rFonts w:ascii="PT Serif" w:hAnsi="PT Serif"/>
          <w:sz w:val="20"/>
          <w:szCs w:val="20"/>
        </w:rPr>
      </w:pPr>
      <w:r w:rsidRPr="00BD6FA2">
        <w:rPr>
          <w:rFonts w:ascii="PT Serif" w:hAnsi="PT Serif" w:cs="PT Serif"/>
          <w:b w:val="0"/>
          <w:i w:val="0"/>
          <w:sz w:val="20"/>
          <w:szCs w:val="20"/>
        </w:rPr>
        <w:t>«</w:t>
      </w:r>
      <w:r w:rsidR="00637BCD" w:rsidRPr="00637BCD">
        <w:rPr>
          <w:rFonts w:ascii="PT Serif" w:hAnsi="PT Serif" w:cs="PT Serif"/>
          <w:b w:val="0"/>
          <w:i w:val="0"/>
          <w:sz w:val="20"/>
          <w:szCs w:val="20"/>
        </w:rPr>
        <w:t xml:space="preserve">En ese sentido tampoco la incorporación de un tratado al ordenamiento jurídico interno, tras su ratificación y publicación oficial, determina -como pretenden los recurrentes-, la supuesta vulneración del principio de jerarquía normativa, puesto que la </w:t>
      </w:r>
      <w:r w:rsidR="00637BCD" w:rsidRPr="00637BCD">
        <w:rPr>
          <w:rFonts w:ascii="PT Serif" w:hAnsi="PT Serif" w:cs="PT Serif"/>
          <w:b w:val="0"/>
          <w:i w:val="0"/>
          <w:sz w:val="20"/>
          <w:szCs w:val="20"/>
        </w:rPr>
        <w:t>―</w:t>
      </w:r>
      <w:r w:rsidR="00637BCD" w:rsidRPr="00637BCD">
        <w:rPr>
          <w:rFonts w:ascii="PT Serif" w:hAnsi="PT Serif" w:cs="PT Serif"/>
          <w:b w:val="0"/>
          <w:i w:val="0"/>
          <w:sz w:val="20"/>
          <w:szCs w:val="20"/>
        </w:rPr>
        <w:t>garant</w:t>
      </w:r>
      <w:r w:rsidR="00637BCD" w:rsidRPr="00637BCD">
        <w:rPr>
          <w:rFonts w:ascii="PT Serif" w:hAnsi="PT Serif" w:cs="PT Serif"/>
          <w:b w:val="0"/>
          <w:i w:val="0"/>
          <w:sz w:val="20"/>
          <w:szCs w:val="20"/>
        </w:rPr>
        <w:t>í</w:t>
      </w:r>
      <w:r w:rsidR="00637BCD" w:rsidRPr="00637BCD">
        <w:rPr>
          <w:rFonts w:ascii="PT Serif" w:hAnsi="PT Serif" w:cs="PT Serif"/>
          <w:b w:val="0"/>
          <w:i w:val="0"/>
          <w:sz w:val="20"/>
          <w:szCs w:val="20"/>
        </w:rPr>
        <w:t>a de la jerarqu</w:t>
      </w:r>
      <w:r w:rsidR="00637BCD" w:rsidRPr="00637BCD">
        <w:rPr>
          <w:rFonts w:ascii="PT Serif" w:hAnsi="PT Serif" w:cs="PT Serif"/>
          <w:b w:val="0"/>
          <w:i w:val="0"/>
          <w:sz w:val="20"/>
          <w:szCs w:val="20"/>
        </w:rPr>
        <w:t>í</w:t>
      </w:r>
      <w:r w:rsidR="00637BCD" w:rsidRPr="00637BCD">
        <w:rPr>
          <w:rFonts w:ascii="PT Serif" w:hAnsi="PT Serif" w:cs="PT Serif"/>
          <w:b w:val="0"/>
          <w:i w:val="0"/>
          <w:sz w:val="20"/>
          <w:szCs w:val="20"/>
        </w:rPr>
        <w:t>a normativa proscribe que una norma de rango inferior contravenga lo dispuesto en una de rango superior. Sin embargo, si el criterio de enjuiciamiento en un proceso de constitucionalidad viene proporcionado por la Constituci</w:t>
      </w:r>
      <w:r w:rsidR="00637BCD" w:rsidRPr="00637BCD">
        <w:rPr>
          <w:rFonts w:ascii="PT Serif" w:hAnsi="PT Serif" w:cs="PT Serif"/>
          <w:b w:val="0"/>
          <w:i w:val="0"/>
          <w:sz w:val="20"/>
          <w:szCs w:val="20"/>
        </w:rPr>
        <w:t>ó</w:t>
      </w:r>
      <w:r w:rsidR="00637BCD" w:rsidRPr="00637BCD">
        <w:rPr>
          <w:rFonts w:ascii="PT Serif" w:hAnsi="PT Serif" w:cs="PT Serif"/>
          <w:b w:val="0"/>
          <w:i w:val="0"/>
          <w:sz w:val="20"/>
          <w:szCs w:val="20"/>
        </w:rPr>
        <w:t>n y, eventualmente, por las normas que integran el bloque de constitucionalidad, dado que, por definición, en todo recurso de inconstitucionalidad subyace un problema de jerarquía normativa, resulta que tal jerarquía no es un canon idóneo para esta labor. La apreciación de contradicción entre un texto legal y la Constitución no entraña una mera transgresión por norma de rango inferior de lo establecido en otra de rango superior, sino pura y simplemente, la inconstitucionalidad de la norma con rango de ley— ( </w:t>
      </w:r>
      <w:hyperlink r:id="rId20" w:history="1">
        <w:r w:rsidR="00637BCD" w:rsidRPr="00637BCD">
          <w:rPr>
            <w:rFonts w:ascii="PT Serif" w:hAnsi="PT Serif"/>
          </w:rPr>
          <w:t>SSTC 91/1998, de 23 de abril</w:t>
        </w:r>
      </w:hyperlink>
      <w:r w:rsidR="00637BCD" w:rsidRPr="00637BCD">
        <w:rPr>
          <w:rFonts w:ascii="PT Serif" w:hAnsi="PT Serif" w:cs="PT Serif"/>
          <w:b w:val="0"/>
          <w:i w:val="0"/>
          <w:sz w:val="20"/>
          <w:szCs w:val="20"/>
        </w:rPr>
        <w:t>, FJ 2 y  </w:t>
      </w:r>
      <w:hyperlink r:id="rId21" w:history="1">
        <w:r w:rsidR="00637BCD" w:rsidRPr="00637BCD">
          <w:rPr>
            <w:rFonts w:ascii="PT Serif" w:hAnsi="PT Serif"/>
          </w:rPr>
          <w:t>198/2012, de 26 de noviembre</w:t>
        </w:r>
      </w:hyperlink>
      <w:r w:rsidR="00637BCD" w:rsidRPr="00637BCD">
        <w:rPr>
          <w:rFonts w:ascii="PT Serif" w:hAnsi="PT Serif" w:cs="PT Serif"/>
          <w:b w:val="0"/>
          <w:i w:val="0"/>
          <w:sz w:val="20"/>
          <w:szCs w:val="20"/>
        </w:rPr>
        <w:t>, FJ 2.a)</w:t>
      </w:r>
      <w:r w:rsidRPr="00BD6FA2">
        <w:rPr>
          <w:rFonts w:ascii="PT Serif" w:hAnsi="PT Serif" w:cs="PT Serif"/>
          <w:b w:val="0"/>
          <w:i w:val="0"/>
          <w:sz w:val="20"/>
          <w:szCs w:val="20"/>
        </w:rPr>
        <w:t>»</w:t>
      </w:r>
      <w:r w:rsidR="00637BCD" w:rsidRPr="00637BCD">
        <w:rPr>
          <w:rFonts w:ascii="PT Serif" w:hAnsi="PT Serif" w:cs="PT Serif"/>
          <w:b w:val="0"/>
          <w:i w:val="0"/>
          <w:sz w:val="20"/>
          <w:szCs w:val="20"/>
        </w:rPr>
        <w:t>.</w:t>
      </w:r>
    </w:p>
    <w:p w14:paraId="782227A7" w14:textId="77777777" w:rsidR="00637BCD" w:rsidRDefault="00637BCD" w:rsidP="00637BCD">
      <w:pPr>
        <w:spacing w:after="0" w:line="240" w:lineRule="auto"/>
        <w:jc w:val="both"/>
        <w:rPr>
          <w:rFonts w:ascii="PT Serif" w:hAnsi="PT Serif"/>
          <w:sz w:val="20"/>
          <w:szCs w:val="20"/>
        </w:rPr>
      </w:pPr>
    </w:p>
    <w:p w14:paraId="4B5E91DB" w14:textId="77777777" w:rsidR="00136119"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lastRenderedPageBreak/>
        <w:t xml:space="preserve">La aplicación de estos presupuestos </w:t>
      </w:r>
      <w:r w:rsidR="00525009" w:rsidRPr="00637BCD">
        <w:rPr>
          <w:rFonts w:ascii="PT Serif" w:hAnsi="PT Serif" w:cs="PT Serif"/>
          <w:b w:val="0"/>
          <w:i w:val="0"/>
          <w:sz w:val="20"/>
          <w:szCs w:val="20"/>
        </w:rPr>
        <w:t>lleva</w:t>
      </w:r>
      <w:r w:rsidRPr="00637BCD">
        <w:rPr>
          <w:rFonts w:ascii="PT Serif" w:hAnsi="PT Serif" w:cs="PT Serif"/>
          <w:b w:val="0"/>
          <w:i w:val="0"/>
          <w:sz w:val="20"/>
          <w:szCs w:val="20"/>
        </w:rPr>
        <w:t xml:space="preserve"> al TC a concluir que no se produce la infracción constitucional denunciada en el Real Decreto-ley</w:t>
      </w:r>
      <w:r w:rsidRPr="00637BCD">
        <w:rPr>
          <w:rFonts w:ascii="PT Serif" w:hAnsi="PT Serif" w:cs="PT Serif"/>
          <w:b w:val="0"/>
          <w:i w:val="0"/>
          <w:sz w:val="20"/>
        </w:rPr>
        <w:footnoteReference w:id="27"/>
      </w:r>
      <w:r w:rsidRPr="00637BCD">
        <w:rPr>
          <w:rFonts w:ascii="PT Serif" w:hAnsi="PT Serif" w:cs="PT Serif"/>
          <w:b w:val="0"/>
          <w:i w:val="0"/>
          <w:sz w:val="20"/>
          <w:szCs w:val="20"/>
        </w:rPr>
        <w:t xml:space="preserve">. </w:t>
      </w:r>
    </w:p>
    <w:p w14:paraId="376EA5B2" w14:textId="00436EBF" w:rsidR="00637BCD" w:rsidRPr="00637BCD" w:rsidRDefault="00136119" w:rsidP="00637BCD">
      <w:pPr>
        <w:spacing w:after="120" w:line="264" w:lineRule="auto"/>
        <w:ind w:firstLine="0"/>
        <w:jc w:val="both"/>
        <w:rPr>
          <w:rFonts w:ascii="PT Serif" w:hAnsi="PT Serif"/>
          <w:sz w:val="20"/>
          <w:szCs w:val="20"/>
        </w:rPr>
      </w:pPr>
      <w:r>
        <w:rPr>
          <w:rFonts w:ascii="PT Serif" w:hAnsi="PT Serif" w:cs="PT Serif"/>
          <w:b w:val="0"/>
          <w:i w:val="0"/>
          <w:sz w:val="20"/>
          <w:szCs w:val="20"/>
        </w:rPr>
        <w:t xml:space="preserve">Queremos destacar que </w:t>
      </w:r>
      <w:r w:rsidR="00637BCD" w:rsidRPr="00637BCD">
        <w:rPr>
          <w:rFonts w:ascii="PT Serif" w:hAnsi="PT Serif" w:cs="PT Serif"/>
          <w:b w:val="0"/>
          <w:i w:val="0"/>
          <w:sz w:val="20"/>
          <w:szCs w:val="20"/>
        </w:rPr>
        <w:t xml:space="preserve">el TC no utiliza la expresión “control de convencionalidad”, </w:t>
      </w:r>
      <w:r w:rsidR="004F7245">
        <w:rPr>
          <w:rFonts w:ascii="PT Serif" w:hAnsi="PT Serif" w:cs="PT Serif"/>
          <w:b w:val="0"/>
          <w:i w:val="0"/>
          <w:sz w:val="20"/>
          <w:szCs w:val="20"/>
        </w:rPr>
        <w:t xml:space="preserve">en los FFJJ de la sentencia. Sin embargo, </w:t>
      </w:r>
      <w:r w:rsidR="00637BCD" w:rsidRPr="00637BCD">
        <w:rPr>
          <w:rFonts w:ascii="PT Serif" w:hAnsi="PT Serif" w:cs="PT Serif"/>
          <w:b w:val="0"/>
          <w:i w:val="0"/>
          <w:sz w:val="20"/>
          <w:szCs w:val="20"/>
        </w:rPr>
        <w:t xml:space="preserve">en el voto concurrente que formula el magistrado D. J.A. Xiol Ríos, al que se adhieren la magistrada Dña. A. Asua Batarrita y el magistrado D. F. Valdés Dal-Ré, expresamente se utiliza dicha expresión. En </w:t>
      </w:r>
      <w:r w:rsidR="004F7245">
        <w:rPr>
          <w:rFonts w:ascii="PT Serif" w:hAnsi="PT Serif" w:cs="PT Serif"/>
          <w:b w:val="0"/>
          <w:i w:val="0"/>
          <w:sz w:val="20"/>
          <w:szCs w:val="20"/>
        </w:rPr>
        <w:t xml:space="preserve">su </w:t>
      </w:r>
      <w:r w:rsidR="00637BCD" w:rsidRPr="00637BCD">
        <w:rPr>
          <w:rFonts w:ascii="PT Serif" w:hAnsi="PT Serif" w:cs="PT Serif"/>
          <w:b w:val="0"/>
          <w:i w:val="0"/>
          <w:sz w:val="20"/>
          <w:szCs w:val="20"/>
        </w:rPr>
        <w:t>primera parte</w:t>
      </w:r>
      <w:r w:rsidR="004F7245">
        <w:rPr>
          <w:rFonts w:ascii="PT Serif" w:hAnsi="PT Serif" w:cs="PT Serif"/>
          <w:b w:val="0"/>
          <w:i w:val="0"/>
          <w:sz w:val="20"/>
          <w:szCs w:val="20"/>
        </w:rPr>
        <w:t xml:space="preserve"> </w:t>
      </w:r>
      <w:r w:rsidR="00637BCD" w:rsidRPr="00637BCD">
        <w:rPr>
          <w:rFonts w:ascii="PT Serif" w:hAnsi="PT Serif" w:cs="PT Serif"/>
          <w:b w:val="0"/>
          <w:i w:val="0"/>
          <w:sz w:val="20"/>
          <w:szCs w:val="20"/>
        </w:rPr>
        <w:t xml:space="preserve">se desarrollan los aspectos relacionados con </w:t>
      </w:r>
      <w:r w:rsidR="00996CC0" w:rsidRPr="00BD6FA2">
        <w:rPr>
          <w:rFonts w:ascii="PT Serif" w:hAnsi="PT Serif" w:cs="PT Serif"/>
          <w:b w:val="0"/>
          <w:i w:val="0"/>
          <w:sz w:val="20"/>
          <w:szCs w:val="20"/>
        </w:rPr>
        <w:t>«</w:t>
      </w:r>
      <w:r w:rsidR="00637BCD" w:rsidRPr="00637BCD">
        <w:rPr>
          <w:rFonts w:ascii="PT Serif" w:hAnsi="PT Serif" w:cs="PT Serif"/>
          <w:b w:val="0"/>
          <w:i w:val="0"/>
          <w:sz w:val="20"/>
          <w:szCs w:val="20"/>
        </w:rPr>
        <w:t>el control abstracto de convencionalidad de normas con rango legal</w:t>
      </w:r>
      <w:r w:rsidR="00996CC0" w:rsidRPr="00996CC0">
        <w:rPr>
          <w:rFonts w:ascii="PT Serif" w:hAnsi="PT Serif" w:cs="PT Serif"/>
          <w:b w:val="0"/>
          <w:i w:val="0"/>
          <w:sz w:val="20"/>
          <w:szCs w:val="20"/>
        </w:rPr>
        <w:t>»</w:t>
      </w:r>
      <w:r w:rsidR="00637BCD" w:rsidRPr="00637BCD">
        <w:rPr>
          <w:rFonts w:ascii="PT Serif" w:hAnsi="PT Serif" w:cs="PT Serif"/>
          <w:b w:val="0"/>
          <w:i w:val="0"/>
          <w:sz w:val="20"/>
          <w:szCs w:val="20"/>
        </w:rPr>
        <w:t>.</w:t>
      </w:r>
    </w:p>
    <w:p w14:paraId="319000AF" w14:textId="77777777" w:rsidR="00637BCD" w:rsidRDefault="00637BCD" w:rsidP="00637BCD">
      <w:pPr>
        <w:spacing w:after="0" w:line="240" w:lineRule="auto"/>
        <w:jc w:val="both"/>
        <w:rPr>
          <w:rFonts w:ascii="PT Serif" w:hAnsi="PT Serif"/>
          <w:sz w:val="20"/>
          <w:szCs w:val="20"/>
        </w:rPr>
      </w:pPr>
    </w:p>
    <w:p w14:paraId="2AD76334" w14:textId="370A049D" w:rsidR="00637BCD"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Del contenido de dicho voto, queremos destacar que los magistrados firmantes subrayan que es preciso que, en un futuro, el TC se pronuncie de manera más fundamentada en torno al control de convencionalidad</w:t>
      </w:r>
      <w:r w:rsidR="00525009">
        <w:rPr>
          <w:rFonts w:ascii="PT Serif" w:hAnsi="PT Serif" w:cs="PT Serif"/>
          <w:b w:val="0"/>
          <w:i w:val="0"/>
          <w:sz w:val="20"/>
          <w:szCs w:val="20"/>
        </w:rPr>
        <w:t>, que ellos consideran que debería ser abstracto y no difuso</w:t>
      </w:r>
      <w:r w:rsidRPr="00637BCD">
        <w:rPr>
          <w:rFonts w:ascii="PT Serif" w:hAnsi="PT Serif" w:cs="PT Serif"/>
          <w:b w:val="0"/>
          <w:i w:val="0"/>
          <w:sz w:val="20"/>
          <w:szCs w:val="20"/>
        </w:rPr>
        <w:t>. Así afirman:</w:t>
      </w:r>
    </w:p>
    <w:p w14:paraId="7BC9A25D" w14:textId="77777777" w:rsidR="00637BCD" w:rsidRPr="00637BCD" w:rsidRDefault="00637BCD" w:rsidP="00637BCD">
      <w:pPr>
        <w:spacing w:after="0" w:line="240" w:lineRule="auto"/>
        <w:jc w:val="both"/>
        <w:rPr>
          <w:rFonts w:ascii="PT Serif" w:hAnsi="PT Serif"/>
          <w:sz w:val="20"/>
          <w:szCs w:val="20"/>
        </w:rPr>
      </w:pPr>
    </w:p>
    <w:p w14:paraId="08B410B7" w14:textId="7EF1ED68" w:rsidR="00996CC0" w:rsidRDefault="00996CC0" w:rsidP="00996CC0">
      <w:pPr>
        <w:spacing w:after="120" w:line="264" w:lineRule="auto"/>
        <w:ind w:left="567" w:right="567" w:firstLine="0"/>
        <w:jc w:val="both"/>
        <w:rPr>
          <w:rFonts w:ascii="PT Serif" w:hAnsi="PT Serif"/>
          <w:sz w:val="20"/>
          <w:szCs w:val="20"/>
        </w:rPr>
      </w:pPr>
      <w:r w:rsidRPr="00BD6FA2">
        <w:rPr>
          <w:rFonts w:ascii="PT Serif" w:hAnsi="PT Serif" w:cs="PT Serif"/>
          <w:b w:val="0"/>
          <w:i w:val="0"/>
          <w:sz w:val="20"/>
          <w:szCs w:val="20"/>
        </w:rPr>
        <w:t>«</w:t>
      </w:r>
      <w:r w:rsidR="00637BCD" w:rsidRPr="00637BCD">
        <w:rPr>
          <w:rFonts w:ascii="PT Serif" w:hAnsi="PT Serif" w:cs="PT Serif"/>
          <w:b w:val="0"/>
          <w:i w:val="0"/>
          <w:sz w:val="20"/>
          <w:szCs w:val="20"/>
        </w:rPr>
        <w:t>La respuesta aportada por la opinión mayoritaria de mis compañeros de Pleno en la que se sustenta la sentencia es doble, argumentándose que (i) es jurisprudencia constitucional reiterada que los tratados internacionales no constituyen por sí mismos parámetro de contraste para valorar la posible inconstitucionalidad de las leyes, ya que no es una cuestión que afecte a la constitucionalidad de estas, sino un mero problema de selección del derecho aplicable al caso concreto cuya resolución corresponde a los órganos judiciales; y (ii) tampoco la eventual contradicción de una ley con un tratado internacional determina una supuesta vulneración del principio de jerarquía normativa que corresponda resolver a la jurisdicción constitucional, que queda limitada a los casos en que una norma con rango legal resulte contradictoria con la Constitución</w:t>
      </w:r>
      <w:r>
        <w:rPr>
          <w:rFonts w:ascii="PT Serif" w:hAnsi="PT Serif" w:cs="PT Serif"/>
          <w:b w:val="0"/>
          <w:i w:val="0"/>
          <w:sz w:val="20"/>
          <w:szCs w:val="20"/>
        </w:rPr>
        <w:t>.</w:t>
      </w:r>
    </w:p>
    <w:p w14:paraId="4B62C4F4" w14:textId="77777777" w:rsidR="00996CC0" w:rsidRDefault="00996CC0" w:rsidP="00996CC0">
      <w:pPr>
        <w:spacing w:after="0" w:line="240" w:lineRule="auto"/>
        <w:ind w:left="567" w:right="567"/>
        <w:jc w:val="both"/>
        <w:rPr>
          <w:rFonts w:ascii="PT Serif" w:hAnsi="PT Serif"/>
          <w:sz w:val="20"/>
          <w:szCs w:val="20"/>
        </w:rPr>
      </w:pPr>
    </w:p>
    <w:p w14:paraId="0162FE17" w14:textId="66466A53" w:rsidR="00637BCD" w:rsidRPr="00637BCD" w:rsidRDefault="00637BCD" w:rsidP="00996CC0">
      <w:pPr>
        <w:spacing w:after="120" w:line="264" w:lineRule="auto"/>
        <w:ind w:left="567" w:right="567" w:firstLine="0"/>
        <w:jc w:val="both"/>
        <w:rPr>
          <w:rFonts w:ascii="PT Serif" w:hAnsi="PT Serif"/>
          <w:sz w:val="20"/>
          <w:szCs w:val="20"/>
        </w:rPr>
      </w:pPr>
      <w:r w:rsidRPr="00637BCD">
        <w:rPr>
          <w:rFonts w:ascii="PT Serif" w:hAnsi="PT Serif" w:cs="PT Serif"/>
          <w:b w:val="0"/>
          <w:i w:val="0"/>
          <w:sz w:val="20"/>
          <w:szCs w:val="20"/>
        </w:rPr>
        <w:t>Esta respuesta, al margen de que pueda encontrar precedentes en la jurisprudencia constitucional, creo que (i) en su primer razonamiento, no responde al planteamiento de la recurrente y (ii) en su segundo razonamiento, debería ser sometida a una reconsideración más profunda por este Tribunal para evitar determinadas situaciones paradójicas que se plantean en el ordenamiento jurídico español con el llamado control abstracto de convencionalidad de las leyes y respecto del que este Tribunal, como máximo intérprete de la Constitución, deberá pronunciarse más fundadamente en algún momento.</w:t>
      </w:r>
      <w:r w:rsidR="00996CC0" w:rsidRPr="00996CC0">
        <w:rPr>
          <w:rFonts w:ascii="PT Serif" w:hAnsi="PT Serif" w:cs="PT Serif"/>
          <w:b w:val="0"/>
          <w:i w:val="0"/>
          <w:sz w:val="20"/>
          <w:szCs w:val="20"/>
        </w:rPr>
        <w:t>»</w:t>
      </w:r>
    </w:p>
    <w:p w14:paraId="66705B0B" w14:textId="77777777" w:rsidR="00637BCD" w:rsidRDefault="00637BCD" w:rsidP="00637BCD">
      <w:pPr>
        <w:spacing w:after="0" w:line="240" w:lineRule="auto"/>
        <w:jc w:val="both"/>
        <w:rPr>
          <w:rFonts w:ascii="PT Serif" w:hAnsi="PT Serif"/>
          <w:sz w:val="20"/>
          <w:szCs w:val="20"/>
        </w:rPr>
      </w:pPr>
    </w:p>
    <w:p w14:paraId="4DBA6E9A" w14:textId="4E852F31" w:rsidR="00637BCD"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A su vez, sostienen que en dicha construcción jurisprudencial el TC debería replantearse el hecho de que la jurisdicción constitucional no realice dicho control, ya que los tratados internacionales tienen reconocimiento constitucional como fuente del ordenamiento jurídico. Así, afirman:</w:t>
      </w:r>
    </w:p>
    <w:p w14:paraId="71F5DFEA" w14:textId="77777777" w:rsidR="00637BCD" w:rsidRPr="00637BCD" w:rsidRDefault="00637BCD" w:rsidP="00637BCD">
      <w:pPr>
        <w:spacing w:after="0" w:line="240" w:lineRule="auto"/>
        <w:jc w:val="both"/>
        <w:rPr>
          <w:rFonts w:ascii="PT Serif" w:hAnsi="PT Serif"/>
          <w:sz w:val="20"/>
          <w:szCs w:val="20"/>
        </w:rPr>
      </w:pPr>
    </w:p>
    <w:p w14:paraId="0431F745" w14:textId="1311985B" w:rsidR="00637BCD" w:rsidRDefault="00996CC0" w:rsidP="00637BCD">
      <w:pPr>
        <w:spacing w:after="120" w:line="264" w:lineRule="auto"/>
        <w:ind w:left="567" w:right="567" w:firstLine="0"/>
        <w:jc w:val="both"/>
        <w:rPr>
          <w:rFonts w:ascii="PT Serif" w:hAnsi="PT Serif"/>
          <w:sz w:val="20"/>
          <w:szCs w:val="20"/>
        </w:rPr>
      </w:pPr>
      <w:r w:rsidRPr="00BD6FA2">
        <w:rPr>
          <w:rFonts w:ascii="PT Serif" w:hAnsi="PT Serif" w:cs="PT Serif"/>
          <w:b w:val="0"/>
          <w:i w:val="0"/>
          <w:sz w:val="20"/>
          <w:szCs w:val="20"/>
        </w:rPr>
        <w:lastRenderedPageBreak/>
        <w:t>«</w:t>
      </w:r>
      <w:r w:rsidR="00637BCD" w:rsidRPr="00637BCD">
        <w:rPr>
          <w:rFonts w:ascii="PT Serif" w:hAnsi="PT Serif" w:cs="PT Serif"/>
          <w:b w:val="0"/>
          <w:i w:val="0"/>
          <w:sz w:val="20"/>
          <w:szCs w:val="20"/>
        </w:rPr>
        <w:t>En ese contexto, tomando en cuenta que los tratados internacionales tiene</w:t>
      </w:r>
      <w:r w:rsidR="004F7245">
        <w:rPr>
          <w:rFonts w:ascii="PT Serif" w:hAnsi="PT Serif" w:cs="PT Serif"/>
          <w:b w:val="0"/>
          <w:i w:val="0"/>
          <w:sz w:val="20"/>
          <w:szCs w:val="20"/>
        </w:rPr>
        <w:t>n</w:t>
      </w:r>
      <w:r w:rsidR="00637BCD" w:rsidRPr="00637BCD">
        <w:rPr>
          <w:rFonts w:ascii="PT Serif" w:hAnsi="PT Serif" w:cs="PT Serif"/>
          <w:b w:val="0"/>
          <w:i w:val="0"/>
          <w:sz w:val="20"/>
          <w:szCs w:val="20"/>
        </w:rPr>
        <w:t xml:space="preserve"> un reconocimiento constitucional como fuente del ordenamiento interno español (art. 96.1  </w:t>
      </w:r>
      <w:hyperlink r:id="rId22" w:history="1">
        <w:r w:rsidR="00637BCD" w:rsidRPr="00637BCD">
          <w:rPr>
            <w:rFonts w:ascii="PT Serif" w:hAnsi="PT Serif"/>
          </w:rPr>
          <w:t>CE</w:t>
        </w:r>
      </w:hyperlink>
      <w:r w:rsidR="00637BCD" w:rsidRPr="00637BCD">
        <w:rPr>
          <w:rFonts w:ascii="PT Serif" w:hAnsi="PT Serif" w:cs="PT Serif"/>
          <w:b w:val="0"/>
          <w:i w:val="0"/>
          <w:sz w:val="20"/>
          <w:szCs w:val="20"/>
        </w:rPr>
        <w:t>), aun con un peculiar encaje; y son normas susceptibles de un control de constitucionalidad directo [art. 27.2.c)  </w:t>
      </w:r>
      <w:hyperlink r:id="rId23" w:history="1">
        <w:r w:rsidR="00637BCD" w:rsidRPr="00637BCD">
          <w:rPr>
            <w:rFonts w:ascii="PT Serif" w:hAnsi="PT Serif"/>
          </w:rPr>
          <w:t>LOTC</w:t>
        </w:r>
      </w:hyperlink>
      <w:r w:rsidR="00637BCD" w:rsidRPr="00637BCD">
        <w:rPr>
          <w:rFonts w:ascii="PT Serif" w:hAnsi="PT Serif" w:cs="PT Serif"/>
          <w:b w:val="0"/>
          <w:i w:val="0"/>
          <w:sz w:val="20"/>
          <w:szCs w:val="20"/>
        </w:rPr>
        <w:t>, la jurisprudencia constitucional debería, a mi juicio, replantearse los problemas derivados de la negativa a que sea la jurisdicción constitucional la que desarrolle el control abstracto de convencionalidad a través de una construcción semejante a la del control [mediato] de constitucionalidad por la vía de los artículos 9.1 o 96 CE.</w:t>
      </w:r>
    </w:p>
    <w:p w14:paraId="5D4132F2" w14:textId="77777777" w:rsidR="00637BCD" w:rsidRPr="00637BCD" w:rsidRDefault="00637BCD" w:rsidP="00637BCD">
      <w:pPr>
        <w:spacing w:after="0" w:line="240" w:lineRule="auto"/>
        <w:ind w:left="567" w:right="567"/>
        <w:jc w:val="both"/>
        <w:rPr>
          <w:rFonts w:ascii="PT Serif" w:hAnsi="PT Serif"/>
          <w:sz w:val="20"/>
          <w:szCs w:val="20"/>
        </w:rPr>
      </w:pPr>
    </w:p>
    <w:p w14:paraId="0BE7D189" w14:textId="7E8BA96A" w:rsidR="00637BCD" w:rsidRDefault="00637BCD" w:rsidP="00637BCD">
      <w:pPr>
        <w:spacing w:after="120" w:line="264" w:lineRule="auto"/>
        <w:ind w:left="567" w:right="567" w:firstLine="0"/>
        <w:jc w:val="both"/>
        <w:rPr>
          <w:rFonts w:ascii="PT Serif" w:hAnsi="PT Serif"/>
          <w:sz w:val="20"/>
          <w:szCs w:val="20"/>
        </w:rPr>
      </w:pPr>
      <w:r w:rsidRPr="00637BCD">
        <w:rPr>
          <w:rFonts w:ascii="PT Serif" w:hAnsi="PT Serif" w:cs="PT Serif"/>
          <w:b w:val="0"/>
          <w:i w:val="0"/>
          <w:sz w:val="20"/>
          <w:szCs w:val="20"/>
        </w:rPr>
        <w:t>La actual jurisprudencia parece que aboca a que solo se posibilite el desarrollo de ese control de convencionalidad de manera concreta por parte de los órganos judiciales cuando deba aplicarse la ley que se estime contraria a un tratado internacional a partir de considerarlo una mera cuestión de selección normativa, lo que, en su caso, podría ser impugnado en amparo por la vía del art. 24.1 CE en caso de arbitrariedad o irrazonabilidad. Ahora bien, no deja de resultar paradójico que en el contexto de una creciente propensión al control abstracto de normas con fundamento en razones de seguridad jurídica, el único control abstracto que quede ayuno de cualquier vía de planteamiento sea el control de convencionalidad de las normas con rango de ley que, si no puede ser ejercido por la jurisdicción ordinaria, tampoco este Tribunal está posibilitando que se ejerza a través del recurso de inconstitucionalidad o la cuestión de inconstitucionalidad por la vía de la invocación de los artículos 9.1 o 96 CE</w:t>
      </w:r>
      <w:r w:rsidR="00996CC0" w:rsidRPr="00996CC0">
        <w:rPr>
          <w:rFonts w:ascii="PT Serif" w:hAnsi="PT Serif" w:cs="PT Serif"/>
          <w:b w:val="0"/>
          <w:i w:val="0"/>
          <w:sz w:val="20"/>
          <w:szCs w:val="20"/>
        </w:rPr>
        <w:t>»</w:t>
      </w:r>
      <w:r w:rsidRPr="00637BCD">
        <w:rPr>
          <w:rFonts w:ascii="PT Serif" w:hAnsi="PT Serif" w:cs="PT Serif"/>
          <w:b w:val="0"/>
          <w:i w:val="0"/>
          <w:sz w:val="20"/>
          <w:szCs w:val="20"/>
        </w:rPr>
        <w:t>.</w:t>
      </w:r>
    </w:p>
    <w:p w14:paraId="305B2A8C" w14:textId="77777777" w:rsidR="00637BCD" w:rsidRDefault="00637BCD" w:rsidP="00637BCD">
      <w:pPr>
        <w:spacing w:after="0" w:line="240" w:lineRule="auto"/>
        <w:jc w:val="both"/>
        <w:rPr>
          <w:rFonts w:ascii="PT Serif" w:hAnsi="PT Serif"/>
          <w:sz w:val="20"/>
          <w:szCs w:val="20"/>
        </w:rPr>
      </w:pPr>
    </w:p>
    <w:p w14:paraId="575E227A" w14:textId="33BE91BC" w:rsidR="00637BCD" w:rsidRDefault="00637BCD" w:rsidP="00637BCD">
      <w:pPr>
        <w:spacing w:after="120" w:line="264" w:lineRule="auto"/>
        <w:ind w:firstLine="0"/>
        <w:jc w:val="both"/>
        <w:rPr>
          <w:rFonts w:ascii="PT Serif" w:hAnsi="PT Serif"/>
          <w:sz w:val="20"/>
          <w:szCs w:val="20"/>
        </w:rPr>
      </w:pPr>
      <w:r w:rsidRPr="00637BCD">
        <w:rPr>
          <w:rFonts w:ascii="PT Serif" w:hAnsi="PT Serif" w:cs="PT Serif"/>
          <w:b w:val="0"/>
          <w:i w:val="0"/>
          <w:sz w:val="20"/>
          <w:szCs w:val="20"/>
        </w:rPr>
        <w:t>El voto concurrente reitera que es preciso que la jurisprudencia constitucional aborde de manera definitiva los problemas que suscita el control de convencionalidad de normas de rango legal. Así se afirma:</w:t>
      </w:r>
    </w:p>
    <w:p w14:paraId="152C9D79" w14:textId="77777777" w:rsidR="00637BCD" w:rsidRPr="00637BCD" w:rsidRDefault="00637BCD" w:rsidP="00637BCD">
      <w:pPr>
        <w:spacing w:after="0" w:line="240" w:lineRule="auto"/>
        <w:jc w:val="both"/>
        <w:rPr>
          <w:rFonts w:ascii="PT Serif" w:hAnsi="PT Serif"/>
          <w:sz w:val="20"/>
          <w:szCs w:val="20"/>
        </w:rPr>
      </w:pPr>
    </w:p>
    <w:p w14:paraId="515D7484" w14:textId="00B53D7C" w:rsidR="00637BCD" w:rsidRDefault="00996CC0" w:rsidP="00996CC0">
      <w:pPr>
        <w:spacing w:after="120" w:line="264" w:lineRule="auto"/>
        <w:ind w:left="567" w:right="567" w:firstLine="0"/>
        <w:jc w:val="both"/>
        <w:rPr>
          <w:rFonts w:ascii="PT Serif" w:hAnsi="PT Serif"/>
          <w:sz w:val="20"/>
          <w:szCs w:val="20"/>
        </w:rPr>
      </w:pPr>
      <w:r w:rsidRPr="00BD6FA2">
        <w:rPr>
          <w:rFonts w:ascii="PT Serif" w:hAnsi="PT Serif" w:cs="PT Serif"/>
          <w:b w:val="0"/>
          <w:i w:val="0"/>
          <w:sz w:val="20"/>
          <w:szCs w:val="20"/>
        </w:rPr>
        <w:t>«</w:t>
      </w:r>
      <w:r w:rsidR="00637BCD" w:rsidRPr="00637BCD">
        <w:rPr>
          <w:rFonts w:ascii="PT Serif" w:hAnsi="PT Serif" w:cs="PT Serif"/>
          <w:b w:val="0"/>
          <w:i w:val="0"/>
          <w:sz w:val="20"/>
          <w:szCs w:val="20"/>
        </w:rPr>
        <w:t>Al margen de estas reflexiones y de mi convencimiento sobre la necesidad de que la jurisprudencia constitucional aborde de una manera definitiva los problemas derivados del control abstracto de convencionalidad de normas de rango legal, no creo que en el presente caso resultara relevante ni necesaria la invocación de los artículos 9.1 y 9.3 CE, en su conexión con los art. 10 y 13 de la  </w:t>
      </w:r>
      <w:hyperlink r:id="rId24" w:history="1">
        <w:r w:rsidR="00637BCD" w:rsidRPr="00637BCD">
          <w:rPr>
            <w:rFonts w:ascii="PT Serif" w:hAnsi="PT Serif"/>
          </w:rPr>
          <w:t>Carta de la Energía</w:t>
        </w:r>
      </w:hyperlink>
      <w:r w:rsidR="00637BCD" w:rsidRPr="00637BCD">
        <w:rPr>
          <w:rFonts w:ascii="PT Serif" w:hAnsi="PT Serif" w:cs="PT Serif"/>
          <w:b w:val="0"/>
          <w:i w:val="0"/>
          <w:sz w:val="20"/>
          <w:szCs w:val="20"/>
        </w:rPr>
        <w:t>, que se hace en la demanda. Más allá de otras consideraciones, el fondo de estas invocaciones plantea, en esencia, que la norma impugnada también infringe el principio de confianza legítima recogido en la mencionada Carta de la Energía, que, como tal principio, tiene un reconocimiento constitucional autónomo en el artículo 9.3 CE como una de las dimensiones del principio constitucional de seguridad jurídica. En ese sentido, no resultaría necesario un control mediato como el planteado en la demanda por la recurrente y basta una confrontación directa de la normativa impugnada con el Constitución española sin ningún tipo de intermediación</w:t>
      </w:r>
      <w:r w:rsidRPr="00996CC0">
        <w:rPr>
          <w:rFonts w:ascii="PT Serif" w:hAnsi="PT Serif" w:cs="PT Serif"/>
          <w:b w:val="0"/>
          <w:i w:val="0"/>
          <w:sz w:val="20"/>
          <w:szCs w:val="20"/>
        </w:rPr>
        <w:t>»</w:t>
      </w:r>
      <w:r w:rsidR="00637BCD" w:rsidRPr="00637BCD">
        <w:rPr>
          <w:rFonts w:ascii="PT Serif" w:hAnsi="PT Serif" w:cs="PT Serif"/>
          <w:b w:val="0"/>
          <w:i w:val="0"/>
          <w:sz w:val="20"/>
          <w:szCs w:val="20"/>
        </w:rPr>
        <w:t>.</w:t>
      </w:r>
    </w:p>
    <w:p w14:paraId="3D29AB20" w14:textId="77777777" w:rsidR="00637BCD" w:rsidRPr="00637BCD" w:rsidRDefault="00637BCD" w:rsidP="00637BCD">
      <w:pPr>
        <w:spacing w:after="0" w:line="240" w:lineRule="auto"/>
        <w:ind w:left="567" w:right="567" w:firstLine="709"/>
        <w:jc w:val="both"/>
        <w:rPr>
          <w:rFonts w:ascii="PT Serif" w:hAnsi="PT Serif"/>
          <w:sz w:val="20"/>
          <w:szCs w:val="20"/>
        </w:rPr>
      </w:pPr>
    </w:p>
    <w:p w14:paraId="3238A6B7" w14:textId="2B6B0261" w:rsidR="004F7245" w:rsidRDefault="00525009" w:rsidP="004F7245">
      <w:pPr>
        <w:spacing w:after="120" w:line="264" w:lineRule="auto"/>
        <w:ind w:firstLine="0"/>
        <w:jc w:val="both"/>
        <w:rPr>
          <w:rFonts w:ascii="PT Serif" w:hAnsi="PT Serif"/>
          <w:sz w:val="20"/>
        </w:rPr>
      </w:pPr>
      <w:r>
        <w:rPr>
          <w:rFonts w:ascii="PT Serif" w:hAnsi="PT Serif" w:cs="PT Serif"/>
          <w:b w:val="0"/>
          <w:i w:val="0"/>
          <w:sz w:val="20"/>
        </w:rPr>
        <w:t xml:space="preserve">El interés de este voto particular se pone de relieve porque evidencia la necesidad de que el TC profundice en la fijación de las coordenadas que permitan concretar cómo y quién ejerce el “control de convencionalidad”, argumentándose que </w:t>
      </w:r>
      <w:r w:rsidR="004F7245">
        <w:rPr>
          <w:rFonts w:ascii="PT Serif" w:hAnsi="PT Serif" w:cs="PT Serif"/>
          <w:b w:val="0"/>
          <w:i w:val="0"/>
          <w:sz w:val="20"/>
        </w:rPr>
        <w:t>debería admitirse un control en abstracto en manos del TC a pesar de que los tratados no integren el bloque de constitucionalidad.</w:t>
      </w:r>
    </w:p>
    <w:p w14:paraId="6F973FAC" w14:textId="77777777" w:rsidR="006A4C9E" w:rsidRDefault="006A4C9E" w:rsidP="004F7245">
      <w:pPr>
        <w:spacing w:after="0" w:line="264" w:lineRule="auto"/>
        <w:jc w:val="both"/>
        <w:rPr>
          <w:rFonts w:ascii="PT Serif" w:hAnsi="PT Serif"/>
          <w:b/>
          <w:sz w:val="20"/>
          <w:szCs w:val="20"/>
        </w:rPr>
      </w:pPr>
    </w:p>
    <w:p w14:paraId="71CA41C2" w14:textId="71CCA173" w:rsidR="00C34AA5" w:rsidRPr="004633CD" w:rsidRDefault="003C778C" w:rsidP="004633CD">
      <w:pPr>
        <w:pStyle w:val="Pargrafdellista"/>
        <w:numPr>
          <w:ilvl w:val="2"/>
          <w:numId w:val="34"/>
        </w:numPr>
        <w:spacing w:after="120" w:line="264" w:lineRule="auto"/>
        <w:ind w:left="567" w:firstLine="0"/>
        <w:jc w:val="both"/>
        <w:rPr>
          <w:rFonts w:ascii="PT Serif" w:hAnsi="PT Serif"/>
          <w:bCs/>
          <w:i/>
          <w:iCs/>
          <w:sz w:val="20"/>
          <w:szCs w:val="20"/>
        </w:rPr>
      </w:pPr>
      <w:r w:rsidRPr="004633CD">
        <w:rPr>
          <w:rFonts w:ascii="PT Serif" w:hAnsi="PT Serif" w:cs="PT Serif"/>
          <w:b w:val="0"/>
          <w:bCs/>
          <w:i/>
          <w:iCs/>
          <w:sz w:val="20"/>
          <w:szCs w:val="20"/>
        </w:rPr>
        <w:t>Fijación del carácter difuso</w:t>
      </w:r>
      <w:r w:rsidR="006618C8" w:rsidRPr="004633CD">
        <w:rPr>
          <w:rFonts w:ascii="PT Serif" w:hAnsi="PT Serif" w:cs="PT Serif"/>
          <w:b w:val="0"/>
          <w:bCs/>
          <w:i/>
          <w:iCs/>
          <w:sz w:val="20"/>
          <w:szCs w:val="20"/>
        </w:rPr>
        <w:t xml:space="preserve"> (</w:t>
      </w:r>
      <w:r w:rsidR="002C6CA8" w:rsidRPr="004633CD">
        <w:rPr>
          <w:rFonts w:ascii="PT Serif" w:hAnsi="PT Serif" w:cs="PT Serif"/>
          <w:b w:val="0"/>
          <w:bCs/>
          <w:i/>
          <w:iCs/>
          <w:sz w:val="20"/>
          <w:szCs w:val="20"/>
        </w:rPr>
        <w:t>STC 140/2018, 20 diciembre (Pleno)</w:t>
      </w:r>
    </w:p>
    <w:p w14:paraId="402D514B" w14:textId="77777777" w:rsidR="00C34AA5" w:rsidRDefault="00C34AA5" w:rsidP="00C34AA5">
      <w:pPr>
        <w:spacing w:after="0" w:line="264" w:lineRule="auto"/>
        <w:jc w:val="both"/>
        <w:rPr>
          <w:rFonts w:ascii="PT Serif" w:hAnsi="PT Serif"/>
          <w:b/>
          <w:sz w:val="20"/>
          <w:szCs w:val="20"/>
        </w:rPr>
      </w:pPr>
    </w:p>
    <w:p w14:paraId="6B0208BD" w14:textId="3090B48E" w:rsidR="00C34AA5" w:rsidRPr="00D444C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lastRenderedPageBreak/>
        <w:t>La STC 140/2018 (Pleno), 20 diciembre</w:t>
      </w:r>
      <w:r w:rsidR="001E5777">
        <w:rPr>
          <w:rStyle w:val="Refernciadenotaapeudepgina"/>
          <w:rFonts w:ascii="PT Serif" w:hAnsi="PT Serif" w:cs="PT Serif"/>
          <w:b w:val="0"/>
          <w:i w:val="0"/>
          <w:sz w:val="20"/>
          <w:lang w:eastAsia="en-US"/>
        </w:rPr>
        <w:footnoteReference w:id="28"/>
      </w:r>
      <w:r w:rsidRPr="00D444C5">
        <w:rPr>
          <w:rFonts w:ascii="PT Serif" w:hAnsi="PT Serif" w:cs="PT Serif"/>
          <w:b w:val="0"/>
          <w:i w:val="0"/>
          <w:sz w:val="20"/>
          <w:lang w:eastAsia="en-US"/>
        </w:rPr>
        <w:t>, resolvió la demanda de inconstitucionalidad contra la reforma llevada a cabo por la Ley Orgánica 1/2014, 13 marzo, de modificación de la Ley Orgánica del Poder Judicial (en adelante, “LOPJ”), relativa</w:t>
      </w:r>
      <w:r w:rsidR="00576B14">
        <w:rPr>
          <w:rFonts w:ascii="PT Serif" w:hAnsi="PT Serif" w:cs="PT Serif"/>
          <w:b w:val="0"/>
          <w:i w:val="0"/>
          <w:sz w:val="20"/>
          <w:lang w:eastAsia="en-US"/>
        </w:rPr>
        <w:t xml:space="preserve"> a</w:t>
      </w:r>
      <w:r w:rsidRPr="00D444C5">
        <w:rPr>
          <w:rFonts w:ascii="PT Serif" w:hAnsi="PT Serif" w:cs="PT Serif"/>
          <w:b w:val="0"/>
          <w:i w:val="0"/>
          <w:sz w:val="20"/>
          <w:lang w:eastAsia="en-US"/>
        </w:rPr>
        <w:t xml:space="preserve"> la jurisdicción universal</w:t>
      </w:r>
      <w:r w:rsidR="001E5777">
        <w:rPr>
          <w:rStyle w:val="Refernciadenotaapeudepgina"/>
          <w:rFonts w:ascii="PT Serif" w:hAnsi="PT Serif" w:cs="PT Serif"/>
          <w:b w:val="0"/>
          <w:i w:val="0"/>
          <w:sz w:val="20"/>
          <w:lang w:eastAsia="en-US"/>
        </w:rPr>
        <w:footnoteReference w:id="29"/>
      </w:r>
      <w:r w:rsidRPr="00D444C5">
        <w:rPr>
          <w:rFonts w:ascii="PT Serif" w:hAnsi="PT Serif" w:cs="PT Serif"/>
          <w:b w:val="0"/>
          <w:i w:val="0"/>
          <w:sz w:val="20"/>
          <w:lang w:eastAsia="en-US"/>
        </w:rPr>
        <w:t>. Consideramos que esta sentencia es clave en el marco de nuestra investigación, en la medida en que</w:t>
      </w:r>
      <w:r w:rsidR="003C778C">
        <w:rPr>
          <w:rFonts w:ascii="PT Serif" w:hAnsi="PT Serif" w:cs="PT Serif"/>
          <w:b w:val="0"/>
          <w:i w:val="0"/>
          <w:sz w:val="20"/>
          <w:lang w:eastAsia="en-US"/>
        </w:rPr>
        <w:t xml:space="preserve"> supone la madurez en torno al control de convencionalidad, consolidando la jurisprudencia precedente mayoritaria</w:t>
      </w:r>
      <w:r w:rsidR="00AC6F2B">
        <w:rPr>
          <w:rFonts w:ascii="PT Serif" w:hAnsi="PT Serif" w:cs="PT Serif"/>
          <w:b w:val="0"/>
          <w:i w:val="0"/>
          <w:sz w:val="20"/>
          <w:lang w:eastAsia="en-US"/>
        </w:rPr>
        <w:t>, fijando el</w:t>
      </w:r>
      <w:r w:rsidR="003C778C">
        <w:rPr>
          <w:rFonts w:ascii="PT Serif" w:hAnsi="PT Serif" w:cs="PT Serif"/>
          <w:b w:val="0"/>
          <w:i w:val="0"/>
          <w:sz w:val="20"/>
          <w:lang w:eastAsia="en-US"/>
        </w:rPr>
        <w:t xml:space="preserve"> sistema “difuso”</w:t>
      </w:r>
      <w:r w:rsidR="00AC6F2B">
        <w:rPr>
          <w:rFonts w:ascii="PT Serif" w:hAnsi="PT Serif" w:cs="PT Serif"/>
          <w:b w:val="0"/>
          <w:i w:val="0"/>
          <w:sz w:val="20"/>
          <w:lang w:eastAsia="en-US"/>
        </w:rPr>
        <w:t xml:space="preserve"> de control</w:t>
      </w:r>
      <w:r w:rsidR="00136119">
        <w:rPr>
          <w:rFonts w:ascii="PT Serif" w:hAnsi="PT Serif" w:cs="PT Serif"/>
          <w:b w:val="0"/>
          <w:i w:val="0"/>
          <w:sz w:val="20"/>
          <w:lang w:eastAsia="en-US"/>
        </w:rPr>
        <w:t>.</w:t>
      </w:r>
      <w:r w:rsidRPr="00D444C5">
        <w:rPr>
          <w:rFonts w:ascii="PT Serif" w:hAnsi="PT Serif" w:cs="PT Serif"/>
          <w:b w:val="0"/>
          <w:i w:val="0"/>
          <w:sz w:val="20"/>
          <w:lang w:eastAsia="en-US"/>
        </w:rPr>
        <w:t xml:space="preserve"> </w:t>
      </w:r>
    </w:p>
    <w:p w14:paraId="314B96F0" w14:textId="77777777" w:rsidR="00D444C5" w:rsidRDefault="00D444C5" w:rsidP="00D444C5">
      <w:pPr>
        <w:pStyle w:val="03Texto"/>
        <w:spacing w:before="0"/>
        <w:ind w:firstLine="0"/>
        <w:rPr>
          <w:rFonts w:ascii="PT Serif" w:eastAsiaTheme="minorHAnsi" w:hAnsi="PT Serif" w:cstheme="minorBidi"/>
          <w:sz w:val="20"/>
          <w:lang w:eastAsia="en-US"/>
        </w:rPr>
      </w:pPr>
    </w:p>
    <w:p w14:paraId="48161B05" w14:textId="1FD0CD30" w:rsidR="00C34AA5" w:rsidRPr="00D444C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Los ejercientes de la acción de inconstitucionalidad contra la reforma restrictiva de la Justicia universal en la LOPJ, entendieron que</w:t>
      </w:r>
      <w:r w:rsidR="006618C8">
        <w:rPr>
          <w:rFonts w:ascii="PT Serif" w:hAnsi="PT Serif" w:cs="PT Serif"/>
          <w:b w:val="0"/>
          <w:i w:val="0"/>
          <w:sz w:val="20"/>
          <w:lang w:eastAsia="en-US"/>
        </w:rPr>
        <w:t>,</w:t>
      </w:r>
      <w:r w:rsidRPr="00D444C5">
        <w:rPr>
          <w:rFonts w:ascii="PT Serif" w:hAnsi="PT Serif" w:cs="PT Serif"/>
          <w:b w:val="0"/>
          <w:i w:val="0"/>
          <w:sz w:val="20"/>
          <w:lang w:eastAsia="en-US"/>
        </w:rPr>
        <w:t xml:space="preserve"> por la vía del artículo 10.2 CE, en relación con el artículo 24 CE, podía sostenerse que el principio de jurisdicción universal tenía fundamento constitucional</w:t>
      </w:r>
      <w:r w:rsidR="001E5777">
        <w:rPr>
          <w:rStyle w:val="Refernciadenotaapeudepgina"/>
          <w:rFonts w:ascii="PT Serif" w:hAnsi="PT Serif" w:cs="PT Serif"/>
          <w:b w:val="0"/>
          <w:i w:val="0"/>
          <w:sz w:val="20"/>
          <w:lang w:eastAsia="en-US"/>
        </w:rPr>
        <w:footnoteReference w:id="30"/>
      </w:r>
      <w:r w:rsidRPr="00D444C5">
        <w:rPr>
          <w:rFonts w:ascii="PT Serif" w:hAnsi="PT Serif" w:cs="PT Serif"/>
          <w:b w:val="0"/>
          <w:i w:val="0"/>
          <w:sz w:val="20"/>
          <w:lang w:eastAsia="en-US"/>
        </w:rPr>
        <w:t xml:space="preserve">. Dicho con otras palabras, los demandantes entendieron que el artículo 24.1 CE incluye el eventual derecho de acceso a una Jurisdicción española con carácter universal. Por lo tanto, concluyen que el legislador debería haber establecido un sistema amplio de Justicia universal. De igual manera, </w:t>
      </w:r>
      <w:r w:rsidR="006618C8">
        <w:rPr>
          <w:rFonts w:ascii="PT Serif" w:hAnsi="PT Serif" w:cs="PT Serif"/>
          <w:b w:val="0"/>
          <w:i w:val="0"/>
          <w:sz w:val="20"/>
          <w:lang w:eastAsia="en-US"/>
        </w:rPr>
        <w:t>argumentan</w:t>
      </w:r>
      <w:r w:rsidRPr="00D444C5">
        <w:rPr>
          <w:rFonts w:ascii="PT Serif" w:hAnsi="PT Serif" w:cs="PT Serif"/>
          <w:b w:val="0"/>
          <w:i w:val="0"/>
          <w:sz w:val="20"/>
          <w:lang w:eastAsia="en-US"/>
        </w:rPr>
        <w:t xml:space="preserve"> que el principio de Jurisdicción universal se deriva de tratados internacionales de los que España es parte, por lo que conclu</w:t>
      </w:r>
      <w:r w:rsidR="006618C8">
        <w:rPr>
          <w:rFonts w:ascii="PT Serif" w:hAnsi="PT Serif" w:cs="PT Serif"/>
          <w:b w:val="0"/>
          <w:i w:val="0"/>
          <w:sz w:val="20"/>
          <w:lang w:eastAsia="en-US"/>
        </w:rPr>
        <w:t>yeron</w:t>
      </w:r>
      <w:r w:rsidRPr="00D444C5">
        <w:rPr>
          <w:rFonts w:ascii="PT Serif" w:hAnsi="PT Serif" w:cs="PT Serif"/>
          <w:b w:val="0"/>
          <w:i w:val="0"/>
          <w:sz w:val="20"/>
          <w:lang w:eastAsia="en-US"/>
        </w:rPr>
        <w:t xml:space="preserve"> que la LOPJ no respetaba la regulación internacional en la materia.</w:t>
      </w:r>
    </w:p>
    <w:p w14:paraId="76F955E7" w14:textId="77777777" w:rsidR="00D444C5" w:rsidRDefault="00D444C5" w:rsidP="00D444C5">
      <w:pPr>
        <w:pStyle w:val="03Texto"/>
        <w:spacing w:before="0"/>
        <w:ind w:firstLine="0"/>
        <w:rPr>
          <w:rFonts w:ascii="PT Serif" w:eastAsiaTheme="minorHAnsi" w:hAnsi="PT Serif" w:cstheme="minorBidi"/>
          <w:sz w:val="20"/>
          <w:lang w:eastAsia="en-US"/>
        </w:rPr>
      </w:pPr>
    </w:p>
    <w:p w14:paraId="13175913" w14:textId="094E7256" w:rsidR="00C34AA5" w:rsidRPr="00D444C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Consideraban, además, que al existir estos condicionantes (constitucionales y convencionales) el legislador ordinario no tendría libertad a la hora de configurar la extensión y límites de la Jurisdicción penal en materia de delitos contra la comunidad internacional y otros delitos</w:t>
      </w:r>
      <w:r w:rsidR="00AC6F2B">
        <w:rPr>
          <w:rFonts w:ascii="PT Serif" w:hAnsi="PT Serif" w:cs="PT Serif"/>
          <w:b w:val="0"/>
          <w:i w:val="0"/>
          <w:sz w:val="20"/>
          <w:lang w:eastAsia="en-US"/>
        </w:rPr>
        <w:t xml:space="preserve"> </w:t>
      </w:r>
      <w:r w:rsidR="00AC6F2B">
        <w:rPr>
          <w:rFonts w:ascii="PT Serif" w:hAnsi="PT Serif" w:cs="PT Serif"/>
          <w:b w:val="0"/>
          <w:i w:val="0"/>
          <w:sz w:val="20"/>
          <w:lang w:eastAsia="en-US"/>
        </w:rPr>
        <w:lastRenderedPageBreak/>
        <w:t>cometidos en el extranjero</w:t>
      </w:r>
      <w:r w:rsidRPr="00D444C5">
        <w:rPr>
          <w:rFonts w:ascii="PT Serif" w:hAnsi="PT Serif" w:cs="PT Serif"/>
          <w:b w:val="0"/>
          <w:i w:val="0"/>
          <w:sz w:val="20"/>
          <w:lang w:eastAsia="en-US"/>
        </w:rPr>
        <w:t>. Dicho con otras palabras, sostuvieron que optar por un sistema menos amplio de Justicia universal, así como para fijar los puntos de conexión, queda fuera de la órbita de la política legislativa. Según los demandantes, la CE y las exigencias internacionales obligan a que exista un sistema amplio de Justicia universal</w:t>
      </w:r>
      <w:r w:rsidR="001E5777">
        <w:rPr>
          <w:rStyle w:val="Refernciadenotaapeudepgina"/>
          <w:rFonts w:ascii="PT Serif" w:hAnsi="PT Serif" w:cs="PT Serif"/>
          <w:b w:val="0"/>
          <w:i w:val="0"/>
          <w:sz w:val="20"/>
          <w:lang w:eastAsia="en-US"/>
        </w:rPr>
        <w:footnoteReference w:id="31"/>
      </w:r>
      <w:r w:rsidRPr="00D444C5">
        <w:rPr>
          <w:rFonts w:ascii="PT Serif" w:hAnsi="PT Serif" w:cs="PT Serif"/>
          <w:b w:val="0"/>
          <w:i w:val="0"/>
          <w:sz w:val="20"/>
          <w:lang w:eastAsia="en-US"/>
        </w:rPr>
        <w:t>.</w:t>
      </w:r>
    </w:p>
    <w:p w14:paraId="72993990" w14:textId="77777777" w:rsidR="00D444C5" w:rsidRDefault="00D444C5" w:rsidP="00D444C5">
      <w:pPr>
        <w:pStyle w:val="03Texto"/>
        <w:spacing w:before="0"/>
        <w:ind w:firstLine="0"/>
        <w:rPr>
          <w:rFonts w:ascii="PT Serif" w:eastAsiaTheme="minorHAnsi" w:hAnsi="PT Serif" w:cstheme="minorBidi"/>
          <w:sz w:val="20"/>
          <w:lang w:eastAsia="en-US"/>
        </w:rPr>
      </w:pPr>
    </w:p>
    <w:p w14:paraId="01C0E19B" w14:textId="08397A2D" w:rsidR="00C34AA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 xml:space="preserve">El TC concluyó que la regulación normativa analizada era constitucional, y en relación con la inconvencionalidad sostenida por los demandantes, fija las coordenadas para la construcción jurisprudencial del control </w:t>
      </w:r>
      <w:r w:rsidR="006618C8">
        <w:rPr>
          <w:rFonts w:ascii="PT Serif" w:hAnsi="PT Serif" w:cs="PT Serif"/>
          <w:b w:val="0"/>
          <w:i w:val="0"/>
          <w:sz w:val="20"/>
          <w:lang w:eastAsia="en-US"/>
        </w:rPr>
        <w:t>“</w:t>
      </w:r>
      <w:r w:rsidRPr="00D444C5">
        <w:rPr>
          <w:rFonts w:ascii="PT Serif" w:hAnsi="PT Serif" w:cs="PT Serif"/>
          <w:b w:val="0"/>
          <w:i w:val="0"/>
          <w:sz w:val="20"/>
          <w:lang w:eastAsia="en-US"/>
        </w:rPr>
        <w:t>difuso</w:t>
      </w:r>
      <w:r w:rsidR="006618C8">
        <w:rPr>
          <w:rFonts w:ascii="PT Serif" w:hAnsi="PT Serif" w:cs="PT Serif"/>
          <w:b w:val="0"/>
          <w:i w:val="0"/>
          <w:sz w:val="20"/>
          <w:lang w:eastAsia="en-US"/>
        </w:rPr>
        <w:t>”</w:t>
      </w:r>
      <w:r w:rsidRPr="00D444C5">
        <w:rPr>
          <w:rFonts w:ascii="PT Serif" w:hAnsi="PT Serif" w:cs="PT Serif"/>
          <w:b w:val="0"/>
          <w:i w:val="0"/>
          <w:sz w:val="20"/>
          <w:lang w:eastAsia="en-US"/>
        </w:rPr>
        <w:t xml:space="preserve"> de convencionalidad</w:t>
      </w:r>
      <w:r w:rsidR="001E5777">
        <w:rPr>
          <w:rStyle w:val="Refernciadenotaapeudepgina"/>
          <w:rFonts w:ascii="PT Serif" w:hAnsi="PT Serif" w:cs="PT Serif"/>
          <w:b w:val="0"/>
          <w:i w:val="0"/>
          <w:sz w:val="20"/>
          <w:lang w:eastAsia="en-US"/>
        </w:rPr>
        <w:footnoteReference w:id="32"/>
      </w:r>
      <w:r w:rsidRPr="00D444C5">
        <w:rPr>
          <w:rFonts w:ascii="PT Serif" w:hAnsi="PT Serif" w:cs="PT Serif"/>
          <w:b w:val="0"/>
          <w:i w:val="0"/>
          <w:sz w:val="20"/>
          <w:lang w:eastAsia="en-US"/>
        </w:rPr>
        <w:t>. Al respecto, el TC afirma que la CE no contiene una previsión explícita acerca de que los jueces ordinarios, o el mismo TC, deban llevar a cabo un control de convencionalidad. Así, afirma:</w:t>
      </w:r>
    </w:p>
    <w:p w14:paraId="357BE7C6" w14:textId="77777777" w:rsidR="00D444C5" w:rsidRPr="00D444C5" w:rsidRDefault="00D444C5" w:rsidP="00D444C5">
      <w:pPr>
        <w:pStyle w:val="03Texto"/>
        <w:spacing w:before="0"/>
        <w:ind w:firstLine="0"/>
        <w:rPr>
          <w:rFonts w:ascii="PT Serif" w:eastAsiaTheme="minorHAnsi" w:hAnsi="PT Serif" w:cstheme="minorBidi"/>
          <w:sz w:val="20"/>
          <w:lang w:eastAsia="en-US"/>
        </w:rPr>
      </w:pPr>
    </w:p>
    <w:p w14:paraId="5F9BB785" w14:textId="66E0DB46" w:rsidR="00C34AA5" w:rsidRDefault="005D6E0F" w:rsidP="00D444C5">
      <w:pPr>
        <w:pStyle w:val="08Literal"/>
        <w:spacing w:before="0" w:after="120" w:lineRule="auto" w:line="264"/>
        <w:ind w:left="567" w:right="567" w:firstLine="0"/>
        <w:jc w:val="both"/>
        <w:rPr>
          <w:rFonts w:ascii="PT Serif" w:eastAsiaTheme="minorHAnsi" w:hAnsi="PT Serif" w:cstheme="minorBidi"/>
          <w:lang w:eastAsia="en-US"/>
        </w:rPr>
      </w:pP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Nuestro texto constitucional no contiene previsión expresa alguna relativa a la exigencia de que los jueces ordinarios formulen dicho control de convencionalidad; y tampoco existe esta previsión en relación con el Tribunal Constitucional. Esta ausencia hace preciso verificar si, a pesar de esa constatación inicial, tal control tiene vinculación con algún precepto constitucional y expresa en su caso, cual es el órgano jurisdiccional competente para formularlo y cuál debe ser su alcance</w:t>
      </w: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w:t>
      </w:r>
    </w:p>
    <w:p w14:paraId="16C42E8E" w14:textId="77777777" w:rsidR="00D444C5" w:rsidRPr="00D444C5" w:rsidRDefault="00D444C5" w:rsidP="00D444C5">
      <w:pPr>
        <w:pStyle w:val="08Literal"/>
        <w:spacing w:before="0" w:after="0"/>
        <w:ind w:left="567" w:right="567" w:firstLine="0"/>
        <w:rPr>
          <w:rFonts w:ascii="PT Serif" w:eastAsiaTheme="minorHAnsi" w:hAnsi="PT Serif" w:cstheme="minorBidi"/>
          <w:lang w:eastAsia="en-US"/>
        </w:rPr>
      </w:pPr>
    </w:p>
    <w:p w14:paraId="73DC5CB5" w14:textId="12ADE143" w:rsidR="00C34AA5" w:rsidRPr="00D444C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 xml:space="preserve">No obstante, recurriendo al artículo 96 CE, el TC concluye que cuando se produce un choque entre las normas internas y las convencionales, no se trata de determinar qué norma es inválida, es un problema de decidir la norma aplicable, sin que la que se desplaza sea declarada inválida, sino inaplicable. Mientras que el control de validez </w:t>
      </w:r>
      <w:r w:rsidR="00AC6F2B">
        <w:rPr>
          <w:rFonts w:ascii="PT Serif" w:hAnsi="PT Serif" w:cs="PT Serif"/>
          <w:b w:val="0"/>
          <w:i w:val="0"/>
          <w:sz w:val="20"/>
          <w:lang w:eastAsia="en-US"/>
        </w:rPr>
        <w:t>es c</w:t>
      </w:r>
      <w:r w:rsidRPr="00D444C5">
        <w:rPr>
          <w:rFonts w:ascii="PT Serif" w:hAnsi="PT Serif" w:cs="PT Serif"/>
          <w:b w:val="0"/>
          <w:i w:val="0"/>
          <w:sz w:val="20"/>
          <w:lang w:eastAsia="en-US"/>
        </w:rPr>
        <w:t>oncentrado</w:t>
      </w:r>
      <w:r w:rsidR="00AC6F2B">
        <w:rPr>
          <w:rFonts w:ascii="PT Serif" w:hAnsi="PT Serif" w:cs="PT Serif"/>
          <w:b w:val="0"/>
          <w:i w:val="0"/>
          <w:sz w:val="20"/>
          <w:lang w:eastAsia="en-US"/>
        </w:rPr>
        <w:t xml:space="preserve"> y</w:t>
      </w:r>
      <w:r w:rsidRPr="00D444C5">
        <w:rPr>
          <w:rFonts w:ascii="PT Serif" w:hAnsi="PT Serif" w:cs="PT Serif"/>
          <w:b w:val="0"/>
          <w:i w:val="0"/>
          <w:sz w:val="20"/>
          <w:lang w:eastAsia="en-US"/>
        </w:rPr>
        <w:t xml:space="preserve"> en manos del TC, el control de aplicabilidad</w:t>
      </w:r>
      <w:r w:rsidR="00AC6F2B">
        <w:rPr>
          <w:rFonts w:ascii="PT Serif" w:hAnsi="PT Serif" w:cs="PT Serif"/>
          <w:b w:val="0"/>
          <w:i w:val="0"/>
          <w:sz w:val="20"/>
          <w:lang w:eastAsia="en-US"/>
        </w:rPr>
        <w:t xml:space="preserve"> es difuso y</w:t>
      </w:r>
      <w:r w:rsidRPr="00D444C5">
        <w:rPr>
          <w:rFonts w:ascii="PT Serif" w:hAnsi="PT Serif" w:cs="PT Serif"/>
          <w:b w:val="0"/>
          <w:i w:val="0"/>
          <w:sz w:val="20"/>
          <w:lang w:eastAsia="en-US"/>
        </w:rPr>
        <w:t xml:space="preserve"> está en manos de la Jurisdicción ordinaria. Por su gran interés, reproducimos las siguientes palabras:</w:t>
      </w:r>
    </w:p>
    <w:p w14:paraId="6E1E0C68" w14:textId="77777777" w:rsidR="00D444C5" w:rsidRDefault="00D444C5" w:rsidP="00C34AA5">
      <w:pPr>
        <w:pStyle w:val="08Literal"/>
        <w:spacing w:before="0" w:after="0"/>
        <w:ind w:left="567" w:right="567" w:firstLine="709"/>
        <w:rPr>
          <w:rFonts w:ascii="PT Serif" w:eastAsiaTheme="minorHAnsi" w:hAnsi="PT Serif" w:cstheme="minorBidi"/>
          <w:lang w:eastAsia="en-US"/>
        </w:rPr>
      </w:pPr>
    </w:p>
    <w:p w14:paraId="67DD721B" w14:textId="434C141D" w:rsidR="00C34AA5" w:rsidRDefault="005D6E0F" w:rsidP="001E5777">
      <w:pPr>
        <w:pStyle w:val="08Literal"/>
        <w:spacing w:before="0" w:after="120" w:lineRule="auto" w:line="264"/>
        <w:ind w:left="567" w:right="567" w:firstLine="0"/>
        <w:jc w:val="both"/>
        <w:rPr>
          <w:rFonts w:ascii="PT Serif" w:eastAsiaTheme="minorHAnsi" w:hAnsi="PT Serif" w:cstheme="minorBidi"/>
          <w:lang w:eastAsia="en-US"/>
        </w:rPr>
      </w:pP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 xml:space="preserve">El art. 96 CE establece que </w:t>
      </w:r>
      <w:r w:rsidR="007427F5">
        <w:rPr>
          <w:rFonts w:ascii="PT Serif" w:hAnsi="PT Serif" w:cs="PT Serif"/>
          <w:b w:val="0"/>
          <w:i w:val="0"/>
          <w:sz w:val="20"/>
          <w:lang w:eastAsia="en-US"/>
        </w:rPr>
        <w:t>“</w:t>
      </w:r>
      <w:r w:rsidR="00C34AA5" w:rsidRPr="00D444C5">
        <w:rPr>
          <w:rFonts w:ascii="PT Serif" w:hAnsi="PT Serif" w:cs="PT Serif"/>
          <w:b w:val="0"/>
          <w:i w:val="0"/>
          <w:sz w:val="20"/>
          <w:lang w:eastAsia="en-US"/>
        </w:rPr>
        <w:t>los tratados internacionales válidamente celebrados, una vez publicados oficialmente en España, formarán parte del ordenamiento interno. Sus disposiciones sólo podrán ser derogadas, modificadas o suspendidas en la forma prevista en los propios tratados o de acuerdo con las normas generales del Derecho internacional</w:t>
      </w:r>
      <w:r w:rsidR="007427F5">
        <w:rPr>
          <w:rFonts w:ascii="PT Serif" w:hAnsi="PT Serif" w:cs="PT Serif"/>
          <w:b w:val="0"/>
          <w:i w:val="0"/>
          <w:sz w:val="20"/>
          <w:lang w:eastAsia="en-US"/>
        </w:rPr>
        <w:t>”</w:t>
      </w:r>
      <w:r w:rsidR="00C34AA5" w:rsidRPr="00D444C5">
        <w:rPr>
          <w:rFonts w:ascii="PT Serif" w:hAnsi="PT Serif" w:cs="PT Serif"/>
          <w:b w:val="0"/>
          <w:i w:val="0"/>
          <w:sz w:val="20"/>
          <w:lang w:eastAsia="en-US"/>
        </w:rPr>
        <w:t xml:space="preserve">. Este precepto no atribuye superioridad jerárquica a los tratados sobre las leyes internas, aunque establece, de un lado, una regla de desplazamiento por parte del tratado de la norma interna anterior, sin que ello suponga su derogación, y, de otro, define la resistencia del tratado a ser derogado por las disposiciones internas posteriores en el tiempo, sin que esto último suponga la exclusión de la norma interna del ordenamiento nacional, sino su mera inaplicación. Dicho en otros términos, la constatación de un eventual desajuste entre un convenio internacional y una norma interna con rango de ley no supone un juicio sobre la validez de la norma interna, sino sobre su mera aplicabilidad, por lo que no se plantea un problema de depuración del ordenamiento de normas inválidas, sino una cuestión de determinación de la norma aplicable en la solución de cada caso concreto, aplicación que deberá ser libremente considerada por el juez ordinario. En este sentido hay que entender los pronunciamientos en los que este Tribunal ha venido sosteniendo que los tratados internacionales «no constituyen canon para el enjuiciamiento de la adecuación a la Constitución de normas dotadas </w:t>
      </w:r>
      <w:r w:rsidR="00C34AA5" w:rsidRPr="00D444C5">
        <w:rPr>
          <w:rFonts w:ascii="PT Serif" w:hAnsi="PT Serif" w:cs="PT Serif"/>
          <w:b w:val="0"/>
          <w:i w:val="0"/>
          <w:sz w:val="20"/>
          <w:lang w:eastAsia="en-US"/>
        </w:rPr>
        <w:lastRenderedPageBreak/>
        <w:t>de rango legal» (en este sentido SSTC 49/1988, de 22 de marzo, FJ 14; 28/1991, de 14 de febrero, FJ 5; 254/1993, de 20 de julio, FJ 5; 12/2008, de 29 de enero, FJ 2)</w:t>
      </w: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w:t>
      </w:r>
    </w:p>
    <w:p w14:paraId="4B9F6CAF" w14:textId="77777777" w:rsidR="00D444C5" w:rsidRDefault="00D444C5" w:rsidP="00D444C5">
      <w:pPr>
        <w:pStyle w:val="03Texto"/>
        <w:spacing w:before="0"/>
        <w:ind w:firstLine="0"/>
        <w:rPr>
          <w:rFonts w:ascii="PT Serif" w:eastAsiaTheme="minorHAnsi" w:hAnsi="PT Serif" w:cstheme="minorBidi"/>
          <w:sz w:val="20"/>
          <w:lang w:eastAsia="en-US"/>
        </w:rPr>
      </w:pPr>
    </w:p>
    <w:p w14:paraId="356F5472" w14:textId="2010B9A3" w:rsidR="00C34AA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 xml:space="preserve">En definitiva, el TC llega la conclusión de que el control de convencionalidad en el sistema español es una “regla de selección de derecho aplicable que corresponde realizar, en caso concreto, a los jueces y magistrados de la jurisdicción ordinaria”. Por esta razón, un juez ordinario puede desplazar la norma interna y aplicar la convencional, cuando haya un conflicto entre las mismas. Por su enorme interés, reproducimos las siguientes palabras: </w:t>
      </w:r>
    </w:p>
    <w:p w14:paraId="6C9540D7" w14:textId="77777777" w:rsidR="00D444C5" w:rsidRPr="00D444C5" w:rsidRDefault="00D444C5" w:rsidP="00D444C5">
      <w:pPr>
        <w:pStyle w:val="03Texto"/>
        <w:spacing w:before="0"/>
        <w:ind w:firstLine="0"/>
        <w:rPr>
          <w:rFonts w:ascii="PT Serif" w:eastAsiaTheme="minorHAnsi" w:hAnsi="PT Serif" w:cstheme="minorBidi"/>
          <w:sz w:val="20"/>
          <w:lang w:eastAsia="en-US"/>
        </w:rPr>
      </w:pPr>
    </w:p>
    <w:p w14:paraId="0B075CB4" w14:textId="265A2942" w:rsidR="00C34AA5" w:rsidRDefault="005D6E0F" w:rsidP="005D6E0F">
      <w:pPr>
        <w:pStyle w:val="08Literal"/>
        <w:spacing w:before="0" w:after="120" w:lineRule="auto" w:line="264"/>
        <w:ind w:left="567" w:right="567" w:firstLine="0"/>
        <w:jc w:val="both"/>
        <w:rPr>
          <w:rFonts w:ascii="PT Serif" w:eastAsiaTheme="minorHAnsi" w:hAnsi="PT Serif" w:cstheme="minorBidi"/>
          <w:lang w:eastAsia="en-US"/>
        </w:rPr>
      </w:pP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El marco jurídico constitucional existente erige, pues, al control de convencionalidad en el sistema español en una mera regla de selección de derecho aplicable, que corresponde realizar, en cada caso concreto, a los jueces y magistrados de la jurisdicción ordinaria. Como viene estableciendo de forma incontrovertida la jurisprudencia previa, la determinación de cuál sea la norma aplicable al caso concreto es una cuestión de legalidad que no le corresponde resolver al Tribunal Constitucional sino, en principio, a los jueces y tribunales ordinarios en el ejercicio de la función jurisdiccional que, con carácter exclusivo, les atribuye el art. 117.3 CE (por todas SSTC 49/1988, de 22 de marzo, FJ 14 y 180/1993, de 31 de mayo, FJ 3; 102/2002, FJ 7). En síntesis, la facultad propia de la jurisdicción para determinar la norma aplicable al supuesto controvertido se proyecta también a la interpretación de lo dispuesto en los tratados internacionales (STC 102/2002, FJ 7), así como al análisis de la compatibilidad entre una norma interna y una disposición internacional. Ello supone que, en aplicación de la prescripción contenida en el art. 96 CE, cualquier juez ordinario puede desplazar la aplicación de una norma interna con rango de ley para aplicar de modo preferente la disposición contenida en un tratado internacional, sin que de tal desplazamiento derive la expulsión de la norma interna del ordenamiento, como resulta obvio, sino su mera inaplicación al caso concreto. La admisión de la posibilidad de que una norma con rango legal sea inaplicada por órganos de la jurisdicción ordinaria ha sido admitida por este Tribunal en aplicación del principio de prevalencia (SSTC 102/2016, de 25 de mayo, 116/2016, de 20 de junio, y 127/2016, de 7 de julio), en lo que hace al control de constitucionalidad de normas preconstitucionales (STC 11/1981, de 8 de abril), y a la hora de determinar las relaciones entre las fuentes internas de rango legal y las normas de derecho comunitario derivado (por todas SSTC 28/1991, de 14 de febrero, FJ 5, 64/1991, de 22 de marzo, FJ 4, 180/1993, de 31 de mayo, FJ 3; 145/2012, de 2 de julio, FJ 2, y 118/2016, de 23 de junio, FJ 3). Incluso, en un obiter dicta contenido en el FJ 3 de la STC 118/2016, de 23 de junio, se dijo expresamente que “es a los órganos judiciales ordinarios a quienes corresponde el control, entonces, tanto de la eventual contradicción entre una norma foral fiscal y una disposición de un tratado o convenio internacional firmado y ratificado por España (SSTC 270/2015, de 17 de diciembre, FJ 5; y 29/2016, de 18 de febrero, FJ 5), como de la adecuación de las normas forales fiscales a las normas de armonización fiscal de la Unión Europea [SSTC 64/2013, de 14 de marzo, FJ 4, y 44/2015, de 5 de marzo, FJ 5 b)]</w:t>
      </w: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w:t>
      </w:r>
    </w:p>
    <w:p w14:paraId="0D47F456" w14:textId="77777777" w:rsidR="00D444C5" w:rsidRDefault="00D444C5" w:rsidP="00D444C5">
      <w:pPr>
        <w:pStyle w:val="03Texto"/>
        <w:spacing w:before="0"/>
        <w:ind w:firstLine="0"/>
        <w:rPr>
          <w:rFonts w:ascii="PT Serif" w:eastAsiaTheme="minorHAnsi" w:hAnsi="PT Serif" w:cstheme="minorBidi"/>
          <w:sz w:val="20"/>
          <w:lang w:eastAsia="en-US"/>
        </w:rPr>
      </w:pPr>
    </w:p>
    <w:p w14:paraId="347C1D37" w14:textId="5900C30F" w:rsidR="00C34AA5" w:rsidRDefault="00C34AA5" w:rsidP="00D444C5">
      <w:pPr>
        <w:pStyle w:val="03Texto"/>
        <w:spacing w:before="0" w:lineRule="auto" w:line="264" w:after="120"/>
        <w:ind w:firstLine="0"/>
        <w:jc w:val="both"/>
        <w:rPr>
          <w:rFonts w:ascii="PT Serif" w:eastAsiaTheme="minorHAnsi" w:hAnsi="PT Serif" w:cstheme="minorBidi"/>
          <w:sz w:val="20"/>
          <w:lang w:eastAsia="en-US"/>
        </w:rPr>
      </w:pPr>
      <w:r w:rsidRPr="00D444C5">
        <w:rPr>
          <w:rFonts w:ascii="PT Serif" w:hAnsi="PT Serif" w:cs="PT Serif"/>
          <w:b w:val="0"/>
          <w:i w:val="0"/>
          <w:sz w:val="20"/>
          <w:lang w:eastAsia="en-US"/>
        </w:rPr>
        <w:t>Por ello, tratándose de una cuestión de legalidad y no de constitucionalidad, considera que queda fuera de las competencias del TC, el cual, solamente por vía de amparo, podría llegar a revisar la decisión de los jueces ordinarios de desplazar o no una norma interna para aplicar una convencional:</w:t>
      </w:r>
    </w:p>
    <w:p w14:paraId="6DEAAF09" w14:textId="77777777" w:rsidR="00D444C5" w:rsidRDefault="00D444C5" w:rsidP="00D444C5">
      <w:pPr>
        <w:pStyle w:val="08Literal"/>
        <w:spacing w:before="0" w:after="0"/>
        <w:ind w:left="567" w:right="567" w:firstLine="0"/>
        <w:rPr>
          <w:rFonts w:ascii="PT Serif" w:eastAsiaTheme="minorHAnsi" w:hAnsi="PT Serif" w:cstheme="minorBidi"/>
          <w:lang w:eastAsia="en-US"/>
        </w:rPr>
      </w:pPr>
    </w:p>
    <w:p w14:paraId="187986D2" w14:textId="3C6E0ED5" w:rsidR="00C34AA5" w:rsidRDefault="005D6E0F" w:rsidP="00D444C5">
      <w:pPr>
        <w:pStyle w:val="08Literal"/>
        <w:spacing w:before="0" w:after="120" w:lineRule="auto" w:line="264"/>
        <w:ind w:left="567" w:right="567" w:firstLine="0"/>
        <w:jc w:val="both"/>
        <w:rPr>
          <w:rFonts w:ascii="PT Serif" w:eastAsiaTheme="minorHAnsi" w:hAnsi="PT Serif" w:cstheme="minorBidi"/>
          <w:lang w:eastAsia="en-US"/>
        </w:rPr>
      </w:pP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 xml:space="preserve">En suma, el análisis de convencionalidad que tiene cabida en nuestro ordenamiento constitucional no es un juicio de validez de la norma interna o de </w:t>
      </w:r>
      <w:r w:rsidR="00C34AA5" w:rsidRPr="00D444C5">
        <w:rPr>
          <w:rFonts w:ascii="PT Serif" w:hAnsi="PT Serif" w:cs="PT Serif"/>
          <w:b w:val="0"/>
          <w:i w:val="0"/>
          <w:sz w:val="20"/>
          <w:lang w:eastAsia="en-US"/>
        </w:rPr>
        <w:lastRenderedPageBreak/>
        <w:t>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formulada por los jueces ordinarios en determinadas circunstancias bajo el parámetro del art. 24.1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SSTC 25/2000, de 31 de enero, FJ 2; 221/2001, de 31 de octubre, FJ 6, y 308/2006, de 23 de octubre, FJ 5)” (STC 145/2012, de 2 de julio, FJ 4)</w:t>
      </w:r>
      <w:r w:rsidRPr="005D6E0F">
        <w:rPr>
          <w:rFonts w:ascii="PT Serif" w:hAnsi="PT Serif" w:cs="PT Serif"/>
          <w:b w:val="0"/>
          <w:i w:val="0"/>
          <w:sz w:val="20"/>
          <w:lang w:eastAsia="en-US"/>
        </w:rPr>
        <w:t>»</w:t>
      </w:r>
      <w:r w:rsidR="00C34AA5" w:rsidRPr="00D444C5">
        <w:rPr>
          <w:rFonts w:ascii="PT Serif" w:hAnsi="PT Serif" w:cs="PT Serif"/>
          <w:b w:val="0"/>
          <w:i w:val="0"/>
          <w:sz w:val="20"/>
          <w:lang w:eastAsia="en-US"/>
        </w:rPr>
        <w:t>.</w:t>
      </w:r>
    </w:p>
    <w:p w14:paraId="1E59CC0C" w14:textId="77777777" w:rsidR="00D444C5" w:rsidRDefault="00D444C5" w:rsidP="00D444C5">
      <w:pPr>
        <w:pStyle w:val="03Texto"/>
        <w:spacing w:before="0"/>
        <w:ind w:firstLine="0"/>
        <w:rPr>
          <w:rFonts w:ascii="PT Serif" w:eastAsiaTheme="minorHAnsi" w:hAnsi="PT Serif" w:cstheme="minorBidi"/>
          <w:sz w:val="20"/>
          <w:lang w:eastAsia="en-US"/>
        </w:rPr>
      </w:pPr>
    </w:p>
    <w:p w14:paraId="6564E715" w14:textId="77777777" w:rsidR="00C34AA5" w:rsidRPr="00C34AA5" w:rsidRDefault="00C34AA5" w:rsidP="00C34AA5">
      <w:pPr>
        <w:spacing w:after="0" w:line="264" w:lineRule="auto"/>
        <w:jc w:val="both"/>
        <w:rPr>
          <w:rFonts w:ascii="PT Serif" w:hAnsi="PT Serif"/>
          <w:b/>
          <w:sz w:val="20"/>
          <w:szCs w:val="20"/>
        </w:rPr>
      </w:pPr>
    </w:p>
    <w:p w14:paraId="01C6B854" w14:textId="71B4E57A" w:rsidR="002C6CA8" w:rsidRPr="004633CD" w:rsidRDefault="006618C8" w:rsidP="004633CD">
      <w:pPr>
        <w:pStyle w:val="Pargrafdellista"/>
        <w:numPr>
          <w:ilvl w:val="2"/>
          <w:numId w:val="34"/>
        </w:numPr>
        <w:spacing w:after="120" w:line="264" w:lineRule="auto"/>
        <w:ind w:left="567" w:firstLine="0"/>
        <w:jc w:val="both"/>
        <w:rPr>
          <w:rFonts w:ascii="PT Serif" w:hAnsi="PT Serif"/>
          <w:bCs/>
          <w:i/>
          <w:iCs/>
          <w:sz w:val="20"/>
          <w:szCs w:val="20"/>
        </w:rPr>
      </w:pPr>
      <w:r w:rsidRPr="004633CD">
        <w:rPr>
          <w:rFonts w:ascii="PT Serif" w:hAnsi="PT Serif" w:cs="PT Serif"/>
          <w:b w:val="0"/>
          <w:bCs/>
          <w:i/>
          <w:iCs/>
          <w:sz w:val="20"/>
          <w:szCs w:val="20"/>
        </w:rPr>
        <w:t>Alcance de la intervención del TC ex post</w:t>
      </w:r>
      <w:r w:rsidR="00AC6F2B">
        <w:rPr>
          <w:rFonts w:ascii="PT Serif" w:hAnsi="PT Serif" w:cs="PT Serif"/>
          <w:b w:val="0"/>
          <w:bCs/>
          <w:i/>
          <w:iCs/>
          <w:sz w:val="20"/>
          <w:szCs w:val="20"/>
        </w:rPr>
        <w:t xml:space="preserve"> </w:t>
      </w:r>
      <w:r w:rsidR="00AC6F2B">
        <w:rPr>
          <w:rFonts w:ascii="PT Serif" w:hAnsi="PT Serif" w:cs="PT Serif"/>
          <w:b w:val="0"/>
          <w:bCs/>
          <w:i w:val="0"/>
          <w:sz w:val="20"/>
          <w:szCs w:val="20"/>
        </w:rPr>
        <w:t>vía “recurso” de amparo</w:t>
      </w:r>
    </w:p>
    <w:p w14:paraId="46381BE5" w14:textId="77777777" w:rsidR="00E64D2E" w:rsidRPr="006618C8" w:rsidRDefault="00E64D2E" w:rsidP="00E64D2E">
      <w:pPr>
        <w:pStyle w:val="Pargrafdellista"/>
        <w:spacing w:after="0" w:line="264" w:lineRule="auto"/>
        <w:ind w:left="1080"/>
        <w:jc w:val="both"/>
        <w:rPr>
          <w:rFonts w:ascii="PT Serif" w:hAnsi="PT Serif"/>
          <w:sz w:val="20"/>
          <w:szCs w:val="20"/>
        </w:rPr>
      </w:pPr>
    </w:p>
    <w:p w14:paraId="1777F5BD" w14:textId="4640E3B4" w:rsidR="00AC6F2B" w:rsidRDefault="00C34AA5" w:rsidP="00C34AA5">
      <w:pPr>
        <w:pStyle w:val="03Texto"/>
        <w:spacing w:before="0" w:lineRule="auto" w:line="264" w:after="120"/>
        <w:ind w:firstLine="0"/>
        <w:jc w:val="both"/>
        <w:rPr>
          <w:rFonts w:ascii="PT Serif" w:eastAsiaTheme="minorHAnsi" w:hAnsi="PT Serif" w:cstheme="minorBidi"/>
          <w:sz w:val="20"/>
          <w:lang w:eastAsia="en-US"/>
        </w:rPr>
      </w:pPr>
      <w:r w:rsidRPr="00C34AA5">
        <w:rPr>
          <w:rFonts w:ascii="PT Serif" w:hAnsi="PT Serif" w:cs="PT Serif"/>
          <w:b w:val="0"/>
          <w:i w:val="0"/>
          <w:sz w:val="20"/>
          <w:lang w:eastAsia="en-US"/>
        </w:rPr>
        <w:t>Un ámbito en el que se han plateado de manera muy intensa los aspectos relacionados con el control de convencionalidad es en relación con la persecución de los delitos contra la comunidad internacional. Como ya hemos indicado, la STC 140/2018 a que nos hemos referido recayó como consecuencia de la demanda de inconstitucionalidad formulada contra la redacción de la LOPJ dada por LO 1/2014. Pues bien, con posterioridad a esta sentencia ha habido otras en las que el TC ha analizado el control de convencionalidad realizado por los jueces ordinarios.</w:t>
      </w:r>
      <w:r w:rsidR="006618C8">
        <w:rPr>
          <w:rFonts w:ascii="PT Serif" w:hAnsi="PT Serif" w:cs="PT Serif"/>
          <w:b w:val="0"/>
          <w:i w:val="0"/>
          <w:sz w:val="20"/>
          <w:lang w:eastAsia="en-US"/>
        </w:rPr>
        <w:t xml:space="preserve"> </w:t>
      </w:r>
      <w:r w:rsidR="00AC6F2B">
        <w:rPr>
          <w:rFonts w:ascii="PT Serif" w:hAnsi="PT Serif" w:cs="PT Serif"/>
          <w:b w:val="0"/>
          <w:i w:val="0"/>
          <w:sz w:val="20"/>
          <w:lang w:eastAsia="en-US"/>
        </w:rPr>
        <w:t>Es decir, si bien el control es difuso, vía “recurso” de amparo el TC puede revisar si la selección de la norma aplicable al caso concreto ha vulnerado algún derecho fundamental.</w:t>
      </w:r>
    </w:p>
    <w:p w14:paraId="40CF15F5" w14:textId="77777777" w:rsidR="00C34AA5" w:rsidRDefault="00C34AA5" w:rsidP="00812B8E">
      <w:pPr>
        <w:pStyle w:val="Pargrafdellista"/>
        <w:spacing w:after="0" w:line="264" w:lineRule="auto"/>
        <w:ind w:left="567" w:hanging="567"/>
        <w:jc w:val="both"/>
        <w:rPr>
          <w:rFonts w:ascii="PT Serif" w:hAnsi="PT Serif"/>
          <w:sz w:val="20"/>
          <w:szCs w:val="20"/>
        </w:rPr>
      </w:pPr>
    </w:p>
    <w:p w14:paraId="5BE159D5" w14:textId="7E8CF7F9" w:rsidR="003C5A95" w:rsidRPr="004633CD" w:rsidRDefault="003C5A95" w:rsidP="004633CD">
      <w:pPr>
        <w:pStyle w:val="Pargrafdellista"/>
        <w:numPr>
          <w:ilvl w:val="0"/>
          <w:numId w:val="37"/>
        </w:numPr>
        <w:spacing w:after="120" w:line="264" w:lineRule="auto"/>
        <w:ind w:left="567" w:firstLine="0"/>
        <w:jc w:val="both"/>
        <w:rPr>
          <w:rFonts w:ascii="PT Serif" w:hAnsi="PT Serif"/>
          <w:i/>
          <w:sz w:val="20"/>
          <w:szCs w:val="20"/>
        </w:rPr>
      </w:pPr>
      <w:r w:rsidRPr="004633CD">
        <w:rPr>
          <w:rFonts w:ascii="PT Serif" w:hAnsi="PT Serif" w:cs="PT Serif"/>
          <w:b w:val="0"/>
          <w:i/>
          <w:sz w:val="20"/>
          <w:szCs w:val="20"/>
        </w:rPr>
        <w:t xml:space="preserve">STC 10/2019, 28 enero (Sala 2ª) </w:t>
      </w:r>
    </w:p>
    <w:p w14:paraId="57490AA3" w14:textId="77777777" w:rsidR="00507DA1" w:rsidRDefault="00507DA1" w:rsidP="00507DA1">
      <w:pPr>
        <w:spacing w:after="0" w:line="240" w:lineRule="auto"/>
        <w:jc w:val="both"/>
        <w:rPr>
          <w:rFonts w:ascii="PT Serif" w:hAnsi="PT Serif"/>
          <w:i/>
          <w:sz w:val="20"/>
          <w:szCs w:val="20"/>
        </w:rPr>
      </w:pPr>
    </w:p>
    <w:p w14:paraId="365A9E60" w14:textId="3E0D5694" w:rsid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La STC 10/2019, de 28 de enero</w:t>
      </w:r>
      <w:r w:rsidR="00B37D7F">
        <w:rPr>
          <w:rStyle w:val="Refernciadenotaapeudepgina"/>
          <w:rFonts w:ascii="PT Serif" w:hAnsi="PT Serif" w:cs="PT Serif"/>
          <w:b w:val="0"/>
          <w:i w:val="0"/>
          <w:sz w:val="20"/>
          <w:szCs w:val="20"/>
        </w:rPr>
        <w:footnoteReference w:id="33"/>
      </w:r>
      <w:r w:rsidRPr="00507DA1">
        <w:rPr>
          <w:rFonts w:ascii="PT Serif" w:hAnsi="PT Serif" w:cs="PT Serif"/>
          <w:b w:val="0"/>
          <w:i w:val="0"/>
          <w:sz w:val="20"/>
          <w:szCs w:val="20"/>
        </w:rPr>
        <w:t xml:space="preserve">, recae como consecuencia de una demanda de amparo presentada por el sobreseimiento y archivo, de una causa seguida por presuntos delitos de genocidio y tortura cometidos en China por la persecución de personas pertenecientes o simpatizantes del grupo Falun Gong. El archivo tuvo lugar como consecuencia de la aplicación de lo previsto en la disposición transitoria única de la LO 1/2014, que dispone que </w:t>
      </w:r>
      <w:r w:rsidR="00812B8E" w:rsidRPr="005D6E0F">
        <w:rPr>
          <w:rFonts w:ascii="PT Serif" w:hAnsi="PT Serif" w:cs="PT Serif"/>
          <w:b w:val="0"/>
          <w:i w:val="0"/>
          <w:sz w:val="20"/>
        </w:rPr>
        <w:t>«</w:t>
      </w:r>
      <w:r w:rsidRPr="00507DA1">
        <w:rPr>
          <w:rFonts w:ascii="PT Serif" w:hAnsi="PT Serif" w:cs="PT Serif"/>
          <w:b w:val="0"/>
          <w:i w:val="0"/>
          <w:sz w:val="20"/>
          <w:szCs w:val="20"/>
        </w:rPr>
        <w:t>las causas que en el momento de entrada en vigor de esta Ley se encuentren en tramitación por los delitos a los que se hace referencia en la misma quedarán sobreseídas hasta que no se acredite el cumplimiento de los requisitos establecidos en ella</w:t>
      </w:r>
      <w:r w:rsidR="00812B8E" w:rsidRPr="005D6E0F">
        <w:rPr>
          <w:rFonts w:ascii="PT Serif" w:hAnsi="PT Serif" w:cs="PT Serif"/>
          <w:b w:val="0"/>
          <w:i w:val="0"/>
          <w:sz w:val="20"/>
        </w:rPr>
        <w:t>»</w:t>
      </w:r>
      <w:r w:rsidRPr="00507DA1">
        <w:rPr>
          <w:rFonts w:ascii="PT Serif" w:hAnsi="PT Serif" w:cs="PT Serif"/>
          <w:b w:val="0"/>
          <w:i w:val="0"/>
          <w:sz w:val="20"/>
          <w:szCs w:val="20"/>
        </w:rPr>
        <w:t>.</w:t>
      </w:r>
    </w:p>
    <w:p w14:paraId="4D4C0EE8" w14:textId="77777777" w:rsidR="00507DA1" w:rsidRDefault="00507DA1" w:rsidP="00507DA1">
      <w:pPr>
        <w:spacing w:after="0" w:line="240" w:lineRule="auto"/>
        <w:jc w:val="both"/>
        <w:rPr>
          <w:rFonts w:ascii="PT Serif" w:hAnsi="PT Serif"/>
          <w:sz w:val="20"/>
          <w:szCs w:val="20"/>
        </w:rPr>
      </w:pPr>
    </w:p>
    <w:p w14:paraId="4D7A9D3E" w14:textId="4DAAFF27"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Son varias las cuestiones que suscitan en la demanda en torno al sistema de Justicia penal universal introducido como consecuencia de la reforma operada por la LO 1/2014. Sin embargo, queremos prestar atención a la alegación de los demandantes de amparo sosteniendo que la LOPJ es contradictoria con los tratados internacionales, entre otros, la Convención contra la tortura y otros tratos o penas crueles, inhumanos o degradantes.</w:t>
      </w:r>
      <w:r w:rsidR="00CB4E07">
        <w:rPr>
          <w:rFonts w:ascii="PT Serif" w:hAnsi="PT Serif" w:cs="PT Serif"/>
          <w:b w:val="0"/>
          <w:i w:val="0"/>
          <w:sz w:val="20"/>
          <w:szCs w:val="20"/>
        </w:rPr>
        <w:t xml:space="preserve"> Nótese que la duda de constitucionalidad ya se resolvió en la STC 140/2018 que hemos analizado, y que la Jurisdicción ordinaria procedió a aplicar una norma interna que implicaba que debieran archivarse las causas por delitos contra la comunidad internacional cometidos en el extranjero cuando faltaran los puntos de conexión con la Jurisdicción española. En la medida en que la LPOJ no contempla el principio de personalidad pasiva en este tipo de delitos como punto de conexión, se procedió al archivo de la causa que nos hemos referido más arriba.</w:t>
      </w:r>
    </w:p>
    <w:p w14:paraId="6D7971C0" w14:textId="77777777" w:rsidR="00507DA1" w:rsidRDefault="00507DA1" w:rsidP="00507DA1">
      <w:pPr>
        <w:spacing w:after="0" w:line="240" w:lineRule="auto"/>
        <w:jc w:val="both"/>
        <w:rPr>
          <w:rFonts w:ascii="PT Serif" w:hAnsi="PT Serif"/>
          <w:sz w:val="20"/>
          <w:szCs w:val="20"/>
        </w:rPr>
      </w:pPr>
    </w:p>
    <w:p w14:paraId="73EF4197" w14:textId="1AB2EF58"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lastRenderedPageBreak/>
        <w:t xml:space="preserve">El análisis de esta cuestión </w:t>
      </w:r>
      <w:r w:rsidR="00C27ACD">
        <w:rPr>
          <w:rFonts w:ascii="PT Serif" w:hAnsi="PT Serif" w:cs="PT Serif"/>
          <w:b w:val="0"/>
          <w:i w:val="0"/>
          <w:sz w:val="20"/>
          <w:szCs w:val="20"/>
        </w:rPr>
        <w:t>es</w:t>
      </w:r>
      <w:r w:rsidRPr="00507DA1">
        <w:rPr>
          <w:rFonts w:ascii="PT Serif" w:hAnsi="PT Serif" w:cs="PT Serif"/>
          <w:b w:val="0"/>
          <w:i w:val="0"/>
          <w:sz w:val="20"/>
          <w:szCs w:val="20"/>
        </w:rPr>
        <w:t xml:space="preserve"> abordada por el TC en el FJ 4º, del cual, queremos destacar los siguientes argumentos.</w:t>
      </w:r>
    </w:p>
    <w:p w14:paraId="634E8EF4" w14:textId="77777777" w:rsidR="00812B8E" w:rsidRDefault="00812B8E" w:rsidP="00812B8E">
      <w:pPr>
        <w:spacing w:after="0" w:line="240" w:lineRule="auto"/>
        <w:jc w:val="both"/>
        <w:rPr>
          <w:rFonts w:ascii="PT Serif" w:hAnsi="PT Serif"/>
          <w:sz w:val="20"/>
          <w:szCs w:val="20"/>
        </w:rPr>
      </w:pPr>
    </w:p>
    <w:p w14:paraId="3CB4378A" w14:textId="2B803366" w:rsidR="00507DA1" w:rsidRPr="00507DA1" w:rsidRDefault="00507DA1" w:rsidP="00812B8E">
      <w:pPr>
        <w:spacing w:after="120" w:line="264" w:lineRule="auto"/>
        <w:ind w:firstLine="0"/>
        <w:jc w:val="both"/>
        <w:rPr>
          <w:rFonts w:ascii="PT Serif" w:hAnsi="PT Serif"/>
          <w:sz w:val="20"/>
          <w:szCs w:val="20"/>
        </w:rPr>
      </w:pPr>
      <w:r w:rsidRPr="00507DA1">
        <w:rPr>
          <w:rFonts w:ascii="PT Serif" w:hAnsi="PT Serif" w:cs="PT Serif"/>
          <w:b w:val="0"/>
          <w:i w:val="0"/>
          <w:sz w:val="20"/>
          <w:szCs w:val="20"/>
        </w:rPr>
        <w:t>1º. El</w:t>
      </w:r>
      <w:r w:rsidR="00C27ACD">
        <w:rPr>
          <w:rFonts w:ascii="PT Serif" w:hAnsi="PT Serif" w:cs="PT Serif"/>
          <w:b w:val="0"/>
          <w:i w:val="0"/>
          <w:sz w:val="20"/>
          <w:szCs w:val="20"/>
        </w:rPr>
        <w:t xml:space="preserve"> TC reitera que el</w:t>
      </w:r>
      <w:r w:rsidRPr="00507DA1">
        <w:rPr>
          <w:rFonts w:ascii="PT Serif" w:hAnsi="PT Serif" w:cs="PT Serif"/>
          <w:b w:val="0"/>
          <w:i w:val="0"/>
          <w:sz w:val="20"/>
          <w:szCs w:val="20"/>
        </w:rPr>
        <w:t xml:space="preserve"> control de convencionalidad tiene una dimensión infra-constitucional, sin que le incumba </w:t>
      </w:r>
      <w:r w:rsidR="00C27ACD">
        <w:rPr>
          <w:rFonts w:ascii="PT Serif" w:hAnsi="PT Serif" w:cs="PT Serif"/>
          <w:b w:val="0"/>
          <w:i w:val="0"/>
          <w:sz w:val="20"/>
          <w:szCs w:val="20"/>
        </w:rPr>
        <w:t>realizarlo. D</w:t>
      </w:r>
      <w:r w:rsidRPr="00507DA1">
        <w:rPr>
          <w:rFonts w:ascii="PT Serif" w:hAnsi="PT Serif" w:cs="PT Serif"/>
          <w:b w:val="0"/>
          <w:i w:val="0"/>
          <w:sz w:val="20"/>
          <w:szCs w:val="20"/>
        </w:rPr>
        <w:t xml:space="preserve">e hecho, </w:t>
      </w:r>
      <w:r w:rsidR="00C27ACD">
        <w:rPr>
          <w:rFonts w:ascii="PT Serif" w:hAnsi="PT Serif" w:cs="PT Serif"/>
          <w:b w:val="0"/>
          <w:i w:val="0"/>
          <w:sz w:val="20"/>
          <w:szCs w:val="20"/>
        </w:rPr>
        <w:t xml:space="preserve">se remite </w:t>
      </w:r>
      <w:r w:rsidRPr="00507DA1">
        <w:rPr>
          <w:rFonts w:ascii="PT Serif" w:hAnsi="PT Serif" w:cs="PT Serif"/>
          <w:b w:val="0"/>
          <w:i w:val="0"/>
          <w:sz w:val="20"/>
          <w:szCs w:val="20"/>
        </w:rPr>
        <w:t>expresa</w:t>
      </w:r>
      <w:r w:rsidR="00C27ACD">
        <w:rPr>
          <w:rFonts w:ascii="PT Serif" w:hAnsi="PT Serif" w:cs="PT Serif"/>
          <w:b w:val="0"/>
          <w:i w:val="0"/>
          <w:sz w:val="20"/>
          <w:szCs w:val="20"/>
        </w:rPr>
        <w:t>mente</w:t>
      </w:r>
      <w:r w:rsidRPr="00507DA1">
        <w:rPr>
          <w:rFonts w:ascii="PT Serif" w:hAnsi="PT Serif" w:cs="PT Serif"/>
          <w:b w:val="0"/>
          <w:i w:val="0"/>
          <w:sz w:val="20"/>
          <w:szCs w:val="20"/>
        </w:rPr>
        <w:t xml:space="preserve"> a la STC 140/2018, reproduciendo parte de </w:t>
      </w:r>
      <w:r w:rsidR="00CB4E07" w:rsidRPr="00507DA1">
        <w:rPr>
          <w:rFonts w:ascii="PT Serif" w:hAnsi="PT Serif" w:cs="PT Serif"/>
          <w:b w:val="0"/>
          <w:i w:val="0"/>
          <w:sz w:val="20"/>
          <w:szCs w:val="20"/>
        </w:rPr>
        <w:t>esta</w:t>
      </w:r>
      <w:r w:rsidRPr="00507DA1">
        <w:rPr>
          <w:rFonts w:ascii="PT Serif" w:hAnsi="PT Serif" w:cs="PT Serif"/>
          <w:b w:val="0"/>
          <w:i w:val="0"/>
          <w:sz w:val="20"/>
          <w:szCs w:val="20"/>
        </w:rPr>
        <w:t>. Así, sostiene:</w:t>
      </w:r>
    </w:p>
    <w:p w14:paraId="53C60B26" w14:textId="77777777" w:rsidR="00507DA1" w:rsidRDefault="00507DA1" w:rsidP="00507DA1">
      <w:pPr>
        <w:spacing w:after="0" w:line="240" w:lineRule="auto"/>
        <w:ind w:left="567" w:right="567"/>
        <w:jc w:val="both"/>
        <w:rPr>
          <w:rFonts w:ascii="PT Serif" w:hAnsi="PT Serif"/>
          <w:sz w:val="20"/>
          <w:szCs w:val="20"/>
        </w:rPr>
      </w:pPr>
    </w:p>
    <w:p w14:paraId="68C3825F" w14:textId="0060E582" w:rsidR="00507DA1" w:rsidRPr="00507DA1" w:rsidRDefault="00812B8E" w:rsidP="00507DA1">
      <w:pPr>
        <w:spacing w:after="120" w:line="264" w:lineRule="auto"/>
        <w:ind w:left="567" w:right="567" w:firstLine="0"/>
        <w:jc w:val="both"/>
        <w:rPr>
          <w:rFonts w:ascii="PT Serif" w:hAnsi="PT Serif"/>
          <w:sz w:val="20"/>
          <w:szCs w:val="20"/>
        </w:rPr>
      </w:pPr>
      <w:r w:rsidRPr="005D6E0F">
        <w:rPr>
          <w:rFonts w:ascii="PT Serif" w:hAnsi="PT Serif" w:cs="PT Serif"/>
          <w:b w:val="0"/>
          <w:i w:val="0"/>
          <w:sz w:val="20"/>
        </w:rPr>
        <w:t>«</w:t>
      </w:r>
      <w:r w:rsidR="00507DA1" w:rsidRPr="00507DA1">
        <w:rPr>
          <w:rFonts w:ascii="PT Serif" w:hAnsi="PT Serif" w:cs="PT Serif"/>
          <w:b w:val="0"/>
          <w:i w:val="0"/>
          <w:sz w:val="20"/>
          <w:szCs w:val="20"/>
        </w:rPr>
        <w:t>Tampoco la eventual contradicción entre la regulación interna (</w:t>
      </w:r>
      <w:hyperlink r:id="rId25" w:tooltip="RCL\1985\1578" w:history="1">
        <w:r w:rsidR="00507DA1" w:rsidRPr="00507DA1">
          <w:rPr>
            <w:rFonts w:ascii="PT Serif" w:hAnsi="PT Serif"/>
          </w:rPr>
          <w:t>art. 23.4 </w:t>
        </w:r>
      </w:hyperlink>
      <w:r w:rsidR="00507DA1" w:rsidRPr="00507DA1">
        <w:rPr>
          <w:rFonts w:ascii="PT Serif" w:hAnsi="PT Serif" w:cs="PT Serif"/>
          <w:b w:val="0"/>
          <w:i w:val="0"/>
          <w:sz w:val="20"/>
          <w:szCs w:val="20"/>
        </w:rPr>
        <w:t> LOPJ) y los convenios y tratados internacionales relativos a la jurisdicción universal determina, por sí misma, violación alguna del  </w:t>
      </w:r>
      <w:hyperlink r:id="rId26" w:tooltip="RCL\1978\2836" w:history="1">
        <w:r w:rsidR="00507DA1" w:rsidRPr="00507DA1">
          <w:rPr>
            <w:rFonts w:ascii="PT Serif" w:hAnsi="PT Serif"/>
          </w:rPr>
          <w:t>artículo 24.1 </w:t>
        </w:r>
      </w:hyperlink>
      <w:r w:rsidR="00507DA1" w:rsidRPr="00507DA1">
        <w:rPr>
          <w:rFonts w:ascii="PT Serif" w:hAnsi="PT Serif" w:cs="PT Serif"/>
          <w:b w:val="0"/>
          <w:i w:val="0"/>
          <w:sz w:val="20"/>
          <w:szCs w:val="20"/>
        </w:rPr>
        <w:t> CE, pues estamos ante un puro juicio de aplicabilidad (control de convencionalidad) que pertenece al ámbito de la legalidad ordinaria y que tiene, por tanto, con carácter general, una dimensión infra-constitucional. En la ya citada  </w:t>
      </w:r>
      <w:hyperlink r:id="rId27" w:history="1">
        <w:r w:rsidR="00507DA1" w:rsidRPr="00507DA1">
          <w:rPr>
            <w:rFonts w:ascii="PT Serif" w:hAnsi="PT Serif"/>
          </w:rPr>
          <w:t>STC 140/2018</w:t>
        </w:r>
      </w:hyperlink>
      <w:r w:rsidR="00507DA1" w:rsidRPr="00507DA1">
        <w:rPr>
          <w:rFonts w:ascii="PT Serif" w:hAnsi="PT Serif" w:cs="PT Serif"/>
          <w:b w:val="0"/>
          <w:i w:val="0"/>
          <w:sz w:val="20"/>
          <w:szCs w:val="20"/>
        </w:rPr>
        <w:t> se recoge con detalle este razonamiento y a él hemos de remitirnos en su integridad, si bien recogiendo ahora la conclusión a la que se llegó:</w:t>
      </w:r>
    </w:p>
    <w:p w14:paraId="18C467FE" w14:textId="77777777" w:rsidR="00507DA1" w:rsidRDefault="00507DA1" w:rsidP="00507DA1">
      <w:pPr>
        <w:spacing w:after="0" w:line="240" w:lineRule="auto"/>
        <w:ind w:left="567" w:right="567"/>
        <w:jc w:val="both"/>
        <w:rPr>
          <w:rFonts w:ascii="PT Serif" w:hAnsi="PT Serif"/>
          <w:sz w:val="20"/>
          <w:szCs w:val="20"/>
        </w:rPr>
      </w:pPr>
    </w:p>
    <w:p w14:paraId="2F6D5D2A" w14:textId="73AADD6A" w:rsidR="00507DA1" w:rsidRP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 xml:space="preserve">«En suma, el análisis de convencionalidad que tiene cabida en nuestro ordenamiento constitucional no es un juicio de validez de la norma interna o de 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formulada por los jueces ordinarios en determinadas circunstancias bajo el parámetro del  </w:t>
      </w:r>
      <w:hyperlink r:id="rId28" w:tooltip="RCL\1978\2836" w:history="1">
        <w:r w:rsidRPr="00507DA1">
          <w:rPr>
            <w:rFonts w:ascii="PT Serif" w:hAnsi="PT Serif"/>
          </w:rPr>
          <w:t>artículo 24.1 </w:t>
        </w:r>
      </w:hyperlink>
      <w:r w:rsidRPr="00507DA1">
        <w:rPr>
          <w:rFonts w:ascii="PT Serif" w:hAnsi="PT Serif" w:cs="PT Serif"/>
          <w:b w:val="0"/>
          <w:i w:val="0"/>
          <w:sz w:val="20"/>
          <w:szCs w:val="20"/>
        </w:rPr>
        <w:t>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w:t>
      </w:r>
      <w:hyperlink r:id="rId29" w:history="1">
        <w:r w:rsidRPr="00507DA1">
          <w:rPr>
            <w:rFonts w:ascii="PT Serif" w:hAnsi="PT Serif"/>
          </w:rPr>
          <w:t>SSTC 25/2000, de 31 de enero</w:t>
        </w:r>
      </w:hyperlink>
      <w:r w:rsidRPr="00507DA1">
        <w:rPr>
          <w:rFonts w:ascii="PT Serif" w:hAnsi="PT Serif" w:cs="PT Serif"/>
          <w:b w:val="0"/>
          <w:i w:val="0"/>
          <w:sz w:val="20"/>
          <w:szCs w:val="20"/>
        </w:rPr>
        <w:t>, FJ 2;  </w:t>
      </w:r>
      <w:hyperlink r:id="rId30" w:history="1">
        <w:r w:rsidRPr="00507DA1">
          <w:rPr>
            <w:rFonts w:ascii="PT Serif" w:hAnsi="PT Serif"/>
          </w:rPr>
          <w:t>221/2001, de 31 de octubre</w:t>
        </w:r>
      </w:hyperlink>
      <w:r w:rsidRPr="00507DA1">
        <w:rPr>
          <w:rFonts w:ascii="PT Serif" w:hAnsi="PT Serif" w:cs="PT Serif"/>
          <w:b w:val="0"/>
          <w:i w:val="0"/>
          <w:sz w:val="20"/>
          <w:szCs w:val="20"/>
        </w:rPr>
        <w:t>, FJ 6, y </w:t>
      </w:r>
      <w:hyperlink r:id="rId31" w:history="1">
        <w:r w:rsidRPr="00507DA1">
          <w:rPr>
            <w:rFonts w:ascii="PT Serif" w:hAnsi="PT Serif"/>
          </w:rPr>
          <w:t>308/2006, de 23 de octubre</w:t>
        </w:r>
      </w:hyperlink>
      <w:r w:rsidRPr="00507DA1">
        <w:rPr>
          <w:rFonts w:ascii="PT Serif" w:hAnsi="PT Serif" w:cs="PT Serif"/>
          <w:b w:val="0"/>
          <w:i w:val="0"/>
          <w:sz w:val="20"/>
          <w:szCs w:val="20"/>
        </w:rPr>
        <w:t xml:space="preserve">, FJ 5, </w:t>
      </w:r>
      <w:hyperlink r:id="rId32" w:history="1">
        <w:r w:rsidRPr="00507DA1">
          <w:rPr>
            <w:rFonts w:ascii="PT Serif" w:hAnsi="PT Serif"/>
          </w:rPr>
          <w:t>STC 145/2012, de 2 de julio</w:t>
        </w:r>
      </w:hyperlink>
      <w:r w:rsidRPr="00507DA1">
        <w:rPr>
          <w:rFonts w:ascii="PT Serif" w:hAnsi="PT Serif" w:cs="PT Serif"/>
          <w:b w:val="0"/>
          <w:i w:val="0"/>
          <w:sz w:val="20"/>
          <w:szCs w:val="20"/>
        </w:rPr>
        <w:t>, FJ 4)«.</w:t>
      </w:r>
    </w:p>
    <w:p w14:paraId="66212B15" w14:textId="77777777" w:rsidR="00507DA1" w:rsidRDefault="00507DA1" w:rsidP="00507DA1">
      <w:pPr>
        <w:spacing w:after="0" w:line="240" w:lineRule="auto"/>
        <w:ind w:left="567" w:right="567"/>
        <w:jc w:val="both"/>
        <w:rPr>
          <w:rFonts w:ascii="PT Serif" w:hAnsi="PT Serif"/>
          <w:sz w:val="20"/>
          <w:szCs w:val="20"/>
        </w:rPr>
      </w:pPr>
    </w:p>
    <w:p w14:paraId="119BE841" w14:textId="45EE6854" w:rsid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La conclusión inmediata es que el recurso también debe ser desestimado en este punto, por cuanto cualquier análisis de compatibilidad entre los tratados y la  </w:t>
      </w:r>
      <w:hyperlink r:id="rId33" w:history="1">
        <w:r w:rsidRPr="00507DA1">
          <w:rPr>
            <w:rFonts w:ascii="PT Serif" w:hAnsi="PT Serif"/>
          </w:rPr>
          <w:t>Ley Orgánica 1/2014</w:t>
        </w:r>
      </w:hyperlink>
      <w:r w:rsidRPr="00507DA1">
        <w:rPr>
          <w:rFonts w:ascii="PT Serif" w:hAnsi="PT Serif" w:cs="PT Serif"/>
          <w:b w:val="0"/>
          <w:i w:val="0"/>
          <w:sz w:val="20"/>
          <w:szCs w:val="20"/>
        </w:rPr>
        <w:t> se dirimirá en términos de legalidad ordinaria y selección del derecho aplicable en un primer término, y no en clave de contradicción con el  </w:t>
      </w:r>
      <w:hyperlink r:id="rId34" w:tooltip="RCL\1978\2836" w:history="1">
        <w:r w:rsidRPr="00507DA1">
          <w:rPr>
            <w:rFonts w:ascii="PT Serif" w:hAnsi="PT Serif"/>
          </w:rPr>
          <w:t>artículo 96 </w:t>
        </w:r>
      </w:hyperlink>
      <w:r w:rsidRPr="00507DA1">
        <w:rPr>
          <w:rFonts w:ascii="PT Serif" w:hAnsi="PT Serif" w:cs="PT Serif"/>
          <w:b w:val="0"/>
          <w:i w:val="0"/>
          <w:sz w:val="20"/>
          <w:szCs w:val="20"/>
        </w:rPr>
        <w:t> CE de la norma interna eventualmente contraria a un tratado. (FJ 6)”</w:t>
      </w:r>
      <w:r w:rsidR="00535934" w:rsidRPr="005D6E0F">
        <w:rPr>
          <w:rFonts w:ascii="PT Serif" w:hAnsi="PT Serif" w:cs="PT Serif"/>
          <w:b w:val="0"/>
          <w:i w:val="0"/>
          <w:sz w:val="20"/>
        </w:rPr>
        <w:t>»</w:t>
      </w:r>
      <w:r w:rsidRPr="00507DA1">
        <w:rPr>
          <w:rFonts w:ascii="PT Serif" w:hAnsi="PT Serif" w:cs="PT Serif"/>
          <w:b w:val="0"/>
          <w:i w:val="0"/>
          <w:sz w:val="20"/>
          <w:szCs w:val="20"/>
        </w:rPr>
        <w:t>.</w:t>
      </w:r>
    </w:p>
    <w:p w14:paraId="7CA16891" w14:textId="77777777" w:rsidR="00E85A0B" w:rsidRPr="00507DA1" w:rsidRDefault="00E85A0B" w:rsidP="00507DA1">
      <w:pPr>
        <w:spacing w:after="0" w:line="240" w:lineRule="auto"/>
        <w:ind w:left="567" w:right="567"/>
        <w:jc w:val="both"/>
        <w:rPr>
          <w:rFonts w:ascii="PT Serif" w:hAnsi="PT Serif"/>
          <w:sz w:val="20"/>
          <w:szCs w:val="20"/>
        </w:rPr>
      </w:pPr>
    </w:p>
    <w:p w14:paraId="2529D0D8" w14:textId="77777777" w:rsidR="00507DA1" w:rsidRPr="00507DA1" w:rsidRDefault="00507DA1" w:rsidP="00812B8E">
      <w:pPr>
        <w:spacing w:after="120" w:line="264" w:lineRule="auto"/>
        <w:ind w:firstLine="0"/>
        <w:jc w:val="both"/>
        <w:rPr>
          <w:rFonts w:ascii="PT Serif" w:hAnsi="PT Serif"/>
          <w:sz w:val="20"/>
          <w:szCs w:val="20"/>
        </w:rPr>
      </w:pPr>
      <w:r w:rsidRPr="00507DA1">
        <w:rPr>
          <w:rFonts w:ascii="PT Serif" w:hAnsi="PT Serif" w:cs="PT Serif"/>
          <w:b w:val="0"/>
          <w:i w:val="0"/>
          <w:sz w:val="20"/>
          <w:szCs w:val="20"/>
        </w:rPr>
        <w:t>2º. Por otro lado, aunque sostiene que la cuestión es de aplicación de legalidad ordinaria (ley interna versus tratado internacional), acoge el argumento del Ministerio Fiscal en el que se sostiene que no puede entenderse que exista una contradicción entre el artículo 23.4 a) y b) LOPJ, con la Convención contra la tortura y otros tratos o penas crueles, inhumanos o degradantes. En concreto, afirma:</w:t>
      </w:r>
    </w:p>
    <w:p w14:paraId="13585ED6" w14:textId="77777777" w:rsidR="00507DA1" w:rsidRDefault="00507DA1" w:rsidP="00507DA1">
      <w:pPr>
        <w:spacing w:after="0" w:line="240" w:lineRule="auto"/>
        <w:ind w:left="567" w:right="567"/>
        <w:jc w:val="both"/>
        <w:rPr>
          <w:rFonts w:ascii="PT Serif" w:hAnsi="PT Serif"/>
          <w:sz w:val="20"/>
          <w:szCs w:val="20"/>
        </w:rPr>
      </w:pPr>
    </w:p>
    <w:p w14:paraId="759FB597" w14:textId="46EBDAE8" w:rsidR="00507DA1" w:rsidRPr="00507DA1" w:rsidRDefault="00812B8E" w:rsidP="00507DA1">
      <w:pPr>
        <w:spacing w:after="120" w:line="264" w:lineRule="auto"/>
        <w:ind w:left="567" w:right="567" w:firstLine="0"/>
        <w:jc w:val="both"/>
        <w:rPr>
          <w:rFonts w:ascii="PT Serif" w:hAnsi="PT Serif"/>
          <w:sz w:val="20"/>
          <w:szCs w:val="20"/>
        </w:rPr>
      </w:pPr>
      <w:r w:rsidRPr="005D6E0F">
        <w:rPr>
          <w:rFonts w:ascii="PT Serif" w:hAnsi="PT Serif" w:cs="PT Serif"/>
          <w:b w:val="0"/>
          <w:i w:val="0"/>
          <w:sz w:val="20"/>
        </w:rPr>
        <w:t>«</w:t>
      </w:r>
      <w:r w:rsidR="00507DA1" w:rsidRPr="00507DA1">
        <w:rPr>
          <w:rFonts w:ascii="PT Serif" w:hAnsi="PT Serif" w:cs="PT Serif"/>
          <w:b w:val="0"/>
          <w:i w:val="0"/>
          <w:sz w:val="20"/>
          <w:szCs w:val="20"/>
        </w:rPr>
        <w:t>Así pues, en la aplicación del  </w:t>
      </w:r>
      <w:hyperlink r:id="rId35" w:tooltip="RCL\1985\1578" w:history="1">
        <w:r w:rsidR="00507DA1" w:rsidRPr="00507DA1">
          <w:rPr>
            <w:rFonts w:ascii="PT Serif" w:hAnsi="PT Serif"/>
          </w:rPr>
          <w:t>artículo 23.4 </w:t>
        </w:r>
      </w:hyperlink>
      <w:r w:rsidR="00507DA1" w:rsidRPr="00507DA1">
        <w:rPr>
          <w:rFonts w:ascii="PT Serif" w:hAnsi="PT Serif" w:cs="PT Serif"/>
          <w:b w:val="0"/>
          <w:i w:val="0"/>
          <w:sz w:val="20"/>
          <w:szCs w:val="20"/>
        </w:rPr>
        <w:t> LOPJ realizada por las resoluciones impugnadas, tampoco puede observarse vulneración alguna del  </w:t>
      </w:r>
      <w:hyperlink r:id="rId36" w:tooltip="RCL\1978\2836" w:history="1">
        <w:r w:rsidR="00507DA1" w:rsidRPr="00507DA1">
          <w:rPr>
            <w:rFonts w:ascii="PT Serif" w:hAnsi="PT Serif"/>
          </w:rPr>
          <w:t>artículo 24.1 </w:t>
        </w:r>
      </w:hyperlink>
      <w:r w:rsidR="00507DA1" w:rsidRPr="00507DA1">
        <w:rPr>
          <w:rFonts w:ascii="PT Serif" w:hAnsi="PT Serif" w:cs="PT Serif"/>
          <w:b w:val="0"/>
          <w:i w:val="0"/>
          <w:sz w:val="20"/>
          <w:szCs w:val="20"/>
        </w:rPr>
        <w:t xml:space="preserve"> CE, ya que la eventual discordancia con normas convencionales entraña un juicio interpretativo que no rebasa los límites de la legalidad ordinaria, sobre el que, de otro lado, el recurso de amparo no realiza consideración particular alguna, más allá </w:t>
      </w:r>
      <w:r w:rsidR="00507DA1" w:rsidRPr="00507DA1">
        <w:rPr>
          <w:rFonts w:ascii="PT Serif" w:hAnsi="PT Serif" w:cs="PT Serif"/>
          <w:b w:val="0"/>
          <w:i w:val="0"/>
          <w:sz w:val="20"/>
          <w:szCs w:val="20"/>
        </w:rPr>
        <w:lastRenderedPageBreak/>
        <w:t>de una denuncia genérica. Cumple señalar, en cualquier caso, que, como ha puesto de relieve el Ministerio Fiscal, ni del  </w:t>
      </w:r>
      <w:hyperlink r:id="rId37" w:history="1">
        <w:r w:rsidR="00507DA1" w:rsidRPr="00507DA1">
          <w:rPr>
            <w:rFonts w:ascii="PT Serif" w:hAnsi="PT Serif"/>
          </w:rPr>
          <w:t>Convenio para la prevención y la sanción del delito de genocidio</w:t>
        </w:r>
      </w:hyperlink>
      <w:r w:rsidR="00507DA1" w:rsidRPr="00507DA1">
        <w:rPr>
          <w:rFonts w:ascii="PT Serif" w:hAnsi="PT Serif" w:cs="PT Serif"/>
          <w:b w:val="0"/>
          <w:i w:val="0"/>
          <w:sz w:val="20"/>
          <w:szCs w:val="20"/>
        </w:rPr>
        <w:t>, aprobado por la asamblea general de las Naciones Unidas el 9 de diciembre de 1948, ni de la  </w:t>
      </w:r>
      <w:hyperlink r:id="rId38" w:history="1">
        <w:r w:rsidR="00507DA1" w:rsidRPr="00507DA1">
          <w:rPr>
            <w:rFonts w:ascii="PT Serif" w:hAnsi="PT Serif"/>
          </w:rPr>
          <w:t>Convención contra la tortura y otros tratos o penas crueles, inhumanos o degradantes</w:t>
        </w:r>
      </w:hyperlink>
      <w:r w:rsidR="00507DA1" w:rsidRPr="00507DA1">
        <w:rPr>
          <w:rFonts w:ascii="PT Serif" w:hAnsi="PT Serif" w:cs="PT Serif"/>
          <w:b w:val="0"/>
          <w:i w:val="0"/>
          <w:sz w:val="20"/>
          <w:szCs w:val="20"/>
        </w:rPr>
        <w:t>, hecha en Nueva York el 10 de diciembre de 1984, se desprende contradicción alguna con lo previsto en el  </w:t>
      </w:r>
      <w:hyperlink r:id="rId39" w:tooltip="RCL\1985\1578" w:history="1">
        <w:r w:rsidR="00507DA1" w:rsidRPr="00507DA1">
          <w:rPr>
            <w:rFonts w:ascii="PT Serif" w:hAnsi="PT Serif"/>
          </w:rPr>
          <w:t>artículo 23.4 a) y b) </w:t>
        </w:r>
      </w:hyperlink>
      <w:r w:rsidR="00507DA1" w:rsidRPr="00507DA1">
        <w:rPr>
          <w:rFonts w:ascii="PT Serif" w:hAnsi="PT Serif" w:cs="PT Serif"/>
          <w:b w:val="0"/>
          <w:i w:val="0"/>
          <w:sz w:val="20"/>
          <w:szCs w:val="20"/>
        </w:rPr>
        <w:t> LOPJ, pues los puntos de conexión expresamente previstos en estas normas internacionales han sido respetados por la legislación interna, análisis que, hemos de insistir, corresponde realizar, en cualquier caso, a los órganos del Poder Judicial, en cuanto que son ellos los llamados a resolver los conflictos de aplicación de la legalidad ordinaria</w:t>
      </w:r>
      <w:r w:rsidRPr="005D6E0F">
        <w:rPr>
          <w:rFonts w:ascii="PT Serif" w:hAnsi="PT Serif" w:cs="PT Serif"/>
          <w:b w:val="0"/>
          <w:i w:val="0"/>
          <w:sz w:val="20"/>
        </w:rPr>
        <w:t>»</w:t>
      </w:r>
      <w:r w:rsidR="00507DA1" w:rsidRPr="00507DA1">
        <w:rPr>
          <w:rFonts w:ascii="PT Serif" w:hAnsi="PT Serif" w:cs="PT Serif"/>
          <w:b w:val="0"/>
          <w:i w:val="0"/>
          <w:sz w:val="20"/>
          <w:szCs w:val="20"/>
        </w:rPr>
        <w:t xml:space="preserve">. </w:t>
      </w:r>
    </w:p>
    <w:p w14:paraId="0CD60341" w14:textId="77777777" w:rsidR="00507DA1" w:rsidRPr="00507DA1" w:rsidRDefault="00507DA1" w:rsidP="00507DA1">
      <w:pPr>
        <w:spacing w:after="0" w:line="264" w:lineRule="auto"/>
        <w:jc w:val="both"/>
        <w:rPr>
          <w:rFonts w:ascii="PT Serif" w:hAnsi="PT Serif"/>
          <w:i/>
          <w:sz w:val="20"/>
          <w:szCs w:val="20"/>
        </w:rPr>
      </w:pPr>
    </w:p>
    <w:p w14:paraId="08E6166E" w14:textId="23B93C55" w:rsidR="003C5A95" w:rsidRPr="004633CD" w:rsidRDefault="001C5065" w:rsidP="004633CD">
      <w:pPr>
        <w:pStyle w:val="Pargrafdellista"/>
        <w:numPr>
          <w:ilvl w:val="0"/>
          <w:numId w:val="37"/>
        </w:numPr>
        <w:spacing w:after="120" w:line="264" w:lineRule="auto"/>
        <w:ind w:left="567" w:firstLine="0"/>
        <w:jc w:val="both"/>
        <w:rPr>
          <w:rFonts w:ascii="PT Serif" w:hAnsi="PT Serif"/>
          <w:i/>
          <w:sz w:val="20"/>
          <w:szCs w:val="20"/>
        </w:rPr>
      </w:pPr>
      <w:r w:rsidRPr="004633CD">
        <w:rPr>
          <w:rFonts w:ascii="PT Serif" w:hAnsi="PT Serif" w:cs="PT Serif"/>
          <w:b w:val="0"/>
          <w:i/>
          <w:sz w:val="20"/>
          <w:szCs w:val="20"/>
        </w:rPr>
        <w:t xml:space="preserve"> </w:t>
      </w:r>
      <w:r w:rsidR="003C5A95" w:rsidRPr="004633CD">
        <w:rPr>
          <w:rFonts w:ascii="PT Serif" w:hAnsi="PT Serif" w:cs="PT Serif"/>
          <w:b w:val="0"/>
          <w:i/>
          <w:sz w:val="20"/>
          <w:szCs w:val="20"/>
        </w:rPr>
        <w:t xml:space="preserve">STC 80/2019, 17 junio (Pleno) </w:t>
      </w:r>
    </w:p>
    <w:p w14:paraId="42294808" w14:textId="7DF72C62" w:rsidR="00C34AA5" w:rsidRDefault="00C34AA5" w:rsidP="00C34AA5">
      <w:pPr>
        <w:spacing w:after="0" w:line="264" w:lineRule="auto"/>
        <w:jc w:val="both"/>
        <w:rPr>
          <w:rFonts w:ascii="PT Serif" w:hAnsi="PT Serif"/>
          <w:sz w:val="20"/>
          <w:szCs w:val="20"/>
        </w:rPr>
      </w:pPr>
    </w:p>
    <w:p w14:paraId="022180F1" w14:textId="77777777"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La STC 80/2019, 17 junio (Pleno</w:t>
      </w:r>
      <w:r w:rsidRPr="00507DA1">
        <w:rPr>
          <w:rFonts w:ascii="PT Serif" w:hAnsi="PT Serif" w:cs="PT Serif"/>
          <w:b w:val="0"/>
          <w:i w:val="0"/>
          <w:sz w:val="20"/>
        </w:rPr>
        <w:footnoteReference w:id="34"/>
      </w:r>
      <w:r w:rsidRPr="00507DA1">
        <w:rPr>
          <w:rFonts w:ascii="PT Serif" w:hAnsi="PT Serif" w:cs="PT Serif"/>
          <w:b w:val="0"/>
          <w:i w:val="0"/>
          <w:sz w:val="20"/>
          <w:szCs w:val="20"/>
        </w:rPr>
        <w:t>), realiza un análisis acerca del control de convencionalidad efectuado por la Jurisdicción ordinaria en relación con el archivo de una causa seguida por presuntos delitos de guerra cometidos fuera del territorio nacional.</w:t>
      </w:r>
    </w:p>
    <w:p w14:paraId="344100CA" w14:textId="77777777" w:rsidR="00507DA1" w:rsidRDefault="00507DA1" w:rsidP="00507DA1">
      <w:pPr>
        <w:spacing w:after="0" w:line="240" w:lineRule="auto"/>
        <w:jc w:val="both"/>
        <w:rPr>
          <w:rFonts w:ascii="PT Serif" w:hAnsi="PT Serif"/>
          <w:sz w:val="20"/>
          <w:szCs w:val="20"/>
        </w:rPr>
      </w:pPr>
    </w:p>
    <w:p w14:paraId="5A5C6209" w14:textId="69A684C9"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Los demandantes de amparo, entre otros argumentos, consideran que dicho archivo tuvo lugar como consecuencia de la regulación contenida en la LOPJ tras la reforma operada por la LO 1/2014, siendo contradicha por el IV Convenio de Ginebra de 12 de agosto de 1949 y su protocolo adicional de 8 de junio de 1977.</w:t>
      </w:r>
    </w:p>
    <w:p w14:paraId="64FAF886" w14:textId="77777777" w:rsidR="00507DA1" w:rsidRDefault="00507DA1" w:rsidP="00507DA1">
      <w:pPr>
        <w:spacing w:after="0" w:line="240" w:lineRule="auto"/>
        <w:jc w:val="both"/>
        <w:rPr>
          <w:rFonts w:ascii="PT Serif" w:hAnsi="PT Serif"/>
          <w:sz w:val="20"/>
          <w:szCs w:val="20"/>
        </w:rPr>
      </w:pPr>
    </w:p>
    <w:p w14:paraId="2529CDDD" w14:textId="4A954CEA"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En el FJ 2º, el TC identifica los cánones a tener presentes para un eventual control de convencionalidad por parte de la Jurisdicción ordinaria. Así, afirma:</w:t>
      </w:r>
    </w:p>
    <w:p w14:paraId="7541FA75" w14:textId="77777777" w:rsidR="00507DA1" w:rsidRDefault="00507DA1" w:rsidP="00507DA1">
      <w:pPr>
        <w:spacing w:after="0" w:line="240" w:lineRule="auto"/>
        <w:ind w:left="567" w:right="567"/>
        <w:jc w:val="both"/>
        <w:rPr>
          <w:rFonts w:ascii="PT Serif" w:hAnsi="PT Serif"/>
          <w:sz w:val="20"/>
          <w:szCs w:val="20"/>
        </w:rPr>
      </w:pPr>
    </w:p>
    <w:p w14:paraId="4FCB528E" w14:textId="00A0A5AD" w:rsidR="00507DA1" w:rsidRPr="00507DA1" w:rsidRDefault="00535934" w:rsidP="00507DA1">
      <w:pPr>
        <w:spacing w:after="120" w:line="264" w:lineRule="auto"/>
        <w:ind w:left="567" w:right="567" w:firstLine="0"/>
        <w:jc w:val="both"/>
        <w:rPr>
          <w:rFonts w:ascii="PT Serif" w:hAnsi="PT Serif"/>
          <w:sz w:val="20"/>
          <w:szCs w:val="20"/>
        </w:rPr>
      </w:pPr>
      <w:r w:rsidRPr="005D6E0F">
        <w:rPr>
          <w:rFonts w:ascii="PT Serif" w:hAnsi="PT Serif" w:cs="PT Serif"/>
          <w:b w:val="0"/>
          <w:i w:val="0"/>
          <w:sz w:val="20"/>
        </w:rPr>
        <w:t>«</w:t>
      </w:r>
      <w:r w:rsidR="00507DA1" w:rsidRPr="00507DA1">
        <w:rPr>
          <w:rFonts w:ascii="PT Serif" w:hAnsi="PT Serif" w:cs="PT Serif"/>
          <w:b w:val="0"/>
          <w:i w:val="0"/>
          <w:sz w:val="20"/>
          <w:szCs w:val="20"/>
        </w:rPr>
        <w:t>Lo que en este punto cuestionan los recursos de amparo es la respuesta dada por los órganos del Poder Judicial al conflicto que a su juicio se produce entre el derecho interno, que regula la jurisdicción extraterritorial de los tribunales españoles, tras su modificación por la Ley Orgánica 1/2014, y los convenios y tratados internacionales sobre persecución de crímenes contra la comunidad internacional, en este particular caso, la IV Convención de Ginebra de 1949 y su Protocolo adicional I. Se plantea de este modo el reproche de que los órganos judiciales no han verificado como es debido el «control de convencionalidad» de la ley interna.</w:t>
      </w:r>
    </w:p>
    <w:p w14:paraId="487892D1" w14:textId="77777777" w:rsidR="00507DA1" w:rsidRDefault="00507DA1" w:rsidP="00507DA1">
      <w:pPr>
        <w:spacing w:after="0" w:line="240" w:lineRule="auto"/>
        <w:ind w:left="567" w:right="567"/>
        <w:jc w:val="both"/>
        <w:rPr>
          <w:rFonts w:ascii="PT Serif" w:hAnsi="PT Serif"/>
          <w:sz w:val="20"/>
          <w:szCs w:val="20"/>
        </w:rPr>
      </w:pPr>
    </w:p>
    <w:p w14:paraId="462ADF10" w14:textId="7F3251C9" w:rsidR="00507DA1" w:rsidRP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Ya se ha dicho en la </w:t>
      </w:r>
      <w:hyperlink r:id="rId40" w:history="1">
        <w:r w:rsidRPr="00507DA1">
          <w:rPr>
            <w:rFonts w:ascii="PT Serif" w:hAnsi="PT Serif"/>
          </w:rPr>
          <w:t>STC 140/2018</w:t>
        </w:r>
      </w:hyperlink>
      <w:r w:rsidRPr="00507DA1">
        <w:rPr>
          <w:rFonts w:ascii="PT Serif" w:hAnsi="PT Serif" w:cs="PT Serif"/>
          <w:b w:val="0"/>
          <w:i w:val="0"/>
          <w:sz w:val="20"/>
          <w:szCs w:val="20"/>
        </w:rPr>
        <w:t>, FJ 6, y reiterado en la  </w:t>
      </w:r>
      <w:hyperlink r:id="rId41" w:history="1">
        <w:r w:rsidRPr="00507DA1">
          <w:rPr>
            <w:rFonts w:ascii="PT Serif" w:hAnsi="PT Serif"/>
          </w:rPr>
          <w:t>STC 10/2019, de 28 de enero</w:t>
        </w:r>
      </w:hyperlink>
      <w:r w:rsidRPr="00507DA1">
        <w:rPr>
          <w:rFonts w:ascii="PT Serif" w:hAnsi="PT Serif" w:cs="PT Serif"/>
          <w:b w:val="0"/>
          <w:i w:val="0"/>
          <w:sz w:val="20"/>
          <w:szCs w:val="20"/>
        </w:rPr>
        <w:t>, FJ 4, que el control por los órganos del Poder Judicial de la adecuación del derecho interno a las exigencias de los convenios internacionales constituye una cuestión de selección de la norma aplicable, perteneciente al ámbito de la legalidad ordinaria y de dimensión infraconstitucional, por lo que a este tribunal solo le compete en la vía del amparo constitucional revisar la selección del derecho formulada por los jueces ordinarios en determinadas circunstancias bajo el parámetro del  </w:t>
      </w:r>
      <w:hyperlink r:id="rId42" w:tooltip="RCL\1978\2836" w:history="1">
        <w:r w:rsidRPr="00507DA1">
          <w:rPr>
            <w:rFonts w:ascii="PT Serif" w:hAnsi="PT Serif"/>
          </w:rPr>
          <w:t>artículo 24.1 </w:t>
        </w:r>
      </w:hyperlink>
      <w:r w:rsidRPr="00507DA1">
        <w:rPr>
          <w:rFonts w:ascii="PT Serif" w:hAnsi="PT Serif" w:cs="PT Serif"/>
          <w:b w:val="0"/>
          <w:i w:val="0"/>
          <w:sz w:val="20"/>
          <w:szCs w:val="20"/>
        </w:rPr>
        <w:t xml:space="preserve">CE: «[e]n suma, el análisis de convencionalidad que tiene cabida en nuestro ordenamiento constitucional no es un juicio de validez de la norma interna o de 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w:t>
      </w:r>
      <w:r w:rsidRPr="00507DA1">
        <w:rPr>
          <w:rFonts w:ascii="PT Serif" w:hAnsi="PT Serif" w:cs="PT Serif"/>
          <w:b w:val="0"/>
          <w:i w:val="0"/>
          <w:sz w:val="20"/>
          <w:szCs w:val="20"/>
        </w:rPr>
        <w:lastRenderedPageBreak/>
        <w:t>formulada por los jueces ordinarios en determinadas circunstancias bajo el parámetro del  </w:t>
      </w:r>
      <w:hyperlink r:id="rId43" w:tooltip="RCL\1978\2836" w:history="1">
        <w:r w:rsidRPr="00507DA1">
          <w:rPr>
            <w:rFonts w:ascii="PT Serif" w:hAnsi="PT Serif"/>
          </w:rPr>
          <w:t>artículo 24.1 </w:t>
        </w:r>
      </w:hyperlink>
      <w:r w:rsidRPr="00507DA1">
        <w:rPr>
          <w:rFonts w:ascii="PT Serif" w:hAnsi="PT Serif" w:cs="PT Serif"/>
          <w:b w:val="0"/>
          <w:i w:val="0"/>
          <w:sz w:val="20"/>
          <w:szCs w:val="20"/>
        </w:rPr>
        <w:t>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w:t>
      </w:r>
      <w:hyperlink r:id="rId44" w:history="1">
        <w:r w:rsidRPr="00507DA1">
          <w:rPr>
            <w:rFonts w:ascii="PT Serif" w:hAnsi="PT Serif"/>
          </w:rPr>
          <w:t>SSTC 25/2000, de 31 de enero (RTC 2000, 25)</w:t>
        </w:r>
      </w:hyperlink>
      <w:r w:rsidRPr="00507DA1">
        <w:rPr>
          <w:rFonts w:ascii="PT Serif" w:hAnsi="PT Serif" w:cs="PT Serif"/>
          <w:b w:val="0"/>
          <w:i w:val="0"/>
          <w:sz w:val="20"/>
          <w:szCs w:val="20"/>
        </w:rPr>
        <w:t>, FJ 2; </w:t>
      </w:r>
      <w:hyperlink r:id="rId45" w:history="1">
        <w:r w:rsidRPr="00507DA1">
          <w:rPr>
            <w:rFonts w:ascii="PT Serif" w:hAnsi="PT Serif"/>
          </w:rPr>
          <w:t>221/2001, de 31 de octubre</w:t>
        </w:r>
      </w:hyperlink>
      <w:r w:rsidRPr="00507DA1">
        <w:rPr>
          <w:rFonts w:ascii="PT Serif" w:hAnsi="PT Serif" w:cs="PT Serif"/>
          <w:b w:val="0"/>
          <w:i w:val="0"/>
          <w:sz w:val="20"/>
          <w:szCs w:val="20"/>
        </w:rPr>
        <w:t>, FJ 6, y  </w:t>
      </w:r>
      <w:hyperlink r:id="rId46" w:history="1">
        <w:r w:rsidRPr="00507DA1">
          <w:rPr>
            <w:rFonts w:ascii="PT Serif" w:hAnsi="PT Serif"/>
          </w:rPr>
          <w:t>308/2006, de 23 de octubre</w:t>
        </w:r>
      </w:hyperlink>
      <w:r w:rsidRPr="00507DA1">
        <w:rPr>
          <w:rFonts w:ascii="PT Serif" w:hAnsi="PT Serif" w:cs="PT Serif"/>
          <w:b w:val="0"/>
          <w:i w:val="0"/>
          <w:sz w:val="20"/>
          <w:szCs w:val="20"/>
        </w:rPr>
        <w:t>, FJ 5), (</w:t>
      </w:r>
      <w:hyperlink r:id="rId47" w:history="1">
        <w:r w:rsidRPr="00507DA1">
          <w:rPr>
            <w:rFonts w:ascii="PT Serif" w:hAnsi="PT Serif"/>
          </w:rPr>
          <w:t>STC 145/2012, de 2 de julio</w:t>
        </w:r>
      </w:hyperlink>
      <w:r w:rsidRPr="00507DA1">
        <w:rPr>
          <w:rFonts w:ascii="PT Serif" w:hAnsi="PT Serif" w:cs="PT Serif"/>
          <w:b w:val="0"/>
          <w:i w:val="0"/>
          <w:sz w:val="20"/>
          <w:szCs w:val="20"/>
        </w:rPr>
        <w:t>, FJ 4)«.</w:t>
      </w:r>
    </w:p>
    <w:p w14:paraId="5FBF00E0" w14:textId="77777777" w:rsidR="00507DA1" w:rsidRDefault="00507DA1" w:rsidP="00507DA1">
      <w:pPr>
        <w:spacing w:after="0" w:line="240" w:lineRule="auto"/>
        <w:ind w:left="567" w:right="567"/>
        <w:jc w:val="both"/>
        <w:rPr>
          <w:rFonts w:ascii="PT Serif" w:hAnsi="PT Serif"/>
          <w:sz w:val="20"/>
          <w:szCs w:val="20"/>
        </w:rPr>
      </w:pPr>
    </w:p>
    <w:p w14:paraId="75BC3B9B" w14:textId="65604EEC" w:rsid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Este será, en consecuencia, el canon aplicable al enjuiciamiento constitucional de la decisión adoptada por los órganos judiciales de atenerse a la regulación de la jurisdicción universal emanada de la Ley Orgánica 1/2014 como fundamento del cuestionado sobreseimiento de la causa</w:t>
      </w:r>
      <w:r w:rsidR="00535934" w:rsidRPr="005D6E0F">
        <w:rPr>
          <w:rFonts w:ascii="PT Serif" w:hAnsi="PT Serif" w:cs="PT Serif"/>
          <w:b w:val="0"/>
          <w:i w:val="0"/>
          <w:sz w:val="20"/>
        </w:rPr>
        <w:t>»</w:t>
      </w:r>
      <w:r w:rsidRPr="00507DA1">
        <w:rPr>
          <w:rFonts w:ascii="PT Serif" w:hAnsi="PT Serif" w:cs="PT Serif"/>
          <w:b w:val="0"/>
          <w:i w:val="0"/>
          <w:sz w:val="20"/>
          <w:szCs w:val="20"/>
        </w:rPr>
        <w:t>.</w:t>
      </w:r>
    </w:p>
    <w:p w14:paraId="0EAC5A50" w14:textId="77777777" w:rsidR="00507DA1" w:rsidRDefault="00507DA1" w:rsidP="00507DA1">
      <w:pPr>
        <w:spacing w:after="0" w:line="240" w:lineRule="auto"/>
        <w:jc w:val="both"/>
        <w:rPr>
          <w:rFonts w:ascii="PT Serif" w:hAnsi="PT Serif"/>
          <w:sz w:val="20"/>
          <w:szCs w:val="20"/>
        </w:rPr>
      </w:pPr>
    </w:p>
    <w:p w14:paraId="51479E7F" w14:textId="2D7578E9" w:rsid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En el FJ 3º, entra a verificar cómo la Jurisdicción ordinaria procedió a confrontar la regulación interna y la convencional, concluyendo que no existía contradicción entre las mismas. Así afirma:</w:t>
      </w:r>
    </w:p>
    <w:p w14:paraId="09FAB768" w14:textId="77777777" w:rsidR="00507DA1" w:rsidRPr="00507DA1" w:rsidRDefault="00507DA1" w:rsidP="00507DA1">
      <w:pPr>
        <w:spacing w:after="0" w:line="240" w:lineRule="auto"/>
        <w:jc w:val="both"/>
        <w:rPr>
          <w:rFonts w:ascii="PT Serif" w:hAnsi="PT Serif"/>
          <w:sz w:val="20"/>
          <w:szCs w:val="20"/>
        </w:rPr>
      </w:pPr>
    </w:p>
    <w:p w14:paraId="43984B46" w14:textId="246F8D20" w:rsidR="00507DA1" w:rsidRPr="00507DA1" w:rsidRDefault="000A7BAD" w:rsidP="00507DA1">
      <w:pPr>
        <w:spacing w:after="120" w:line="264" w:lineRule="auto"/>
        <w:ind w:left="567" w:right="567" w:firstLine="0"/>
        <w:jc w:val="both"/>
        <w:rPr>
          <w:rFonts w:ascii="PT Serif" w:hAnsi="PT Serif"/>
          <w:sz w:val="20"/>
          <w:szCs w:val="20"/>
        </w:rPr>
      </w:pPr>
      <w:r w:rsidRPr="005D6E0F">
        <w:rPr>
          <w:rFonts w:ascii="PT Serif" w:hAnsi="PT Serif" w:cs="PT Serif"/>
          <w:b w:val="0"/>
          <w:i w:val="0"/>
          <w:sz w:val="20"/>
        </w:rPr>
        <w:t>«</w:t>
      </w:r>
      <w:r w:rsidR="00507DA1" w:rsidRPr="00507DA1">
        <w:rPr>
          <w:rFonts w:ascii="PT Serif" w:hAnsi="PT Serif" w:cs="PT Serif"/>
          <w:b w:val="0"/>
          <w:i w:val="0"/>
          <w:sz w:val="20"/>
          <w:szCs w:val="20"/>
        </w:rPr>
        <w:t>Sobre la interpretación de la normativa convencional. Incorporada la  </w:t>
      </w:r>
      <w:hyperlink r:id="rId48" w:history="1">
        <w:r w:rsidR="00507DA1" w:rsidRPr="00507DA1">
          <w:rPr>
            <w:rFonts w:ascii="PT Serif" w:hAnsi="PT Serif"/>
          </w:rPr>
          <w:t>IV Convención de Ginebra de 1949</w:t>
        </w:r>
      </w:hyperlink>
      <w:r w:rsidR="00507DA1" w:rsidRPr="00507DA1">
        <w:rPr>
          <w:rFonts w:ascii="PT Serif" w:hAnsi="PT Serif" w:cs="PT Serif"/>
          <w:b w:val="0"/>
          <w:i w:val="0"/>
          <w:sz w:val="20"/>
          <w:szCs w:val="20"/>
        </w:rPr>
        <w:t> al ordenamiento interno conforme a lo exigido en el  </w:t>
      </w:r>
      <w:hyperlink r:id="rId49" w:tooltip="RCL\1978\2836" w:history="1">
        <w:r w:rsidR="00507DA1" w:rsidRPr="00507DA1">
          <w:rPr>
            <w:rFonts w:ascii="PT Serif" w:hAnsi="PT Serif"/>
          </w:rPr>
          <w:t>art. 96.1 </w:t>
        </w:r>
      </w:hyperlink>
      <w:r w:rsidR="00507DA1" w:rsidRPr="00507DA1">
        <w:rPr>
          <w:rFonts w:ascii="PT Serif" w:hAnsi="PT Serif" w:cs="PT Serif"/>
          <w:b w:val="0"/>
          <w:i w:val="0"/>
          <w:sz w:val="20"/>
          <w:szCs w:val="20"/>
        </w:rPr>
        <w:t> CE, su interacción con la normativa orgánico-judicial definitoria de la extensión de la jurisdicción española en su versión emanada de la Ley Orgánica 1/2014 debe ser dirimida según el canon del control de convencionalidad reseñado en el fundamento anterior, en virtud del cual en la vía del amparo constitucional solamente procede revisar la selección del derecho formulada por los jueces ordinarios bajo el parámetro del  </w:t>
      </w:r>
      <w:hyperlink r:id="rId50" w:tooltip="RCL\1978\2836" w:history="1">
        <w:r w:rsidR="00507DA1" w:rsidRPr="00507DA1">
          <w:rPr>
            <w:rFonts w:ascii="PT Serif" w:hAnsi="PT Serif"/>
          </w:rPr>
          <w:t>artículo 24.1 </w:t>
        </w:r>
      </w:hyperlink>
      <w:r w:rsidR="00507DA1" w:rsidRPr="00507DA1">
        <w:rPr>
          <w:rFonts w:ascii="PT Serif" w:hAnsi="PT Serif" w:cs="PT Serif"/>
          <w:b w:val="0"/>
          <w:i w:val="0"/>
          <w:sz w:val="20"/>
          <w:szCs w:val="20"/>
        </w:rPr>
        <w:t> CE, que garantiza que el fundamento de la decisión judicial sea la aplicación no arbitraria ni irrazonable de las normas concurrentes; así lo hemos reiterado en el fundamento jurídico 6 de la  </w:t>
      </w:r>
      <w:hyperlink r:id="rId51" w:history="1">
        <w:r w:rsidR="00507DA1" w:rsidRPr="00507DA1">
          <w:rPr>
            <w:rFonts w:ascii="PT Serif" w:hAnsi="PT Serif"/>
          </w:rPr>
          <w:t>STC 140/2018</w:t>
        </w:r>
      </w:hyperlink>
      <w:r w:rsidR="00507DA1" w:rsidRPr="00507DA1">
        <w:rPr>
          <w:rFonts w:ascii="PT Serif" w:hAnsi="PT Serif" w:cs="PT Serif"/>
          <w:b w:val="0"/>
          <w:i w:val="0"/>
          <w:sz w:val="20"/>
          <w:szCs w:val="20"/>
        </w:rPr>
        <w:t> anteriormente transcrito.</w:t>
      </w:r>
    </w:p>
    <w:p w14:paraId="21894E3C" w14:textId="77777777" w:rsidR="00507DA1" w:rsidRDefault="00507DA1" w:rsidP="00507DA1">
      <w:pPr>
        <w:spacing w:after="0" w:line="240" w:lineRule="auto"/>
        <w:ind w:left="567" w:right="567"/>
        <w:jc w:val="both"/>
        <w:rPr>
          <w:rFonts w:ascii="PT Serif" w:hAnsi="PT Serif"/>
          <w:sz w:val="20"/>
          <w:szCs w:val="20"/>
        </w:rPr>
      </w:pPr>
    </w:p>
    <w:p w14:paraId="448C8DCD" w14:textId="658C4B9C" w:rsidR="00507DA1" w:rsidRP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La  </w:t>
      </w:r>
      <w:hyperlink r:id="rId52" w:history="1">
        <w:r w:rsidRPr="00507DA1">
          <w:rPr>
            <w:rFonts w:ascii="PT Serif" w:hAnsi="PT Serif"/>
          </w:rPr>
          <w:t>sentencia de la Sala Penal del Tribunal Supremo núm. 797/2016, de 25 de octubre</w:t>
        </w:r>
      </w:hyperlink>
      <w:r w:rsidRPr="00507DA1">
        <w:rPr>
          <w:rFonts w:ascii="PT Serif" w:hAnsi="PT Serif" w:cs="PT Serif"/>
          <w:b w:val="0"/>
          <w:i w:val="0"/>
          <w:sz w:val="20"/>
          <w:szCs w:val="20"/>
        </w:rPr>
        <w:t>, con cita extensa de su  </w:t>
      </w:r>
      <w:hyperlink r:id="rId53" w:history="1">
        <w:r w:rsidRPr="00507DA1">
          <w:rPr>
            <w:rFonts w:ascii="PT Serif" w:hAnsi="PT Serif"/>
          </w:rPr>
          <w:t>sentencia núm. 296/2015, de 6 de mayo</w:t>
        </w:r>
      </w:hyperlink>
      <w:r w:rsidRPr="00507DA1">
        <w:rPr>
          <w:rFonts w:ascii="PT Serif" w:hAnsi="PT Serif" w:cs="PT Serif"/>
          <w:b w:val="0"/>
          <w:i w:val="0"/>
          <w:sz w:val="20"/>
          <w:szCs w:val="20"/>
        </w:rPr>
        <w:t>, argumenta que la jurisdicción universal supone que, conforme a determinados tratados internacionales, los tribunales de un Estado deben ejercer jurisdicción extraterritorial sobre ciertos delitos en función de su naturaleza para evitar que los responsables puedan encontrar un lugar de refugio donde alcanzar la impunidad, de lo que no se sigue, necesariamente, que los Estados estén obligados necesariamente a extender dicha jurisdicción a personas que no se encuentren en su territorio, o en el ámbito de su soberanía, para iniciar una investigación in absentia, aunque puedan extender facultativamente su jurisdicción a estos supuestos, si así lo establecen en su legislación interna</w:t>
      </w:r>
      <w:r w:rsidR="00C27ACD">
        <w:rPr>
          <w:rFonts w:ascii="PT Serif" w:hAnsi="PT Serif" w:cs="PT Serif"/>
          <w:b w:val="0"/>
          <w:i w:val="0"/>
          <w:sz w:val="20"/>
          <w:szCs w:val="20"/>
        </w:rPr>
        <w:t xml:space="preserve"> (…)</w:t>
      </w:r>
      <w:r w:rsidRPr="00507DA1">
        <w:rPr>
          <w:rFonts w:ascii="PT Serif" w:hAnsi="PT Serif" w:cs="PT Serif"/>
          <w:b w:val="0"/>
          <w:i w:val="0"/>
          <w:sz w:val="20"/>
          <w:szCs w:val="20"/>
        </w:rPr>
        <w:t>.</w:t>
      </w:r>
    </w:p>
    <w:p w14:paraId="10E4CB9F" w14:textId="77777777" w:rsidR="00507DA1" w:rsidRDefault="00507DA1" w:rsidP="00507DA1">
      <w:pPr>
        <w:spacing w:after="0" w:line="240" w:lineRule="auto"/>
        <w:ind w:left="567" w:right="567"/>
        <w:jc w:val="both"/>
        <w:rPr>
          <w:rFonts w:ascii="PT Serif" w:hAnsi="PT Serif"/>
          <w:sz w:val="20"/>
          <w:szCs w:val="20"/>
        </w:rPr>
      </w:pPr>
    </w:p>
    <w:p w14:paraId="3C8DBC68" w14:textId="73A2EC9B" w:rsidR="00507DA1" w:rsidRPr="00507DA1" w:rsidRDefault="00507DA1" w:rsidP="00507DA1">
      <w:pPr>
        <w:spacing w:after="120" w:line="264" w:lineRule="auto"/>
        <w:ind w:left="567" w:right="567" w:firstLine="0"/>
        <w:jc w:val="both"/>
        <w:rPr>
          <w:rFonts w:ascii="PT Serif" w:hAnsi="PT Serif"/>
          <w:sz w:val="20"/>
          <w:szCs w:val="20"/>
        </w:rPr>
      </w:pPr>
      <w:r w:rsidRPr="00507DA1">
        <w:rPr>
          <w:rFonts w:ascii="PT Serif" w:hAnsi="PT Serif" w:cs="PT Serif"/>
          <w:b w:val="0"/>
          <w:i w:val="0"/>
          <w:sz w:val="20"/>
          <w:szCs w:val="20"/>
        </w:rPr>
        <w:t>Esta argumentación, que sirve a la Sala Penal del Tribunal Supremo para alcanzar la conclusión de que el  </w:t>
      </w:r>
      <w:hyperlink r:id="rId54" w:tooltip="RCL\1985\1578" w:history="1">
        <w:r w:rsidRPr="00507DA1">
          <w:rPr>
            <w:rFonts w:ascii="PT Serif" w:hAnsi="PT Serif"/>
          </w:rPr>
          <w:t>art. 23.4 a) </w:t>
        </w:r>
      </w:hyperlink>
      <w:r w:rsidRPr="00507DA1">
        <w:rPr>
          <w:rFonts w:ascii="PT Serif" w:hAnsi="PT Serif" w:cs="PT Serif"/>
          <w:b w:val="0"/>
          <w:i w:val="0"/>
          <w:sz w:val="20"/>
          <w:szCs w:val="20"/>
        </w:rPr>
        <w:t> LOPJ no es incompatible con las previsiones en materia de jurisdicción penal de la IV Convención de Ginebra, no resulta contraria al parámetro que hemos fijado en relación con el  </w:t>
      </w:r>
      <w:hyperlink r:id="rId55" w:tooltip="RCL\1978\2836" w:history="1">
        <w:r w:rsidRPr="00507DA1">
          <w:rPr>
            <w:rFonts w:ascii="PT Serif" w:hAnsi="PT Serif"/>
          </w:rPr>
          <w:t xml:space="preserve">art. 24. 1 </w:t>
        </w:r>
      </w:hyperlink>
      <w:r w:rsidRPr="00507DA1">
        <w:rPr>
          <w:rFonts w:ascii="PT Serif" w:hAnsi="PT Serif" w:cs="PT Serif"/>
          <w:b w:val="0"/>
          <w:i w:val="0"/>
          <w:sz w:val="20"/>
          <w:szCs w:val="20"/>
        </w:rPr>
        <w:t xml:space="preserve">CE, como a continuación se explica. A juicio del citado Tribunal, el art. 146, segundo párrafo, de la IV Convención de Ginebra no determina, en su literalidad, que el deber de perseguir a los autores de infracciones graves sea absoluto ni que resista la vigencia de cualquier presupuesto procesal que el derecho interno de los Estados haya razonablemente </w:t>
      </w:r>
      <w:r w:rsidRPr="00507DA1">
        <w:rPr>
          <w:rFonts w:ascii="PT Serif" w:hAnsi="PT Serif" w:cs="PT Serif"/>
          <w:b w:val="0"/>
          <w:i w:val="0"/>
          <w:sz w:val="20"/>
          <w:szCs w:val="20"/>
        </w:rPr>
        <w:lastRenderedPageBreak/>
        <w:t>establecido en orden a fijar su propia jurisdicción, ni cabe extraer tan rígida conclusión de las previsiones comunes sobre legislación penal contenidas en las cuatro Convenciones de Ginebra, cuyo fundamento y finalidad originaria no fue otra que suministrar a los Estados una base jurídica suficiente para justificar en el ámbito del derecho internacional público la proyección extraterritorial de su jurisdicción para juzgar criminales de guerra de cualquier nacionalidad, con independencia de que se hubiera solicitado o no su extradición por un tercer Estado, para evitar de este modo que su ámbito de soberanía se convirtiera en un espacio de impunidad. Estas nociones, asentadas en décadas de vigencia de las Convenciones de Ginebra de 1949, en las que los Estados signatarios han ejercido su libertad de configuración de los presupuestos del proceso, no quedan refutadas en los últimos comentarios elaborados en el seno del propio comité internacional de la Cruz Roja —organismo este al que, si bien no le corresponde fijar la interpretación auténtica de los preceptos convencionales, sí ostenta reconocida auctoritas respecto de esa temática—, en los cuales la exigencia de la presencia temporal o permanente del culpable en el territorio del Estado que los incrimina y juzga, sin ser parte de la literalidad de la norma, se considera legítima si obedece al propósito de garantizar la efectividad del proceso y no a móviles políticos o a deslealtad al espíritu del convenio [vid. comentarios al art. 49 del I Convenio de Ginebra, en sus apartados 2866 (…)</w:t>
      </w:r>
      <w:r w:rsidR="000A7BAD" w:rsidRPr="005D6E0F">
        <w:rPr>
          <w:rFonts w:ascii="PT Serif" w:hAnsi="PT Serif" w:cs="PT Serif"/>
          <w:b w:val="0"/>
          <w:i w:val="0"/>
          <w:sz w:val="20"/>
        </w:rPr>
        <w:t>»</w:t>
      </w:r>
      <w:r w:rsidRPr="00507DA1">
        <w:rPr>
          <w:rFonts w:ascii="PT Serif" w:hAnsi="PT Serif" w:cs="PT Serif"/>
          <w:b w:val="0"/>
          <w:i w:val="0"/>
          <w:sz w:val="20"/>
          <w:szCs w:val="20"/>
        </w:rPr>
        <w:t>.</w:t>
      </w:r>
    </w:p>
    <w:p w14:paraId="2ABA5E55" w14:textId="77777777" w:rsidR="00507DA1" w:rsidRDefault="00507DA1" w:rsidP="00507DA1">
      <w:pPr>
        <w:spacing w:after="0" w:line="240" w:lineRule="auto"/>
        <w:jc w:val="both"/>
        <w:rPr>
          <w:rFonts w:ascii="PT Serif" w:hAnsi="PT Serif"/>
          <w:sz w:val="20"/>
          <w:szCs w:val="20"/>
        </w:rPr>
      </w:pPr>
    </w:p>
    <w:p w14:paraId="2481AC0A" w14:textId="64049FCD" w:rsidR="00507DA1" w:rsidRPr="00507DA1" w:rsidRDefault="00507DA1" w:rsidP="00507DA1">
      <w:pPr>
        <w:spacing w:after="120" w:line="264" w:lineRule="auto"/>
        <w:ind w:firstLine="0"/>
        <w:jc w:val="both"/>
        <w:rPr>
          <w:rFonts w:ascii="PT Serif" w:hAnsi="PT Serif"/>
          <w:sz w:val="20"/>
          <w:szCs w:val="20"/>
        </w:rPr>
      </w:pPr>
      <w:r w:rsidRPr="00507DA1">
        <w:rPr>
          <w:rFonts w:ascii="PT Serif" w:hAnsi="PT Serif" w:cs="PT Serif"/>
          <w:b w:val="0"/>
          <w:i w:val="0"/>
          <w:sz w:val="20"/>
          <w:szCs w:val="20"/>
        </w:rPr>
        <w:t>Por estos motivos, concluye que la Jurisdicción ordinaria no llevó a cabo una interpretación irrazonable, arbitraria o incursa en error patente, que es lo que el TC p</w:t>
      </w:r>
      <w:r w:rsidR="00CB4E07">
        <w:rPr>
          <w:rFonts w:ascii="PT Serif" w:hAnsi="PT Serif" w:cs="PT Serif"/>
          <w:b w:val="0"/>
          <w:i w:val="0"/>
          <w:sz w:val="20"/>
          <w:szCs w:val="20"/>
        </w:rPr>
        <w:t>odría</w:t>
      </w:r>
      <w:r w:rsidRPr="00507DA1">
        <w:rPr>
          <w:rFonts w:ascii="PT Serif" w:hAnsi="PT Serif" w:cs="PT Serif"/>
          <w:b w:val="0"/>
          <w:i w:val="0"/>
          <w:sz w:val="20"/>
          <w:szCs w:val="20"/>
        </w:rPr>
        <w:t xml:space="preserve"> controlar vía amparo cuando se ha</w:t>
      </w:r>
      <w:r w:rsidR="00CB4E07">
        <w:rPr>
          <w:rFonts w:ascii="PT Serif" w:hAnsi="PT Serif" w:cs="PT Serif"/>
          <w:b w:val="0"/>
          <w:i w:val="0"/>
          <w:sz w:val="20"/>
          <w:szCs w:val="20"/>
        </w:rPr>
        <w:t>ya</w:t>
      </w:r>
      <w:r w:rsidRPr="00507DA1">
        <w:rPr>
          <w:rFonts w:ascii="PT Serif" w:hAnsi="PT Serif" w:cs="PT Serif"/>
          <w:b w:val="0"/>
          <w:i w:val="0"/>
          <w:sz w:val="20"/>
          <w:szCs w:val="20"/>
        </w:rPr>
        <w:t xml:space="preserve"> realizado un eventual control de convencionalidad:</w:t>
      </w:r>
    </w:p>
    <w:p w14:paraId="0372078A" w14:textId="77777777" w:rsidR="00507DA1" w:rsidRDefault="00507DA1" w:rsidP="00507DA1">
      <w:pPr>
        <w:spacing w:after="0" w:line="240" w:lineRule="auto"/>
        <w:ind w:left="567" w:right="567"/>
        <w:jc w:val="both"/>
        <w:rPr>
          <w:rFonts w:ascii="PT Serif" w:hAnsi="PT Serif"/>
          <w:sz w:val="20"/>
          <w:szCs w:val="20"/>
        </w:rPr>
      </w:pPr>
    </w:p>
    <w:p w14:paraId="1DB1AF56" w14:textId="5C3A7200" w:rsidR="00507DA1" w:rsidRPr="00507DA1" w:rsidRDefault="000A7BAD" w:rsidP="00507DA1">
      <w:pPr>
        <w:spacing w:after="120" w:line="264" w:lineRule="auto"/>
        <w:ind w:left="567" w:right="567" w:firstLine="0"/>
        <w:jc w:val="both"/>
        <w:rPr>
          <w:rFonts w:ascii="PT Serif" w:hAnsi="PT Serif"/>
          <w:sz w:val="20"/>
          <w:szCs w:val="20"/>
        </w:rPr>
      </w:pPr>
      <w:r w:rsidRPr="005D6E0F">
        <w:rPr>
          <w:rFonts w:ascii="PT Serif" w:hAnsi="PT Serif" w:cs="PT Serif"/>
          <w:b w:val="0"/>
          <w:i w:val="0"/>
          <w:sz w:val="20"/>
        </w:rPr>
        <w:t>«</w:t>
      </w:r>
      <w:r w:rsidR="00507DA1" w:rsidRPr="00507DA1">
        <w:rPr>
          <w:rFonts w:ascii="PT Serif" w:hAnsi="PT Serif" w:cs="PT Serif"/>
          <w:b w:val="0"/>
          <w:i w:val="0"/>
          <w:sz w:val="20"/>
          <w:szCs w:val="20"/>
        </w:rPr>
        <w:t>En atención a lo expuesto, debemos descartar que el Tribunal Supremo haya llevado a cabo una interpretación de la legalidad interna e internacional susceptible de ser considerada irrazonable, arbitraria o incursa en error patente, sin que tampoco sea fruto de un injustificado decisionismo judicial, al argumentar que ni el  </w:t>
      </w:r>
      <w:hyperlink r:id="rId56" w:tooltip="RCL\1985\1578" w:history="1">
        <w:r w:rsidR="00507DA1" w:rsidRPr="00507DA1">
          <w:rPr>
            <w:rFonts w:ascii="PT Serif" w:hAnsi="PT Serif"/>
          </w:rPr>
          <w:t>art. 23.4 a) </w:t>
        </w:r>
      </w:hyperlink>
      <w:r w:rsidR="00507DA1" w:rsidRPr="00507DA1">
        <w:rPr>
          <w:rFonts w:ascii="PT Serif" w:hAnsi="PT Serif" w:cs="PT Serif"/>
          <w:b w:val="0"/>
          <w:i w:val="0"/>
          <w:sz w:val="20"/>
          <w:szCs w:val="20"/>
        </w:rPr>
        <w:t> LOPJ ni la  </w:t>
      </w:r>
      <w:hyperlink r:id="rId57" w:tooltip="RCL\2014\381" w:history="1">
        <w:r w:rsidR="00507DA1" w:rsidRPr="00507DA1">
          <w:rPr>
            <w:rFonts w:ascii="PT Serif" w:hAnsi="PT Serif"/>
          </w:rPr>
          <w:t>disposición transitoria única </w:t>
        </w:r>
      </w:hyperlink>
      <w:r w:rsidR="00507DA1" w:rsidRPr="00507DA1">
        <w:rPr>
          <w:rFonts w:ascii="PT Serif" w:hAnsi="PT Serif" w:cs="PT Serif"/>
          <w:b w:val="0"/>
          <w:i w:val="0"/>
          <w:sz w:val="20"/>
          <w:szCs w:val="20"/>
        </w:rPr>
        <w:t>  de la Ley Orgánica 1/2014, al exigir que los responsables de crímenes de guerra no españoles residan o se encuentren en España, entran en conflicto con los mandatos de la IV Convención de Ginebra de 1949 y su protocolo adicional I</w:t>
      </w:r>
      <w:r w:rsidRPr="005D6E0F">
        <w:rPr>
          <w:rFonts w:ascii="PT Serif" w:hAnsi="PT Serif" w:cs="PT Serif"/>
          <w:b w:val="0"/>
          <w:i w:val="0"/>
          <w:sz w:val="20"/>
        </w:rPr>
        <w:t>»</w:t>
      </w:r>
      <w:r w:rsidR="00507DA1" w:rsidRPr="00507DA1">
        <w:rPr>
          <w:rFonts w:ascii="PT Serif" w:hAnsi="PT Serif" w:cs="PT Serif"/>
          <w:b w:val="0"/>
          <w:i w:val="0"/>
          <w:sz w:val="20"/>
          <w:szCs w:val="20"/>
        </w:rPr>
        <w:t>.</w:t>
      </w:r>
    </w:p>
    <w:p w14:paraId="721461EC" w14:textId="77777777" w:rsidR="002B78B0" w:rsidRPr="004B561D" w:rsidRDefault="002B78B0" w:rsidP="004B561D">
      <w:pPr>
        <w:spacing w:after="0" w:line="264" w:lineRule="auto"/>
        <w:jc w:val="both"/>
        <w:rPr>
          <w:rFonts w:ascii="PT Serif" w:hAnsi="PT Serif"/>
          <w:sz w:val="20"/>
          <w:szCs w:val="20"/>
        </w:rPr>
      </w:pPr>
    </w:p>
    <w:p w14:paraId="2192D997" w14:textId="238094E3" w:rsidR="00E163E8" w:rsidRDefault="00E163E8" w:rsidP="00E163E8">
      <w:pPr>
        <w:tabs>
          <w:tab w:val="left" w:pos="630"/>
        </w:tabs>
        <w:spacing w:after="60" w:line="240" w:lineRule="auto" w:before="120"/>
        <w:jc w:val="both"/>
        <w:rPr>
          <w:rFonts w:ascii="PT Serif" w:hAnsi="PT Serif"/>
          <w:b/>
          <w:bCs/>
          <w:i/>
          <w:iCs/>
          <w:sz w:val="18"/>
          <w:szCs w:val="18"/>
        </w:rPr>
      </w:pPr>
      <w:r>
        <w:rPr>
          <w:rFonts w:ascii="PT Serif" w:hAnsi="PT Serif" w:cs="PT Serif"/>
          <w:b/>
          <w:i w:val="0"/>
          <w:sz w:val="20"/>
          <w:szCs w:val="18"/>
        </w:rPr>
        <w:t xml:space="preserve"> </w:t>
      </w:r>
      <w:r w:rsidRPr="00E163E8">
        <w:rPr>
          <w:rFonts w:ascii="PT Serif" w:hAnsi="PT Serif" w:cs="PT Serif"/>
          <w:b/>
          <w:bCs/>
          <w:i w:val="0"/>
          <w:sz w:val="20"/>
          <w:szCs w:val="18"/>
        </w:rPr>
        <w:t xml:space="preserve">3.3. </w:t>
      </w:r>
      <w:r w:rsidRPr="004633CD">
        <w:rPr>
          <w:rFonts w:ascii="PT Serif" w:hAnsi="PT Serif" w:cs="PT Serif"/>
          <w:b/>
          <w:bCs/>
          <w:i w:val="0"/>
          <w:sz w:val="20"/>
          <w:szCs w:val="20"/>
        </w:rPr>
        <w:t xml:space="preserve">Concurso de ley interna y convencional: </w:t>
      </w:r>
      <w:r w:rsidR="00413C0B" w:rsidRPr="004633CD">
        <w:rPr>
          <w:rFonts w:ascii="PT Serif" w:hAnsi="PT Serif" w:cs="PT Serif"/>
          <w:b/>
          <w:bCs/>
          <w:i w:val="0"/>
          <w:sz w:val="20"/>
          <w:szCs w:val="20"/>
        </w:rPr>
        <w:t xml:space="preserve">principios de prevalencia de </w:t>
      </w:r>
      <w:r w:rsidRPr="004633CD">
        <w:rPr>
          <w:rFonts w:ascii="PT Serif" w:hAnsi="PT Serif" w:cs="PT Serif"/>
          <w:b/>
          <w:bCs/>
          <w:i w:val="0"/>
          <w:sz w:val="20"/>
          <w:szCs w:val="20"/>
        </w:rPr>
        <w:t xml:space="preserve">los tratados y </w:t>
      </w:r>
      <w:r w:rsidRPr="004633CD">
        <w:rPr>
          <w:rFonts w:ascii="PT Serif" w:hAnsi="PT Serif" w:cs="PT Serif"/>
          <w:b/>
          <w:bCs/>
          <w:i w:val="0"/>
          <w:iCs/>
          <w:sz w:val="20"/>
          <w:szCs w:val="20"/>
        </w:rPr>
        <w:t>pro persona</w:t>
      </w:r>
    </w:p>
    <w:p w14:paraId="228DD44C" w14:textId="77777777" w:rsidR="00E85A0B" w:rsidRPr="00E163E8" w:rsidRDefault="00E85A0B" w:rsidP="00E163E8">
      <w:pPr>
        <w:tabs>
          <w:tab w:val="left" w:pos="630"/>
        </w:tabs>
        <w:spacing w:after="0" w:line="240" w:lineRule="auto"/>
        <w:jc w:val="both"/>
        <w:rPr>
          <w:rFonts w:ascii="PT Serif" w:hAnsi="PT Serif"/>
          <w:b/>
          <w:bCs/>
          <w:i/>
          <w:iCs/>
          <w:sz w:val="18"/>
          <w:szCs w:val="18"/>
        </w:rPr>
      </w:pPr>
    </w:p>
    <w:p w14:paraId="3A212D2C" w14:textId="74BC069F" w:rsidR="00E163E8" w:rsidRDefault="00E163E8" w:rsidP="00E163E8">
      <w:pPr>
        <w:pStyle w:val="03Texto"/>
        <w:spacing w:before="0" w:lineRule="auto" w:line="264" w:after="120"/>
        <w:ind w:firstLine="0"/>
        <w:jc w:val="both"/>
        <w:rPr>
          <w:rFonts w:ascii="PT Serif" w:hAnsi="PT Serif"/>
          <w:sz w:val="20"/>
        </w:rPr>
      </w:pPr>
      <w:r>
        <w:rPr>
          <w:rFonts w:ascii="PT Serif" w:hAnsi="PT Serif" w:cs="PT Serif"/>
          <w:b w:val="0"/>
          <w:i w:val="0"/>
          <w:sz w:val="20"/>
          <w:lang w:eastAsia="en-US"/>
        </w:rPr>
        <w:t>Hemos analizado que l</w:t>
      </w:r>
      <w:r w:rsidRPr="001237D0">
        <w:rPr>
          <w:rFonts w:ascii="PT Serif" w:hAnsi="PT Serif" w:cs="PT Serif"/>
          <w:b w:val="0"/>
          <w:i w:val="0"/>
          <w:sz w:val="20"/>
          <w:lang w:eastAsia="en-US"/>
        </w:rPr>
        <w:t>a Jurisdicción ordinaria no puede llevar a cabo un control de la actuación del poder legislativ</w:t>
      </w:r>
      <w:r>
        <w:rPr>
          <w:rFonts w:ascii="PT Serif" w:hAnsi="PT Serif" w:cs="PT Serif"/>
          <w:b w:val="0"/>
          <w:i w:val="0"/>
          <w:sz w:val="20"/>
          <w:lang w:eastAsia="en-US"/>
        </w:rPr>
        <w:t>o</w:t>
      </w:r>
      <w:r>
        <w:rPr>
          <w:rStyle w:val="Refernciadenotaapeudepgina"/>
          <w:rFonts w:ascii="PT Serif" w:hAnsi="PT Serif" w:cs="PT Serif"/>
          <w:b w:val="0"/>
          <w:i w:val="0"/>
          <w:sz w:val="20"/>
          <w:lang w:eastAsia="en-US"/>
        </w:rPr>
        <w:footnoteReference w:id="35"/>
      </w:r>
      <w:r w:rsidRPr="001237D0">
        <w:rPr>
          <w:rFonts w:ascii="PT Serif" w:hAnsi="PT Serif" w:cs="PT Serif"/>
          <w:b w:val="0"/>
          <w:i w:val="0"/>
          <w:sz w:val="20"/>
          <w:lang w:eastAsia="en-US"/>
        </w:rPr>
        <w:t>. Pero, aun así, la Jurisdicción ordinaria colabora con la Jurisdicción constitucional promoviendo las cuestiones de inconstitucionalidad. Sin embargo,</w:t>
      </w:r>
      <w:r>
        <w:rPr>
          <w:rFonts w:ascii="PT Serif" w:hAnsi="PT Serif" w:cs="PT Serif"/>
          <w:b w:val="0"/>
          <w:i w:val="0"/>
          <w:sz w:val="20"/>
          <w:lang w:eastAsia="en-US"/>
        </w:rPr>
        <w:t xml:space="preserve"> la jurisprudencia constitucional que hemos </w:t>
      </w:r>
      <w:r w:rsidR="00413C0B">
        <w:rPr>
          <w:rFonts w:ascii="PT Serif" w:hAnsi="PT Serif" w:cs="PT Serif"/>
          <w:b w:val="0"/>
          <w:i w:val="0"/>
          <w:sz w:val="20"/>
          <w:lang w:eastAsia="en-US"/>
        </w:rPr>
        <w:t>estudiado</w:t>
      </w:r>
      <w:r>
        <w:rPr>
          <w:rFonts w:ascii="PT Serif" w:hAnsi="PT Serif" w:cs="PT Serif"/>
          <w:b w:val="0"/>
          <w:i w:val="0"/>
          <w:sz w:val="20"/>
          <w:lang w:eastAsia="en-US"/>
        </w:rPr>
        <w:t xml:space="preserve"> </w:t>
      </w:r>
      <w:r w:rsidRPr="001237D0">
        <w:rPr>
          <w:rFonts w:ascii="PT Serif" w:hAnsi="PT Serif" w:cs="PT Serif"/>
          <w:b w:val="0"/>
          <w:i w:val="0"/>
          <w:sz w:val="20"/>
          <w:lang w:eastAsia="en-US"/>
        </w:rPr>
        <w:t>excluye formalmente del canon de constitucionalidad a los tratados internacionales</w:t>
      </w:r>
      <w:r>
        <w:rPr>
          <w:rStyle w:val="Refernciadenotaapeudepgina"/>
          <w:rFonts w:ascii="PT Serif" w:hAnsi="PT Serif" w:cs="PT Serif"/>
          <w:b w:val="0"/>
          <w:i w:val="0"/>
          <w:sz w:val="20"/>
          <w:lang w:eastAsia="en-US"/>
        </w:rPr>
        <w:footnoteReference w:id="36"/>
      </w:r>
      <w:r w:rsidRPr="001237D0">
        <w:rPr>
          <w:rFonts w:ascii="PT Serif" w:hAnsi="PT Serif" w:cs="PT Serif"/>
          <w:b w:val="0"/>
          <w:i w:val="0"/>
          <w:sz w:val="20"/>
          <w:lang w:eastAsia="en-US"/>
        </w:rPr>
        <w:t xml:space="preserve">, </w:t>
      </w:r>
      <w:r>
        <w:rPr>
          <w:rFonts w:ascii="PT Serif" w:hAnsi="PT Serif" w:cs="PT Serif"/>
          <w:b w:val="0"/>
          <w:i w:val="0"/>
          <w:sz w:val="20"/>
          <w:lang w:eastAsia="en-US"/>
        </w:rPr>
        <w:t>fijando que el control de convencionalidad está en manos de la Jurisdicción ordinaria, con carácter difuso</w:t>
      </w:r>
      <w:r>
        <w:rPr>
          <w:rStyle w:val="Refernciadenotaapeudepgina"/>
          <w:rFonts w:ascii="PT Serif" w:hAnsi="PT Serif" w:cs="PT Serif"/>
          <w:b w:val="0"/>
          <w:i w:val="0"/>
          <w:sz w:val="20"/>
          <w:lang w:eastAsia="en-US"/>
        </w:rPr>
        <w:footnoteReference w:id="37"/>
      </w:r>
      <w:r w:rsidRPr="001237D0">
        <w:rPr>
          <w:rFonts w:ascii="PT Serif" w:hAnsi="PT Serif" w:cs="PT Serif"/>
          <w:b w:val="0"/>
          <w:i w:val="0"/>
          <w:sz w:val="20"/>
          <w:lang w:eastAsia="en-US"/>
        </w:rPr>
        <w:t xml:space="preserve">. Esta actuación no convierte en </w:t>
      </w:r>
      <w:r w:rsidRPr="001237D0">
        <w:rPr>
          <w:rFonts w:ascii="PT Serif" w:hAnsi="PT Serif" w:cs="PT Serif"/>
          <w:b w:val="0"/>
          <w:i w:val="0"/>
          <w:sz w:val="20"/>
          <w:lang w:eastAsia="en-US"/>
        </w:rPr>
        <w:lastRenderedPageBreak/>
        <w:t>legisladora a la Jurisdicción ordinaria, sino en garante de las obligaciones internacionales derivadas del Derecho internacional</w:t>
      </w:r>
      <w:r>
        <w:rPr>
          <w:rFonts w:ascii="PT Serif" w:hAnsi="PT Serif" w:cs="PT Serif"/>
          <w:b w:val="0"/>
          <w:i w:val="0"/>
          <w:sz w:val="20"/>
          <w:lang w:eastAsia="en-US"/>
        </w:rPr>
        <w:t>, también en el ámbito de</w:t>
      </w:r>
      <w:r w:rsidRPr="001237D0">
        <w:rPr>
          <w:rFonts w:ascii="PT Serif" w:hAnsi="PT Serif" w:cs="PT Serif"/>
          <w:b w:val="0"/>
          <w:i w:val="0"/>
          <w:sz w:val="20"/>
          <w:lang w:eastAsia="en-US"/>
        </w:rPr>
        <w:t xml:space="preserve"> los derechos humanos</w:t>
      </w:r>
      <w:r>
        <w:rPr>
          <w:rStyle w:val="Refernciadenotaapeudepgina"/>
          <w:rFonts w:ascii="PT Serif" w:hAnsi="PT Serif" w:cs="PT Serif"/>
          <w:b w:val="0"/>
          <w:i w:val="0"/>
          <w:sz w:val="20"/>
          <w:lang w:eastAsia="en-US"/>
        </w:rPr>
        <w:footnoteReference w:id="38"/>
      </w:r>
      <w:r w:rsidRPr="001237D0">
        <w:rPr>
          <w:rFonts w:ascii="PT Serif" w:hAnsi="PT Serif" w:cs="PT Serif"/>
          <w:b w:val="0"/>
          <w:i w:val="0"/>
          <w:sz w:val="20"/>
          <w:lang w:eastAsia="en-US"/>
        </w:rPr>
        <w:t>.</w:t>
      </w:r>
      <w:r>
        <w:rPr>
          <w:rFonts w:ascii="PT Serif" w:hAnsi="PT Serif" w:cs="PT Serif"/>
          <w:b w:val="0"/>
          <w:i w:val="0"/>
          <w:sz w:val="20"/>
          <w:lang w:eastAsia="en-US"/>
        </w:rPr>
        <w:t xml:space="preserve"> Este control puede implicar la inaplicación de </w:t>
      </w:r>
      <w:r>
        <w:rPr>
          <w:rFonts w:ascii="PT Serif" w:hAnsi="PT Serif" w:cs="PT Serif"/>
          <w:b w:val="0"/>
          <w:i w:val="0"/>
          <w:sz w:val="20"/>
        </w:rPr>
        <w:t>una norma en el caso concreto. No es un juicio de validez</w:t>
      </w:r>
      <w:r w:rsidR="00C27ACD">
        <w:rPr>
          <w:rFonts w:ascii="PT Serif" w:hAnsi="PT Serif" w:cs="PT Serif"/>
          <w:b w:val="0"/>
          <w:i w:val="0"/>
          <w:sz w:val="20"/>
        </w:rPr>
        <w:t>,</w:t>
      </w:r>
      <w:r>
        <w:rPr>
          <w:rFonts w:ascii="PT Serif" w:hAnsi="PT Serif" w:cs="PT Serif"/>
          <w:b w:val="0"/>
          <w:i w:val="0"/>
          <w:sz w:val="20"/>
        </w:rPr>
        <w:t xml:space="preserve"> sino de</w:t>
      </w:r>
      <w:r w:rsidR="00C27ACD">
        <w:rPr>
          <w:rFonts w:ascii="PT Serif" w:hAnsi="PT Serif" w:cs="PT Serif"/>
          <w:b w:val="0"/>
          <w:i w:val="0"/>
          <w:sz w:val="20"/>
        </w:rPr>
        <w:t xml:space="preserve"> legalidad, optando </w:t>
      </w:r>
      <w:r>
        <w:rPr>
          <w:rFonts w:ascii="PT Serif" w:hAnsi="PT Serif" w:cs="PT Serif"/>
          <w:b w:val="0"/>
          <w:i w:val="0"/>
          <w:sz w:val="20"/>
        </w:rPr>
        <w:t>entre dos normas igualmente válidas y concurrentes en una misma situación.</w:t>
      </w:r>
    </w:p>
    <w:p w14:paraId="3F52D9EE" w14:textId="77777777" w:rsidR="00C27ACD" w:rsidRDefault="00C27ACD" w:rsidP="00C27ACD">
      <w:pPr>
        <w:pStyle w:val="03Texto"/>
        <w:spacing w:before="0"/>
        <w:ind w:firstLine="0"/>
        <w:rPr>
          <w:rFonts w:ascii="PT Serif" w:eastAsiaTheme="minorHAnsi" w:hAnsi="PT Serif" w:cstheme="minorBidi"/>
          <w:sz w:val="20"/>
          <w:lang w:eastAsia="en-US"/>
        </w:rPr>
      </w:pPr>
    </w:p>
    <w:p w14:paraId="3D69FF80" w14:textId="77DFF381" w:rsidR="007122BE" w:rsidRPr="002550C0" w:rsidRDefault="007122BE" w:rsidP="007122BE">
      <w:pPr>
        <w:pStyle w:val="03Texto"/>
        <w:spacing w:before="0" w:lineRule="auto" w:line="264" w:after="120"/>
        <w:ind w:firstLine="0"/>
        <w:jc w:val="both"/>
        <w:rPr>
          <w:rFonts w:ascii="PT Serif" w:eastAsiaTheme="minorHAnsi" w:hAnsi="PT Serif" w:cstheme="minorBidi"/>
          <w:sz w:val="20"/>
          <w:lang w:eastAsia="en-US"/>
        </w:rPr>
      </w:pPr>
      <w:r>
        <w:rPr>
          <w:rFonts w:ascii="PT Serif" w:hAnsi="PT Serif" w:cs="PT Serif"/>
          <w:b w:val="0"/>
          <w:i w:val="0"/>
          <w:sz w:val="20"/>
          <w:lang w:eastAsia="en-US"/>
        </w:rPr>
        <w:t xml:space="preserve">En relación con Las normas convencionales, el artículo 96.1 CE </w:t>
      </w:r>
      <w:r w:rsidR="00C27ACD" w:rsidRPr="002550C0">
        <w:rPr>
          <w:rFonts w:ascii="PT Serif" w:hAnsi="PT Serif" w:cs="PT Serif"/>
          <w:b w:val="0"/>
          <w:i w:val="0"/>
          <w:sz w:val="20"/>
          <w:lang w:eastAsia="en-US"/>
        </w:rPr>
        <w:t xml:space="preserve">dispone que </w:t>
      </w:r>
      <w:r w:rsidR="00C27ACD" w:rsidRPr="00D914D1">
        <w:rPr>
          <w:rFonts w:ascii="PT Serif" w:hAnsi="PT Serif" w:cs="PT Serif"/>
          <w:b w:val="0"/>
          <w:i w:val="0"/>
          <w:sz w:val="20"/>
          <w:szCs w:val="17"/>
        </w:rPr>
        <w:t>«</w:t>
      </w:r>
      <w:r w:rsidR="00C27ACD" w:rsidRPr="002550C0">
        <w:rPr>
          <w:rFonts w:ascii="PT Serif" w:hAnsi="PT Serif" w:cs="PT Serif"/>
          <w:b w:val="0"/>
          <w:i w:val="0"/>
          <w:sz w:val="20"/>
          <w:lang w:eastAsia="en-US"/>
        </w:rPr>
        <w:t>los tratados internacionales válidamente celebrados, una vez publicados oficialmente en España, formará parte del ordenamiento interno. Sus disposiciones sólo podrán ser derogadas, modificadas o suspendidas en la forma prevista en los propios –tratados o de acuerdo con las normas generales del Derecho internacional</w:t>
      </w:r>
      <w:r w:rsidR="00C27ACD">
        <w:rPr>
          <w:rStyle w:val="Refernciadenotaapeudepgina"/>
          <w:rFonts w:ascii="PT Serif" w:hAnsi="PT Serif" w:cs="PT Serif"/>
          <w:b w:val="0"/>
          <w:i w:val="0"/>
          <w:sz w:val="20"/>
          <w:lang w:eastAsia="en-US"/>
        </w:rPr>
        <w:footnoteReference w:id="39"/>
      </w:r>
      <w:r w:rsidR="00C27ACD" w:rsidRPr="00D914D1">
        <w:rPr>
          <w:rFonts w:ascii="PT Serif" w:hAnsi="PT Serif" w:cs="PT Serif"/>
          <w:b w:val="0"/>
          <w:i w:val="0"/>
          <w:sz w:val="20"/>
          <w:szCs w:val="17"/>
        </w:rPr>
        <w:t>»</w:t>
      </w:r>
      <w:r w:rsidR="00C27ACD" w:rsidRPr="002550C0">
        <w:rPr>
          <w:rFonts w:ascii="PT Serif" w:hAnsi="PT Serif" w:cs="PT Serif"/>
          <w:b w:val="0"/>
          <w:i w:val="0"/>
          <w:sz w:val="20"/>
          <w:lang w:eastAsia="en-US"/>
        </w:rPr>
        <w:t>.</w:t>
      </w:r>
      <w:r>
        <w:rPr>
          <w:rFonts w:ascii="PT Serif" w:hAnsi="PT Serif" w:cs="PT Serif"/>
          <w:b w:val="0"/>
          <w:i w:val="0"/>
          <w:sz w:val="20"/>
          <w:lang w:eastAsia="en-US"/>
        </w:rPr>
        <w:t xml:space="preserve"> Pues bien, el aspecto que nos resta concretar en nuestra investigación es sistematizar las situaciones que se pueden producir cuando en el enjuiciamiento de un caso concreto concurran una norma interna y otra intencional.</w:t>
      </w:r>
    </w:p>
    <w:p w14:paraId="690D896E" w14:textId="77777777" w:rsidR="00C27ACD" w:rsidRDefault="00C27ACD" w:rsidP="00C27ACD">
      <w:pPr>
        <w:pStyle w:val="03Texto"/>
        <w:spacing w:before="0"/>
        <w:ind w:firstLine="0"/>
        <w:rPr>
          <w:rFonts w:ascii="PT Serif" w:eastAsiaTheme="minorHAnsi" w:hAnsi="PT Serif" w:cstheme="minorBidi"/>
          <w:sz w:val="20"/>
          <w:lang w:eastAsia="en-US"/>
        </w:rPr>
      </w:pPr>
    </w:p>
    <w:p w14:paraId="10F4B7CC" w14:textId="6D5A20F7" w:rsidR="008B0147" w:rsidRDefault="007122BE"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La primera situación que puede darse es que </w:t>
      </w:r>
      <w:r w:rsidR="00E163E8">
        <w:rPr>
          <w:rFonts w:ascii="PT Serif" w:hAnsi="PT Serif" w:cs="PT Serif"/>
          <w:b w:val="0"/>
          <w:i w:val="0"/>
          <w:sz w:val="20"/>
        </w:rPr>
        <w:t xml:space="preserve">la norma interna y la </w:t>
      </w:r>
      <w:r w:rsidR="008B0147">
        <w:rPr>
          <w:rFonts w:ascii="PT Serif" w:hAnsi="PT Serif" w:cs="PT Serif"/>
          <w:b w:val="0"/>
          <w:i w:val="0"/>
          <w:sz w:val="20"/>
        </w:rPr>
        <w:t>convencional</w:t>
      </w:r>
      <w:r w:rsidR="00E163E8">
        <w:rPr>
          <w:rFonts w:ascii="PT Serif" w:hAnsi="PT Serif" w:cs="PT Serif"/>
          <w:b w:val="0"/>
          <w:i w:val="0"/>
          <w:sz w:val="20"/>
        </w:rPr>
        <w:t xml:space="preserve"> no present</w:t>
      </w:r>
      <w:r>
        <w:rPr>
          <w:rFonts w:ascii="PT Serif" w:hAnsi="PT Serif" w:cs="PT Serif"/>
          <w:b w:val="0"/>
          <w:i w:val="0"/>
          <w:sz w:val="20"/>
        </w:rPr>
        <w:t>e</w:t>
      </w:r>
      <w:r w:rsidR="00E163E8">
        <w:rPr>
          <w:rFonts w:ascii="PT Serif" w:hAnsi="PT Serif" w:cs="PT Serif"/>
          <w:b w:val="0"/>
          <w:i w:val="0"/>
          <w:sz w:val="20"/>
        </w:rPr>
        <w:t>n diferencias,</w:t>
      </w:r>
      <w:r>
        <w:rPr>
          <w:rFonts w:ascii="PT Serif" w:hAnsi="PT Serif" w:cs="PT Serif"/>
          <w:b w:val="0"/>
          <w:i w:val="0"/>
          <w:sz w:val="20"/>
        </w:rPr>
        <w:t xml:space="preserve"> sino que sea concordantes o que las diferencias existentes sean en el sentido de que la norma interna sea más restrictiva que la convencional. En ambos casos, creemos que la decisión del juez o jueza en el caso concreto debe ser la de aplicar la norma convencional, dado el principio de prevalencia de los tratados. </w:t>
      </w:r>
      <w:r w:rsidR="008B0147">
        <w:rPr>
          <w:rFonts w:ascii="PT Serif" w:hAnsi="PT Serif" w:cs="PT Serif"/>
          <w:b w:val="0"/>
          <w:i w:val="0"/>
          <w:sz w:val="20"/>
        </w:rPr>
        <w:t>En la línea jurisprudencial</w:t>
      </w:r>
      <w:r>
        <w:rPr>
          <w:rFonts w:ascii="PT Serif" w:hAnsi="PT Serif" w:cs="PT Serif"/>
          <w:b w:val="0"/>
          <w:i w:val="0"/>
          <w:sz w:val="20"/>
        </w:rPr>
        <w:t xml:space="preserve"> que hemos descrito</w:t>
      </w:r>
      <w:r w:rsidR="008B0147">
        <w:rPr>
          <w:rFonts w:ascii="PT Serif" w:hAnsi="PT Serif" w:cs="PT Serif"/>
          <w:b w:val="0"/>
          <w:i w:val="0"/>
          <w:sz w:val="20"/>
        </w:rPr>
        <w:t>, la Jurisdicción ordinaria debe optar por la aplicación de una u otra norma en esta situación de concurso normativo. Para su resolución consideramos clave el artículo 31 de la Ley 25/2014</w:t>
      </w:r>
      <w:r>
        <w:rPr>
          <w:rStyle w:val="Refernciadenotaapeudepgina"/>
          <w:rFonts w:ascii="PT Serif" w:hAnsi="PT Serif" w:cs="PT Serif"/>
          <w:b w:val="0"/>
          <w:i w:val="0"/>
          <w:sz w:val="20"/>
          <w:lang w:eastAsia="en-US"/>
        </w:rPr>
        <w:footnoteReference w:id="40"/>
      </w:r>
      <w:r>
        <w:rPr>
          <w:rFonts w:ascii="PT Serif" w:hAnsi="PT Serif" w:cs="PT Serif"/>
          <w:b w:val="0"/>
          <w:i w:val="0"/>
          <w:sz w:val="20"/>
        </w:rPr>
        <w:t xml:space="preserve">, </w:t>
      </w:r>
      <w:r w:rsidR="008B0147">
        <w:rPr>
          <w:rFonts w:ascii="PT Serif" w:hAnsi="PT Serif" w:cs="PT Serif"/>
          <w:b w:val="0"/>
          <w:i w:val="0"/>
          <w:sz w:val="20"/>
        </w:rPr>
        <w:t>27 noviembre, de Tratados y otros Acuerdos internacionales</w:t>
      </w:r>
      <w:r w:rsidR="00734CE4">
        <w:rPr>
          <w:rFonts w:ascii="PT Serif" w:hAnsi="PT Serif" w:cs="PT Serif"/>
          <w:b w:val="0"/>
          <w:i w:val="0"/>
          <w:sz w:val="20"/>
        </w:rPr>
        <w:t xml:space="preserve"> (en adelante, “Ley 25/2014”)</w:t>
      </w:r>
      <w:r w:rsidR="008B0147">
        <w:rPr>
          <w:rFonts w:ascii="PT Serif" w:hAnsi="PT Serif" w:cs="PT Serif"/>
          <w:b w:val="0"/>
          <w:i w:val="0"/>
          <w:sz w:val="20"/>
        </w:rPr>
        <w:t xml:space="preserve"> dispone que “l</w:t>
      </w:r>
      <w:r w:rsidR="008B0147" w:rsidRPr="008B0147">
        <w:rPr>
          <w:rFonts w:ascii="PT Serif" w:hAnsi="PT Serif" w:cs="PT Serif"/>
          <w:b w:val="0"/>
          <w:i w:val="0"/>
          <w:sz w:val="20"/>
        </w:rPr>
        <w:t>as normas jurídicas contenidas en los tratados internacionales válidamente celebrados y publicados oficialmente prevalecerán sobre cualquier otra norma del ordenamiento interno en caso de conflicto con ellas, salvo las normas de rango constitucional</w:t>
      </w:r>
      <w:r w:rsidR="00413C0B">
        <w:rPr>
          <w:rStyle w:val="Refernciadenotaapeudepgina"/>
          <w:rFonts w:ascii="PT Serif" w:hAnsi="PT Serif" w:cs="PT Serif"/>
          <w:b w:val="0"/>
          <w:i w:val="0"/>
          <w:sz w:val="20"/>
        </w:rPr>
        <w:footnoteReference w:id="41"/>
      </w:r>
      <w:r w:rsidR="008B0147">
        <w:rPr>
          <w:rFonts w:ascii="PT Serif" w:hAnsi="PT Serif" w:cs="PT Serif"/>
          <w:b w:val="0"/>
          <w:i w:val="0"/>
          <w:sz w:val="20"/>
        </w:rPr>
        <w:t>”.</w:t>
      </w:r>
    </w:p>
    <w:p w14:paraId="66557CD5" w14:textId="77777777" w:rsidR="00E85A0B" w:rsidRDefault="00E85A0B" w:rsidP="008B0147">
      <w:pPr>
        <w:pStyle w:val="03Texto"/>
        <w:spacing w:before="0"/>
        <w:ind w:firstLine="0"/>
        <w:rPr>
          <w:rFonts w:ascii="PT Serif" w:hAnsi="PT Serif"/>
          <w:sz w:val="20"/>
        </w:rPr>
      </w:pPr>
    </w:p>
    <w:p w14:paraId="24B31BC1" w14:textId="0F751F2E" w:rsidR="008B0147" w:rsidRDefault="007122BE"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El </w:t>
      </w:r>
      <w:r w:rsidR="008B0147">
        <w:rPr>
          <w:rFonts w:ascii="PT Serif" w:hAnsi="PT Serif" w:cs="PT Serif"/>
          <w:b w:val="0"/>
          <w:i w:val="0"/>
          <w:sz w:val="20"/>
        </w:rPr>
        <w:t>principio de prevalencia</w:t>
      </w:r>
      <w:r w:rsidR="002960B3">
        <w:rPr>
          <w:rFonts w:ascii="PT Serif" w:hAnsi="PT Serif" w:cs="PT Serif"/>
          <w:b w:val="0"/>
          <w:i w:val="0"/>
          <w:sz w:val="20"/>
        </w:rPr>
        <w:t xml:space="preserve"> consagrado </w:t>
      </w:r>
      <w:r w:rsidR="00413C0B">
        <w:rPr>
          <w:rFonts w:ascii="PT Serif" w:hAnsi="PT Serif" w:cs="PT Serif"/>
          <w:b w:val="0"/>
          <w:i w:val="0"/>
          <w:sz w:val="20"/>
        </w:rPr>
        <w:t>legalmente</w:t>
      </w:r>
      <w:r w:rsidR="008B0147">
        <w:rPr>
          <w:rFonts w:ascii="PT Serif" w:hAnsi="PT Serif" w:cs="PT Serif"/>
          <w:b w:val="0"/>
          <w:i w:val="0"/>
          <w:sz w:val="20"/>
        </w:rPr>
        <w:t xml:space="preserve"> implica que la Jurisdicción ordinaria deba </w:t>
      </w:r>
      <w:r w:rsidR="00413C0B">
        <w:rPr>
          <w:rFonts w:ascii="PT Serif" w:hAnsi="PT Serif" w:cs="PT Serif"/>
          <w:b w:val="0"/>
          <w:i w:val="0"/>
          <w:sz w:val="20"/>
        </w:rPr>
        <w:t>desplazar</w:t>
      </w:r>
      <w:r w:rsidR="002960B3">
        <w:rPr>
          <w:rFonts w:ascii="PT Serif" w:hAnsi="PT Serif" w:cs="PT Serif"/>
          <w:b w:val="0"/>
          <w:i w:val="0"/>
          <w:sz w:val="20"/>
        </w:rPr>
        <w:t xml:space="preserve"> la norma interna en favor de la internacional.</w:t>
      </w:r>
      <w:r w:rsidR="00E531CF">
        <w:rPr>
          <w:rFonts w:ascii="PT Serif" w:hAnsi="PT Serif" w:cs="PT Serif"/>
          <w:b w:val="0"/>
          <w:i w:val="0"/>
          <w:sz w:val="20"/>
        </w:rPr>
        <w:t xml:space="preserve"> Subrayamos de nuevo que no se trata de declarar inválida la norma interna, sino de resolver el concurso normativo aplicando la norma que de acuerdo con el principio indicado debe prevalecer.</w:t>
      </w:r>
      <w:r>
        <w:rPr>
          <w:rFonts w:ascii="PT Serif" w:hAnsi="PT Serif" w:cs="PT Serif"/>
          <w:b w:val="0"/>
          <w:i w:val="0"/>
          <w:sz w:val="20"/>
        </w:rPr>
        <w:t xml:space="preserve"> Es una cuestión de legalidad y no de invalidez.</w:t>
      </w:r>
    </w:p>
    <w:p w14:paraId="1BF0241C" w14:textId="77777777" w:rsidR="00E85A0B" w:rsidRDefault="00E85A0B" w:rsidP="008B0147">
      <w:pPr>
        <w:pStyle w:val="03Texto"/>
        <w:spacing w:before="0"/>
        <w:ind w:firstLine="0"/>
        <w:rPr>
          <w:rFonts w:ascii="PT Serif" w:hAnsi="PT Serif"/>
          <w:sz w:val="20"/>
        </w:rPr>
      </w:pPr>
    </w:p>
    <w:p w14:paraId="7A6FE636" w14:textId="0E199571" w:rsidR="002960B3" w:rsidRDefault="002960B3" w:rsidP="007122BE">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Ahora bien, </w:t>
      </w:r>
      <w:r w:rsidR="007122BE">
        <w:rPr>
          <w:rFonts w:ascii="PT Serif" w:hAnsi="PT Serif" w:cs="PT Serif"/>
          <w:b w:val="0"/>
          <w:i w:val="0"/>
          <w:sz w:val="20"/>
        </w:rPr>
        <w:t xml:space="preserve">hay una segunda situación que puede darse y que por coherencia argumentativa y doctrinal tenemos que abordar. </w:t>
      </w:r>
      <w:r>
        <w:rPr>
          <w:rFonts w:ascii="PT Serif" w:hAnsi="PT Serif" w:cs="PT Serif"/>
          <w:b w:val="0"/>
          <w:i w:val="0"/>
          <w:sz w:val="20"/>
        </w:rPr>
        <w:t>En concreto,</w:t>
      </w:r>
      <w:r w:rsidR="00E531CF">
        <w:rPr>
          <w:rFonts w:ascii="PT Serif" w:hAnsi="PT Serif" w:cs="PT Serif"/>
          <w:b w:val="0"/>
          <w:i w:val="0"/>
          <w:sz w:val="20"/>
        </w:rPr>
        <w:t xml:space="preserve"> nos referimos a</w:t>
      </w:r>
      <w:r>
        <w:rPr>
          <w:rFonts w:ascii="PT Serif" w:hAnsi="PT Serif" w:cs="PT Serif"/>
          <w:b w:val="0"/>
          <w:i w:val="0"/>
          <w:sz w:val="20"/>
        </w:rPr>
        <w:t xml:space="preserve"> que la contradicción entre normas</w:t>
      </w:r>
      <w:r w:rsidR="00734CE4">
        <w:rPr>
          <w:rFonts w:ascii="PT Serif" w:hAnsi="PT Serif" w:cs="PT Serif"/>
          <w:b w:val="0"/>
          <w:i w:val="0"/>
          <w:sz w:val="20"/>
        </w:rPr>
        <w:t xml:space="preserve"> interna e internacional</w:t>
      </w:r>
      <w:r>
        <w:rPr>
          <w:rFonts w:ascii="PT Serif" w:hAnsi="PT Serif" w:cs="PT Serif"/>
          <w:b w:val="0"/>
          <w:i w:val="0"/>
          <w:sz w:val="20"/>
        </w:rPr>
        <w:t xml:space="preserve"> concurrentes</w:t>
      </w:r>
      <w:r w:rsidR="00734CE4">
        <w:rPr>
          <w:rFonts w:ascii="PT Serif" w:hAnsi="PT Serif" w:cs="PT Serif"/>
          <w:b w:val="0"/>
          <w:i w:val="0"/>
          <w:sz w:val="20"/>
        </w:rPr>
        <w:t xml:space="preserve"> en un caso concreto</w:t>
      </w:r>
      <w:r>
        <w:rPr>
          <w:rFonts w:ascii="PT Serif" w:hAnsi="PT Serif" w:cs="PT Serif"/>
          <w:b w:val="0"/>
          <w:i w:val="0"/>
          <w:sz w:val="20"/>
        </w:rPr>
        <w:t xml:space="preserve"> sea en el sentido de</w:t>
      </w:r>
      <w:r w:rsidR="00E531CF">
        <w:rPr>
          <w:rFonts w:ascii="PT Serif" w:hAnsi="PT Serif" w:cs="PT Serif"/>
          <w:b w:val="0"/>
          <w:i w:val="0"/>
          <w:sz w:val="20"/>
        </w:rPr>
        <w:t xml:space="preserve"> que</w:t>
      </w:r>
      <w:r w:rsidR="00734CE4">
        <w:rPr>
          <w:rFonts w:ascii="PT Serif" w:hAnsi="PT Serif" w:cs="PT Serif"/>
          <w:b w:val="0"/>
          <w:i w:val="0"/>
          <w:sz w:val="20"/>
        </w:rPr>
        <w:t xml:space="preserve"> la</w:t>
      </w:r>
      <w:r w:rsidR="00E531CF">
        <w:rPr>
          <w:rFonts w:ascii="PT Serif" w:hAnsi="PT Serif" w:cs="PT Serif"/>
          <w:b w:val="0"/>
          <w:i w:val="0"/>
          <w:sz w:val="20"/>
        </w:rPr>
        <w:t xml:space="preserve"> internacional sea más restrictiva o limitante que la interna</w:t>
      </w:r>
      <w:r>
        <w:rPr>
          <w:rFonts w:ascii="PT Serif" w:hAnsi="PT Serif" w:cs="PT Serif"/>
          <w:b w:val="0"/>
          <w:i w:val="0"/>
          <w:sz w:val="20"/>
        </w:rPr>
        <w:t>. E</w:t>
      </w:r>
      <w:r w:rsidR="00E531CF">
        <w:rPr>
          <w:rFonts w:ascii="PT Serif" w:hAnsi="PT Serif" w:cs="PT Serif"/>
          <w:b w:val="0"/>
          <w:i w:val="0"/>
          <w:sz w:val="20"/>
        </w:rPr>
        <w:t xml:space="preserve">s decir, </w:t>
      </w:r>
      <w:r>
        <w:rPr>
          <w:rFonts w:ascii="PT Serif" w:hAnsi="PT Serif" w:cs="PT Serif"/>
          <w:b w:val="0"/>
          <w:i w:val="0"/>
          <w:sz w:val="20"/>
        </w:rPr>
        <w:t>la norma interna es más favorable que la internacional</w:t>
      </w:r>
      <w:r w:rsidR="00734CE4">
        <w:rPr>
          <w:rFonts w:ascii="PT Serif" w:hAnsi="PT Serif" w:cs="PT Serif"/>
          <w:b w:val="0"/>
          <w:i w:val="0"/>
          <w:sz w:val="20"/>
        </w:rPr>
        <w:t>. A</w:t>
      </w:r>
      <w:r w:rsidR="00E531CF">
        <w:rPr>
          <w:rFonts w:ascii="PT Serif" w:hAnsi="PT Serif" w:cs="PT Serif"/>
          <w:b w:val="0"/>
          <w:i w:val="0"/>
          <w:sz w:val="20"/>
        </w:rPr>
        <w:t>mbas concurren en esta situación de concurso</w:t>
      </w:r>
      <w:r w:rsidR="00734CE4">
        <w:rPr>
          <w:rFonts w:ascii="PT Serif" w:hAnsi="PT Serif" w:cs="PT Serif"/>
          <w:b w:val="0"/>
          <w:i w:val="0"/>
          <w:sz w:val="20"/>
        </w:rPr>
        <w:t xml:space="preserve"> y ambas son igualmente válidas.</w:t>
      </w:r>
    </w:p>
    <w:p w14:paraId="5C08AC42" w14:textId="77777777" w:rsidR="00804145" w:rsidRDefault="00804145" w:rsidP="008B0147">
      <w:pPr>
        <w:pStyle w:val="03Texto"/>
        <w:spacing w:before="0"/>
        <w:ind w:firstLine="0"/>
        <w:rPr>
          <w:rFonts w:ascii="PT Serif" w:hAnsi="PT Serif"/>
          <w:sz w:val="20"/>
        </w:rPr>
      </w:pPr>
    </w:p>
    <w:p w14:paraId="480D4B8C" w14:textId="41180516" w:rsidR="00734CE4" w:rsidRDefault="002960B3"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Con </w:t>
      </w:r>
      <w:r w:rsidR="00413C0B">
        <w:rPr>
          <w:rFonts w:ascii="PT Serif" w:hAnsi="PT Serif" w:cs="PT Serif"/>
          <w:b w:val="0"/>
          <w:i w:val="0"/>
          <w:sz w:val="20"/>
        </w:rPr>
        <w:t>carácter</w:t>
      </w:r>
      <w:r>
        <w:rPr>
          <w:rFonts w:ascii="PT Serif" w:hAnsi="PT Serif" w:cs="PT Serif"/>
          <w:b w:val="0"/>
          <w:i w:val="0"/>
          <w:sz w:val="20"/>
        </w:rPr>
        <w:t xml:space="preserve"> general, </w:t>
      </w:r>
      <w:r w:rsidR="00413C0B">
        <w:rPr>
          <w:rFonts w:ascii="PT Serif" w:hAnsi="PT Serif" w:cs="PT Serif"/>
          <w:b w:val="0"/>
          <w:i w:val="0"/>
          <w:sz w:val="20"/>
        </w:rPr>
        <w:t>entendemos</w:t>
      </w:r>
      <w:r>
        <w:rPr>
          <w:rFonts w:ascii="PT Serif" w:hAnsi="PT Serif" w:cs="PT Serif"/>
          <w:b w:val="0"/>
          <w:i w:val="0"/>
          <w:sz w:val="20"/>
        </w:rPr>
        <w:t xml:space="preserve"> que la solución a </w:t>
      </w:r>
      <w:r w:rsidR="00413C0B">
        <w:rPr>
          <w:rFonts w:ascii="PT Serif" w:hAnsi="PT Serif" w:cs="PT Serif"/>
          <w:b w:val="0"/>
          <w:i w:val="0"/>
          <w:sz w:val="20"/>
        </w:rPr>
        <w:t>adoptar</w:t>
      </w:r>
      <w:r w:rsidR="00734CE4">
        <w:rPr>
          <w:rFonts w:ascii="PT Serif" w:hAnsi="PT Serif" w:cs="PT Serif"/>
          <w:b w:val="0"/>
          <w:i w:val="0"/>
          <w:sz w:val="20"/>
        </w:rPr>
        <w:t xml:space="preserve"> en el caso concreto</w:t>
      </w:r>
      <w:r>
        <w:rPr>
          <w:rFonts w:ascii="PT Serif" w:hAnsi="PT Serif" w:cs="PT Serif"/>
          <w:b w:val="0"/>
          <w:i w:val="0"/>
          <w:sz w:val="20"/>
        </w:rPr>
        <w:t xml:space="preserve"> es</w:t>
      </w:r>
      <w:r w:rsidR="00E531CF">
        <w:rPr>
          <w:rFonts w:ascii="PT Serif" w:hAnsi="PT Serif" w:cs="PT Serif"/>
          <w:b w:val="0"/>
          <w:i w:val="0"/>
          <w:sz w:val="20"/>
        </w:rPr>
        <w:t xml:space="preserve"> la misma que </w:t>
      </w:r>
      <w:r>
        <w:rPr>
          <w:rFonts w:ascii="PT Serif" w:hAnsi="PT Serif" w:cs="PT Serif"/>
          <w:b w:val="0"/>
          <w:i w:val="0"/>
          <w:sz w:val="20"/>
        </w:rPr>
        <w:t>en el supuesto anterior</w:t>
      </w:r>
      <w:r w:rsidR="00E531CF">
        <w:rPr>
          <w:rFonts w:ascii="PT Serif" w:hAnsi="PT Serif" w:cs="PT Serif"/>
          <w:b w:val="0"/>
          <w:i w:val="0"/>
          <w:sz w:val="20"/>
        </w:rPr>
        <w:t xml:space="preserve">. Es decir, de acuerdo con el principio de prevalencia </w:t>
      </w:r>
      <w:r w:rsidR="00E531CF">
        <w:rPr>
          <w:rFonts w:ascii="PT Serif" w:hAnsi="PT Serif" w:cs="PT Serif"/>
          <w:b w:val="0"/>
          <w:i/>
          <w:iCs/>
          <w:sz w:val="20"/>
        </w:rPr>
        <w:t>ex</w:t>
      </w:r>
      <w:r w:rsidR="00E531CF">
        <w:rPr>
          <w:rFonts w:ascii="PT Serif" w:hAnsi="PT Serif" w:cs="PT Serif"/>
          <w:b w:val="0"/>
          <w:i w:val="0"/>
          <w:sz w:val="20"/>
        </w:rPr>
        <w:t xml:space="preserve"> artículo 31 Ley 25/2014, la norma internacional </w:t>
      </w:r>
      <w:r w:rsidR="00734CE4">
        <w:rPr>
          <w:rFonts w:ascii="PT Serif" w:hAnsi="PT Serif" w:cs="PT Serif"/>
          <w:b w:val="0"/>
          <w:i w:val="0"/>
          <w:sz w:val="20"/>
        </w:rPr>
        <w:t xml:space="preserve">debe </w:t>
      </w:r>
      <w:r w:rsidR="00E531CF">
        <w:rPr>
          <w:rFonts w:ascii="PT Serif" w:hAnsi="PT Serif" w:cs="PT Serif"/>
          <w:b w:val="0"/>
          <w:i w:val="0"/>
          <w:sz w:val="20"/>
        </w:rPr>
        <w:t>desplaza</w:t>
      </w:r>
      <w:r w:rsidR="00734CE4">
        <w:rPr>
          <w:rFonts w:ascii="PT Serif" w:hAnsi="PT Serif" w:cs="PT Serif"/>
          <w:b w:val="0"/>
          <w:i w:val="0"/>
          <w:sz w:val="20"/>
        </w:rPr>
        <w:t>r</w:t>
      </w:r>
      <w:r w:rsidR="00E531CF">
        <w:rPr>
          <w:rFonts w:ascii="PT Serif" w:hAnsi="PT Serif" w:cs="PT Serif"/>
          <w:b w:val="0"/>
          <w:i w:val="0"/>
          <w:sz w:val="20"/>
        </w:rPr>
        <w:t xml:space="preserve"> a la interna</w:t>
      </w:r>
      <w:r>
        <w:rPr>
          <w:rFonts w:ascii="PT Serif" w:hAnsi="PT Serif" w:cs="PT Serif"/>
          <w:b w:val="0"/>
          <w:i w:val="0"/>
          <w:sz w:val="20"/>
        </w:rPr>
        <w:t>.</w:t>
      </w:r>
    </w:p>
    <w:p w14:paraId="44CAEB3D" w14:textId="77777777" w:rsidR="00804145" w:rsidRDefault="00804145" w:rsidP="008B0147">
      <w:pPr>
        <w:pStyle w:val="03Texto"/>
        <w:spacing w:before="0"/>
        <w:ind w:firstLine="0"/>
        <w:rPr>
          <w:rFonts w:ascii="PT Serif" w:hAnsi="PT Serif"/>
          <w:sz w:val="20"/>
        </w:rPr>
      </w:pPr>
    </w:p>
    <w:p w14:paraId="7649C1BE" w14:textId="099DE9D5" w:rsidR="00734CE4" w:rsidRDefault="00E531CF"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Ahora</w:t>
      </w:r>
      <w:r w:rsidR="00734CE4">
        <w:rPr>
          <w:rFonts w:ascii="PT Serif" w:hAnsi="PT Serif" w:cs="PT Serif"/>
          <w:b w:val="0"/>
          <w:i w:val="0"/>
          <w:sz w:val="20"/>
        </w:rPr>
        <w:t xml:space="preserve"> bien. Hay un ámbito en que la aplicación del principio de prevalencia nos puede conducir a un resultado desalentador. Nos referimos al supuesto en las normas concurrentes sean las que regulan derechos humanos/fundamentales. No olvidemos que analizamos el supuesto de que la norma interna dota de mayor virtualidad a un derecho fundamental, frente a la regulación internacional en ese ámbito y que es más restrictiva. ¿Cómo debe resolver la Jurisdicción ordinaria este conflicto generado por un concurso normativo?</w:t>
      </w:r>
    </w:p>
    <w:p w14:paraId="2532F38D" w14:textId="77777777" w:rsidR="00734CE4" w:rsidRDefault="00734CE4" w:rsidP="008B0147">
      <w:pPr>
        <w:pStyle w:val="03Texto"/>
        <w:spacing w:before="0"/>
        <w:ind w:firstLine="0"/>
        <w:rPr>
          <w:rFonts w:ascii="PT Serif" w:hAnsi="PT Serif"/>
          <w:sz w:val="20"/>
        </w:rPr>
      </w:pPr>
    </w:p>
    <w:p w14:paraId="75687E90" w14:textId="5705CC76" w:rsidR="001A1663" w:rsidRDefault="00734CE4"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Una primera interpretación que proponemos es que, dado lo dispuesto en el artículo 31 de la Ley 25/2014, la prevalencia de los tratados debe implicar el desplazamiento de la norma interna, y la aplicación de la convencional aunque sea más restrictiva. En este caso, la persona cuyos derechos fundamentales se hubieran visto restringidos por aplicación de norma internacional, siempre </w:t>
      </w:r>
      <w:r w:rsidR="001A1663">
        <w:rPr>
          <w:rFonts w:ascii="PT Serif" w:hAnsi="PT Serif" w:cs="PT Serif"/>
          <w:b w:val="0"/>
          <w:i w:val="0"/>
          <w:sz w:val="20"/>
        </w:rPr>
        <w:t>tendría</w:t>
      </w:r>
      <w:r>
        <w:rPr>
          <w:rFonts w:ascii="PT Serif" w:hAnsi="PT Serif" w:cs="PT Serif"/>
          <w:b w:val="0"/>
          <w:i w:val="0"/>
          <w:sz w:val="20"/>
        </w:rPr>
        <w:t xml:space="preserve"> abierta la posibilidad </w:t>
      </w:r>
      <w:r w:rsidR="001A1663">
        <w:rPr>
          <w:rFonts w:ascii="PT Serif" w:hAnsi="PT Serif" w:cs="PT Serif"/>
          <w:b w:val="0"/>
          <w:i w:val="0"/>
          <w:sz w:val="20"/>
        </w:rPr>
        <w:t>d</w:t>
      </w:r>
      <w:r>
        <w:rPr>
          <w:rFonts w:ascii="PT Serif" w:hAnsi="PT Serif" w:cs="PT Serif"/>
          <w:b w:val="0"/>
          <w:i w:val="0"/>
          <w:sz w:val="20"/>
        </w:rPr>
        <w:t xml:space="preserve">e acudir en amparo ante </w:t>
      </w:r>
      <w:r w:rsidR="001A1663">
        <w:rPr>
          <w:rFonts w:ascii="PT Serif" w:hAnsi="PT Serif" w:cs="PT Serif"/>
          <w:b w:val="0"/>
          <w:i w:val="0"/>
          <w:sz w:val="20"/>
        </w:rPr>
        <w:t>el</w:t>
      </w:r>
      <w:r>
        <w:rPr>
          <w:rFonts w:ascii="PT Serif" w:hAnsi="PT Serif" w:cs="PT Serif"/>
          <w:b w:val="0"/>
          <w:i w:val="0"/>
          <w:sz w:val="20"/>
        </w:rPr>
        <w:t xml:space="preserve"> TC. Como hemos indicado, l</w:t>
      </w:r>
      <w:r w:rsidR="001A1663">
        <w:rPr>
          <w:rFonts w:ascii="PT Serif" w:hAnsi="PT Serif" w:cs="PT Serif"/>
          <w:b w:val="0"/>
          <w:i w:val="0"/>
          <w:sz w:val="20"/>
        </w:rPr>
        <w:t>os concursos e</w:t>
      </w:r>
      <w:r>
        <w:rPr>
          <w:rFonts w:ascii="PT Serif" w:hAnsi="PT Serif" w:cs="PT Serif"/>
          <w:b w:val="0"/>
          <w:i w:val="0"/>
          <w:sz w:val="20"/>
        </w:rPr>
        <w:t>ntre normas internas e internacionales son susceptibles de</w:t>
      </w:r>
      <w:r w:rsidR="001A1663">
        <w:rPr>
          <w:rFonts w:ascii="PT Serif" w:hAnsi="PT Serif" w:cs="PT Serif"/>
          <w:b w:val="0"/>
          <w:i w:val="0"/>
          <w:sz w:val="20"/>
        </w:rPr>
        <w:t xml:space="preserve"> revisión vía “recurso” de amparo.</w:t>
      </w:r>
    </w:p>
    <w:p w14:paraId="3C7796A5" w14:textId="77777777" w:rsidR="001A1663" w:rsidRDefault="001A1663"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Una segunda interpretación que proponemos y que es con la que nos sentimos más cómodos es la siguiente.</w:t>
      </w:r>
    </w:p>
    <w:p w14:paraId="4C74C21F" w14:textId="7986837F" w:rsidR="00734CE4" w:rsidRDefault="001A1663" w:rsidP="008B0147">
      <w:pPr>
        <w:pStyle w:val="03Texto"/>
        <w:spacing w:before="0" w:lineRule="auto" w:line="264" w:after="120"/>
        <w:ind w:firstLine="0"/>
        <w:jc w:val="both"/>
        <w:rPr>
          <w:rFonts w:ascii="PT Serif" w:hAnsi="PT Serif"/>
          <w:sz w:val="20"/>
        </w:rPr>
      </w:pPr>
      <w:r>
        <w:rPr>
          <w:rFonts w:ascii="PT Serif" w:hAnsi="PT Serif" w:cs="PT Serif"/>
          <w:b w:val="0"/>
          <w:i w:val="0"/>
          <w:sz w:val="20"/>
        </w:rPr>
        <w:t>Efectivamente el artículo 31 de la Ley 25/2014</w:t>
      </w:r>
      <w:r w:rsidR="00734CE4">
        <w:rPr>
          <w:rFonts w:ascii="PT Serif" w:hAnsi="PT Serif" w:cs="PT Serif"/>
          <w:b w:val="0"/>
          <w:i w:val="0"/>
          <w:sz w:val="20"/>
        </w:rPr>
        <w:t xml:space="preserve"> </w:t>
      </w:r>
      <w:r>
        <w:rPr>
          <w:rFonts w:ascii="PT Serif" w:hAnsi="PT Serif" w:cs="PT Serif"/>
          <w:b w:val="0"/>
          <w:i w:val="0"/>
          <w:sz w:val="20"/>
        </w:rPr>
        <w:t>consagra una prevalencia de las normas convencionales sobre las internas “en caso de conflicto con ellas, salvo las normas de rango constitucional”.</w:t>
      </w:r>
    </w:p>
    <w:p w14:paraId="169D872C" w14:textId="25B059D2" w:rsidR="00E531CF" w:rsidRDefault="001A1663" w:rsidP="001A1663">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La prevalencia no debe tenerse presente cuando el conflicto sea con normas de rango constitucional. En este contexto, consideramos que el artículo 10.1 CE consagra un “principio pro persona” que en caso de que entre en conflicto con el principio de prevalencia, debería hacer decaer a este último. </w:t>
      </w:r>
      <w:r w:rsidR="00413C0B">
        <w:rPr>
          <w:rFonts w:ascii="PT Serif" w:hAnsi="PT Serif" w:cs="PT Serif"/>
          <w:b w:val="0"/>
          <w:i w:val="0"/>
          <w:sz w:val="20"/>
        </w:rPr>
        <w:t xml:space="preserve">Dicho con otras palabras, la “dignidad de la persona” y los “derechos inviolables que le son inherentes” </w:t>
      </w:r>
      <w:r w:rsidR="00E531CF">
        <w:rPr>
          <w:rFonts w:ascii="PT Serif" w:hAnsi="PT Serif" w:cs="PT Serif"/>
          <w:b w:val="0"/>
          <w:i w:val="0"/>
          <w:sz w:val="20"/>
        </w:rPr>
        <w:t xml:space="preserve">permiten </w:t>
      </w:r>
      <w:r>
        <w:rPr>
          <w:rFonts w:ascii="PT Serif" w:hAnsi="PT Serif" w:cs="PT Serif"/>
          <w:b w:val="0"/>
          <w:i w:val="0"/>
          <w:sz w:val="20"/>
        </w:rPr>
        <w:t>sostener</w:t>
      </w:r>
      <w:r w:rsidR="00E531CF">
        <w:rPr>
          <w:rFonts w:ascii="PT Serif" w:hAnsi="PT Serif" w:cs="PT Serif"/>
          <w:b w:val="0"/>
          <w:i w:val="0"/>
          <w:sz w:val="20"/>
        </w:rPr>
        <w:t xml:space="preserve"> que</w:t>
      </w:r>
      <w:r>
        <w:rPr>
          <w:rFonts w:ascii="PT Serif" w:hAnsi="PT Serif" w:cs="PT Serif"/>
          <w:b w:val="0"/>
          <w:i w:val="0"/>
          <w:sz w:val="20"/>
        </w:rPr>
        <w:t xml:space="preserve"> de dicho precepto se deriva un </w:t>
      </w:r>
      <w:r w:rsidR="00413C0B">
        <w:rPr>
          <w:rFonts w:ascii="PT Serif" w:hAnsi="PT Serif" w:cs="PT Serif"/>
          <w:b w:val="0"/>
          <w:i w:val="0"/>
          <w:sz w:val="20"/>
        </w:rPr>
        <w:t>“principio pro persona”</w:t>
      </w:r>
      <w:r>
        <w:rPr>
          <w:rFonts w:ascii="PT Serif" w:hAnsi="PT Serif" w:cs="PT Serif"/>
          <w:b w:val="0"/>
          <w:i w:val="0"/>
          <w:sz w:val="20"/>
        </w:rPr>
        <w:t xml:space="preserve"> que</w:t>
      </w:r>
      <w:r w:rsidR="00413C0B">
        <w:rPr>
          <w:rFonts w:ascii="PT Serif" w:hAnsi="PT Serif" w:cs="PT Serif"/>
          <w:b w:val="0"/>
          <w:i w:val="0"/>
          <w:sz w:val="20"/>
        </w:rPr>
        <w:t xml:space="preserve"> debe servir para corregir las limitaciones en los derechos humanos que pueda implicar la aplicación del principio de prevalencia</w:t>
      </w:r>
      <w:r w:rsidR="00E531CF">
        <w:rPr>
          <w:rFonts w:ascii="PT Serif" w:hAnsi="PT Serif" w:cs="PT Serif"/>
          <w:b w:val="0"/>
          <w:i w:val="0"/>
          <w:sz w:val="20"/>
        </w:rPr>
        <w:t xml:space="preserve"> y el eventual desplazamiento de una norma interna más respetuosa con la dignidad de la persona.</w:t>
      </w:r>
    </w:p>
    <w:p w14:paraId="66FB23B9" w14:textId="3A882DE5" w:rsidR="001A1663" w:rsidRDefault="001A1663" w:rsidP="001A1663">
      <w:pPr>
        <w:pStyle w:val="03Texto"/>
        <w:spacing w:before="0" w:lineRule="auto" w:line="264" w:after="120"/>
        <w:ind w:firstLine="0"/>
        <w:jc w:val="both"/>
        <w:rPr>
          <w:rFonts w:ascii="PT Serif" w:hAnsi="PT Serif"/>
          <w:sz w:val="20"/>
        </w:rPr>
      </w:pPr>
      <w:r>
        <w:rPr>
          <w:rFonts w:ascii="PT Serif" w:hAnsi="PT Serif" w:cs="PT Serif"/>
          <w:b w:val="0"/>
          <w:i w:val="0"/>
          <w:sz w:val="20"/>
        </w:rPr>
        <w:t>De esta manera, la CE permite que un principio de rango constitucional corrija las limitaciones en los derechos de la dignidad de la persona que una aplicación estricta del principio de prevalencia pueda ocasionar.</w:t>
      </w:r>
    </w:p>
    <w:p w14:paraId="0C49BD7F" w14:textId="73CA7BA5" w:rsidR="001A1663" w:rsidRDefault="001A1663" w:rsidP="001A1663">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Somos conscientes de que esta interpretación presenta más complejidad que la primera que hemos expuesto. Sin embargo, confirma que la Jurisdicción ordinaria es la que realiza el control de convencionalidad y lo hace </w:t>
      </w:r>
      <w:r>
        <w:rPr>
          <w:rFonts w:ascii="PT Serif" w:hAnsi="PT Serif" w:cs="PT Serif"/>
          <w:b w:val="0"/>
          <w:i/>
          <w:iCs/>
          <w:sz w:val="20"/>
        </w:rPr>
        <w:t>ab initio</w:t>
      </w:r>
      <w:r>
        <w:rPr>
          <w:rFonts w:ascii="PT Serif" w:hAnsi="PT Serif" w:cs="PT Serif"/>
          <w:b w:val="0"/>
          <w:i w:val="0"/>
          <w:sz w:val="20"/>
        </w:rPr>
        <w:t xml:space="preserve">, sin esperar a un eventual control </w:t>
      </w:r>
      <w:r>
        <w:rPr>
          <w:rFonts w:ascii="PT Serif" w:hAnsi="PT Serif" w:cs="PT Serif"/>
          <w:b w:val="0"/>
          <w:i/>
          <w:iCs/>
          <w:sz w:val="20"/>
        </w:rPr>
        <w:t>ex post</w:t>
      </w:r>
      <w:r>
        <w:rPr>
          <w:rFonts w:ascii="PT Serif" w:hAnsi="PT Serif" w:cs="PT Serif"/>
          <w:b w:val="0"/>
          <w:i w:val="0"/>
          <w:sz w:val="20"/>
        </w:rPr>
        <w:t xml:space="preserve"> por parte del TC </w:t>
      </w:r>
      <w:r w:rsidR="00C70AF1">
        <w:rPr>
          <w:rFonts w:ascii="PT Serif" w:hAnsi="PT Serif" w:cs="PT Serif"/>
          <w:b w:val="0"/>
          <w:i w:val="0"/>
          <w:sz w:val="20"/>
        </w:rPr>
        <w:t xml:space="preserve">reforzando el papel de aquella como </w:t>
      </w:r>
      <w:r>
        <w:rPr>
          <w:rFonts w:ascii="PT Serif" w:hAnsi="PT Serif" w:cs="PT Serif"/>
          <w:b w:val="0"/>
          <w:i w:val="0"/>
          <w:sz w:val="20"/>
        </w:rPr>
        <w:t>garante de los derechos fund</w:t>
      </w:r>
      <w:r w:rsidR="00C70AF1">
        <w:rPr>
          <w:rFonts w:ascii="PT Serif" w:hAnsi="PT Serif" w:cs="PT Serif"/>
          <w:b w:val="0"/>
          <w:i w:val="0"/>
          <w:sz w:val="20"/>
        </w:rPr>
        <w:t xml:space="preserve">amentales </w:t>
      </w:r>
      <w:r>
        <w:rPr>
          <w:rFonts w:ascii="PT Serif" w:hAnsi="PT Serif" w:cs="PT Serif"/>
          <w:b w:val="0"/>
          <w:i w:val="0"/>
          <w:sz w:val="20"/>
        </w:rPr>
        <w:t>(art. 10.1 CE en relación con el art. 53.1 CE).</w:t>
      </w:r>
    </w:p>
    <w:p w14:paraId="69893F9F" w14:textId="5F9ADB58" w:rsidR="00994D50" w:rsidRPr="00994D50" w:rsidRDefault="00C70AF1" w:rsidP="001A1663">
      <w:pPr>
        <w:pStyle w:val="03Texto"/>
        <w:spacing w:before="0" w:lineRule="auto" w:line="264" w:after="120"/>
        <w:ind w:firstLine="0"/>
        <w:jc w:val="both"/>
        <w:rPr>
          <w:rFonts w:ascii="PT Serif" w:hAnsi="PT Serif"/>
          <w:sz w:val="20"/>
        </w:rPr>
      </w:pPr>
      <w:r>
        <w:rPr>
          <w:rFonts w:ascii="PT Serif" w:hAnsi="PT Serif" w:cs="PT Serif"/>
          <w:b w:val="0"/>
          <w:i w:val="0"/>
          <w:sz w:val="20"/>
        </w:rPr>
        <w:t xml:space="preserve">Por otro lado, creemos que es oportuno para reforzar nuestra posición que tengamos presente que esta interpretación puede ser acogida si se refuerza el diálogo jurisprudencial en materia de derechos humanos, sobre todo, si prestamos atención al ámbito multinivel. Al respecto, el denominado </w:t>
      </w:r>
      <w:r w:rsidR="00994D50">
        <w:rPr>
          <w:rFonts w:ascii="PT Serif" w:hAnsi="PT Serif" w:cs="PT Serif"/>
          <w:b w:val="0"/>
          <w:i w:val="0"/>
          <w:sz w:val="20"/>
        </w:rPr>
        <w:t>principio</w:t>
      </w:r>
      <w:r>
        <w:rPr>
          <w:rFonts w:ascii="PT Serif" w:hAnsi="PT Serif" w:cs="PT Serif"/>
          <w:b w:val="0"/>
          <w:i w:val="0"/>
          <w:sz w:val="20"/>
        </w:rPr>
        <w:t xml:space="preserve"> </w:t>
      </w:r>
      <w:r>
        <w:rPr>
          <w:rFonts w:ascii="PT Serif" w:hAnsi="PT Serif" w:cs="PT Serif"/>
          <w:b w:val="0"/>
          <w:i/>
          <w:iCs/>
          <w:sz w:val="20"/>
        </w:rPr>
        <w:t>pro persona</w:t>
      </w:r>
      <w:r>
        <w:rPr>
          <w:rFonts w:ascii="PT Serif" w:hAnsi="PT Serif" w:cs="PT Serif"/>
          <w:b w:val="0"/>
          <w:i w:val="0"/>
          <w:sz w:val="20"/>
        </w:rPr>
        <w:t xml:space="preserve"> como par</w:t>
      </w:r>
      <w:r w:rsidR="00994D50">
        <w:rPr>
          <w:rFonts w:ascii="PT Serif" w:hAnsi="PT Serif" w:cs="PT Serif"/>
          <w:b w:val="0"/>
          <w:i w:val="0"/>
          <w:sz w:val="20"/>
        </w:rPr>
        <w:t xml:space="preserve">ámetro </w:t>
      </w:r>
      <w:r>
        <w:rPr>
          <w:rFonts w:ascii="PT Serif" w:hAnsi="PT Serif" w:cs="PT Serif"/>
          <w:b w:val="0"/>
          <w:i w:val="0"/>
          <w:sz w:val="20"/>
        </w:rPr>
        <w:t xml:space="preserve">para la </w:t>
      </w:r>
      <w:r w:rsidR="00994D50">
        <w:rPr>
          <w:rFonts w:ascii="PT Serif" w:hAnsi="PT Serif" w:cs="PT Serif"/>
          <w:b w:val="0"/>
          <w:i w:val="0"/>
          <w:sz w:val="20"/>
        </w:rPr>
        <w:t>resolución</w:t>
      </w:r>
      <w:r>
        <w:rPr>
          <w:rFonts w:ascii="PT Serif" w:hAnsi="PT Serif" w:cs="PT Serif"/>
          <w:b w:val="0"/>
          <w:i w:val="0"/>
          <w:sz w:val="20"/>
        </w:rPr>
        <w:t xml:space="preserve"> de los conflictos normativos </w:t>
      </w:r>
      <w:r w:rsidR="00994D50">
        <w:rPr>
          <w:rFonts w:ascii="PT Serif" w:hAnsi="PT Serif" w:cs="PT Serif"/>
          <w:b w:val="0"/>
          <w:i w:val="0"/>
          <w:sz w:val="20"/>
        </w:rPr>
        <w:t>está</w:t>
      </w:r>
      <w:r>
        <w:rPr>
          <w:rFonts w:ascii="PT Serif" w:hAnsi="PT Serif" w:cs="PT Serif"/>
          <w:b w:val="0"/>
          <w:i w:val="0"/>
          <w:sz w:val="20"/>
        </w:rPr>
        <w:t xml:space="preserve"> consolidado en la ju</w:t>
      </w:r>
      <w:r w:rsidR="00994D50">
        <w:rPr>
          <w:rFonts w:ascii="PT Serif" w:hAnsi="PT Serif" w:cs="PT Serif"/>
          <w:b w:val="0"/>
          <w:i w:val="0"/>
          <w:sz w:val="20"/>
        </w:rPr>
        <w:t xml:space="preserve">risprudencia </w:t>
      </w:r>
      <w:r>
        <w:rPr>
          <w:rFonts w:ascii="PT Serif" w:hAnsi="PT Serif" w:cs="PT Serif"/>
          <w:b w:val="0"/>
          <w:i w:val="0"/>
          <w:sz w:val="20"/>
        </w:rPr>
        <w:t xml:space="preserve">de la Corte Interamericana de Derechos </w:t>
      </w:r>
      <w:r w:rsidR="00994D50">
        <w:rPr>
          <w:rFonts w:ascii="PT Serif" w:hAnsi="PT Serif" w:cs="PT Serif"/>
          <w:b w:val="0"/>
          <w:i w:val="0"/>
          <w:sz w:val="20"/>
        </w:rPr>
        <w:lastRenderedPageBreak/>
        <w:t>Humanos</w:t>
      </w:r>
      <w:r w:rsidR="00994D50">
        <w:rPr>
          <w:rStyle w:val="Refernciadenotaapeudepgina"/>
          <w:rFonts w:ascii="PT Serif" w:hAnsi="PT Serif" w:cs="PT Serif"/>
          <w:b w:val="0"/>
          <w:i w:val="0"/>
          <w:sz w:val="20"/>
        </w:rPr>
        <w:footnoteReference w:id="42"/>
      </w:r>
      <w:r>
        <w:rPr>
          <w:rFonts w:ascii="PT Serif" w:hAnsi="PT Serif" w:cs="PT Serif"/>
          <w:b w:val="0"/>
          <w:i w:val="0"/>
          <w:sz w:val="20"/>
        </w:rPr>
        <w:t xml:space="preserve"> (en adelante, “CIDH”). Obviamente, no vamos a realizar un </w:t>
      </w:r>
      <w:r w:rsidR="00994D50">
        <w:rPr>
          <w:rFonts w:ascii="PT Serif" w:hAnsi="PT Serif" w:cs="PT Serif"/>
          <w:b w:val="0"/>
          <w:i w:val="0"/>
          <w:sz w:val="20"/>
        </w:rPr>
        <w:t>análisis</w:t>
      </w:r>
      <w:r>
        <w:rPr>
          <w:rFonts w:ascii="PT Serif" w:hAnsi="PT Serif" w:cs="PT Serif"/>
          <w:b w:val="0"/>
          <w:i w:val="0"/>
          <w:sz w:val="20"/>
        </w:rPr>
        <w:t xml:space="preserve"> a fond</w:t>
      </w:r>
      <w:r w:rsidR="00994D50">
        <w:rPr>
          <w:rFonts w:ascii="PT Serif" w:hAnsi="PT Serif" w:cs="PT Serif"/>
          <w:b w:val="0"/>
          <w:i w:val="0"/>
          <w:sz w:val="20"/>
        </w:rPr>
        <w:t>o</w:t>
      </w:r>
      <w:r>
        <w:rPr>
          <w:rFonts w:ascii="PT Serif" w:hAnsi="PT Serif" w:cs="PT Serif"/>
          <w:b w:val="0"/>
          <w:i w:val="0"/>
          <w:sz w:val="20"/>
        </w:rPr>
        <w:t xml:space="preserve"> de estos aportes jur</w:t>
      </w:r>
      <w:r w:rsidR="00994D50">
        <w:rPr>
          <w:rFonts w:ascii="PT Serif" w:hAnsi="PT Serif" w:cs="PT Serif"/>
          <w:b w:val="0"/>
          <w:i w:val="0"/>
          <w:sz w:val="20"/>
        </w:rPr>
        <w:t>isprudenciales</w:t>
      </w:r>
      <w:r>
        <w:rPr>
          <w:rFonts w:ascii="PT Serif" w:hAnsi="PT Serif" w:cs="PT Serif"/>
          <w:b w:val="0"/>
          <w:i w:val="0"/>
          <w:sz w:val="20"/>
        </w:rPr>
        <w:t xml:space="preserve"> que da</w:t>
      </w:r>
      <w:r w:rsidR="00994D50">
        <w:rPr>
          <w:rFonts w:ascii="PT Serif" w:hAnsi="PT Serif" w:cs="PT Serif"/>
          <w:b w:val="0"/>
          <w:i w:val="0"/>
          <w:sz w:val="20"/>
        </w:rPr>
        <w:t xml:space="preserve">rían </w:t>
      </w:r>
      <w:r>
        <w:rPr>
          <w:rFonts w:ascii="PT Serif" w:hAnsi="PT Serif" w:cs="PT Serif"/>
          <w:b w:val="0"/>
          <w:i w:val="0"/>
          <w:sz w:val="20"/>
        </w:rPr>
        <w:t xml:space="preserve">pie a un nuevo </w:t>
      </w:r>
      <w:r w:rsidR="00994D50">
        <w:rPr>
          <w:rFonts w:ascii="PT Serif" w:hAnsi="PT Serif" w:cs="PT Serif"/>
          <w:b w:val="0"/>
          <w:i w:val="0"/>
          <w:sz w:val="20"/>
        </w:rPr>
        <w:t>trabajo</w:t>
      </w:r>
      <w:r>
        <w:rPr>
          <w:rFonts w:ascii="PT Serif" w:hAnsi="PT Serif" w:cs="PT Serif"/>
          <w:b w:val="0"/>
          <w:i w:val="0"/>
          <w:sz w:val="20"/>
        </w:rPr>
        <w:t xml:space="preserve"> de investigación. No obstante, para reforzar </w:t>
      </w:r>
      <w:r w:rsidR="00994D50">
        <w:rPr>
          <w:rFonts w:ascii="PT Serif" w:hAnsi="PT Serif" w:cs="PT Serif"/>
          <w:b w:val="0"/>
          <w:i w:val="0"/>
          <w:sz w:val="20"/>
        </w:rPr>
        <w:t xml:space="preserve">nuestro posicionamiento, señalamos por su interés la sentencia de la CIDH de 23 de noviembre de 2009, “caso Radilla Pacheco </w:t>
      </w:r>
      <w:r w:rsidR="00994D50">
        <w:rPr>
          <w:rFonts w:ascii="PT Serif" w:hAnsi="PT Serif" w:cs="PT Serif"/>
          <w:b w:val="0"/>
          <w:i/>
          <w:iCs/>
          <w:sz w:val="20"/>
        </w:rPr>
        <w:t>versus</w:t>
      </w:r>
      <w:r w:rsidR="00994D50">
        <w:rPr>
          <w:rFonts w:ascii="PT Serif" w:hAnsi="PT Serif" w:cs="PT Serif"/>
          <w:b w:val="0"/>
          <w:i w:val="0"/>
          <w:sz w:val="20"/>
        </w:rPr>
        <w:t xml:space="preserve"> Estados Unidos Mexicanos</w:t>
      </w:r>
      <w:r w:rsidR="00994D50">
        <w:rPr>
          <w:rStyle w:val="Refernciadenotaapeudepgina"/>
          <w:rFonts w:ascii="PT Serif" w:hAnsi="PT Serif" w:cs="PT Serif"/>
          <w:b w:val="0"/>
          <w:i w:val="0"/>
          <w:sz w:val="20"/>
        </w:rPr>
        <w:footnoteReference w:id="43"/>
      </w:r>
      <w:r w:rsidR="00994D50">
        <w:rPr>
          <w:rFonts w:ascii="PT Serif" w:hAnsi="PT Serif" w:cs="PT Serif"/>
          <w:b w:val="0"/>
          <w:i w:val="0"/>
          <w:sz w:val="20"/>
        </w:rPr>
        <w:t xml:space="preserve">”, que provocó una reforma constitucional de gran calado fruto de la cual se consagra de manera explícita el principio </w:t>
      </w:r>
      <w:r w:rsidR="00994D50">
        <w:rPr>
          <w:rFonts w:ascii="PT Serif" w:hAnsi="PT Serif" w:cs="PT Serif"/>
          <w:b w:val="0"/>
          <w:i/>
          <w:iCs/>
          <w:sz w:val="20"/>
        </w:rPr>
        <w:t xml:space="preserve">pro persona </w:t>
      </w:r>
      <w:r w:rsidR="00994D50">
        <w:rPr>
          <w:rFonts w:ascii="PT Serif" w:hAnsi="PT Serif" w:cs="PT Serif"/>
          <w:b w:val="0"/>
          <w:i w:val="0"/>
          <w:sz w:val="20"/>
        </w:rPr>
        <w:t>en la Constitución política de México. En concreto, el artículo 1, párr. 2 dispone que “las</w:t>
      </w:r>
      <w:r w:rsidR="00994D50" w:rsidRPr="00994D50">
        <w:rPr>
          <w:rFonts w:ascii="PT Serif" w:hAnsi="PT Serif" w:cs="PT Serif"/>
          <w:b w:val="0"/>
          <w:i w:val="0"/>
          <w:sz w:val="20"/>
        </w:rPr>
        <w:t xml:space="preserve"> normas relativas a los derechos humanos se interpretarán de conformidad con esta Constitución y con los tratados internacionales de la materia favoreciendo en todo tiempo a las personas la protección más amplia</w:t>
      </w:r>
      <w:r w:rsidR="00994D50">
        <w:rPr>
          <w:rFonts w:ascii="PT Serif" w:hAnsi="PT Serif" w:cs="PT Serif"/>
          <w:b w:val="0"/>
          <w:i w:val="0"/>
          <w:sz w:val="20"/>
        </w:rPr>
        <w:t>”.</w:t>
      </w:r>
    </w:p>
    <w:p w14:paraId="1EF0CC08" w14:textId="77777777" w:rsidR="00E531CF" w:rsidRDefault="00E531CF" w:rsidP="008B0147">
      <w:pPr>
        <w:pStyle w:val="03Texto"/>
        <w:spacing w:before="0"/>
        <w:ind w:firstLine="0"/>
        <w:rPr>
          <w:rFonts w:ascii="PT Serif" w:hAnsi="PT Serif"/>
          <w:sz w:val="20"/>
        </w:rPr>
      </w:pPr>
    </w:p>
    <w:p w14:paraId="12FD7CD2" w14:textId="44A03211" w:rsidR="0029096C" w:rsidRPr="00804145" w:rsidRDefault="00FC1DA0" w:rsidP="00804145">
      <w:pPr>
        <w:spacing w:after="360" w:line="240" w:lineRule="auto" w:before="160"/>
        <w:jc w:val="both"/>
        <w:rPr>
          <w:rFonts w:ascii="Open Sans" w:hAnsi="Open Sans" w:cs="Open Sans"/>
          <w:b/>
        </w:rPr>
      </w:pPr>
      <w:r>
        <w:rPr>
          <w:rFonts w:ascii="Open Sans" w:hAnsi="Open Sans" w:cs="Open Sans"/>
          <w:b/>
          <w:i w:val="0"/>
          <w:sz w:val="22"/>
        </w:rPr>
        <w:t xml:space="preserve">4. </w:t>
      </w:r>
      <w:r w:rsidR="002B78B0" w:rsidRPr="00804145">
        <w:rPr>
          <w:rFonts w:ascii="Open Sans" w:hAnsi="Open Sans" w:cs="Open Sans"/>
          <w:b/>
          <w:i w:val="0"/>
          <w:sz w:val="22"/>
        </w:rPr>
        <w:t>B</w:t>
      </w:r>
      <w:r w:rsidR="0029096C" w:rsidRPr="00804145">
        <w:rPr>
          <w:rFonts w:ascii="Open Sans" w:hAnsi="Open Sans" w:cs="Open Sans"/>
          <w:b/>
          <w:i w:val="0"/>
          <w:sz w:val="22"/>
        </w:rPr>
        <w:t>ibliografía</w:t>
      </w:r>
    </w:p>
    <w:p w14:paraId="15099B36" w14:textId="77777777" w:rsidR="00B74FA0" w:rsidRDefault="00B74FA0" w:rsidP="00B74FA0">
      <w:pPr>
        <w:spacing w:after="0" w:line="264" w:lineRule="auto"/>
        <w:jc w:val="both"/>
        <w:rPr>
          <w:rFonts w:ascii="Open Sans" w:hAnsi="Open Sans" w:cs="Open Sans"/>
          <w:b/>
        </w:rPr>
      </w:pPr>
    </w:p>
    <w:p w14:paraId="422C0377"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ALCALÁ ZAMORA Y CASTILLO, Niceto., «Notas relativas al concepto de Jurisdicción». </w:t>
      </w:r>
      <w:r w:rsidRPr="008A5173">
        <w:rPr>
          <w:rFonts w:ascii="PT Serif" w:hAnsi="PT Serif" w:cs="PT Serif"/>
          <w:b w:val="0"/>
          <w:i/>
          <w:sz w:val="20"/>
        </w:rPr>
        <w:t>Estudios de teoría general</w:t>
      </w:r>
      <w:r w:rsidRPr="008A5173">
        <w:rPr>
          <w:rFonts w:ascii="PT Serif" w:hAnsi="PT Serif" w:cs="PT Serif"/>
          <w:b w:val="0"/>
          <w:i w:val="0"/>
          <w:sz w:val="20"/>
        </w:rPr>
        <w:t>. México 1974.</w:t>
      </w:r>
    </w:p>
    <w:p w14:paraId="2D8DD0C9" w14:textId="77777777" w:rsidR="00B74FA0" w:rsidRPr="008A5173" w:rsidRDefault="00B74FA0" w:rsidP="00DF3094">
      <w:pPr>
        <w:pStyle w:val="Textdenotaapeudepgina"/>
      </w:pPr>
    </w:p>
    <w:p w14:paraId="348F7FB8"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ALONSO GARCÍA, Ricardo, «El control de convencionalidad: cinco interrogantes». </w:t>
      </w:r>
      <w:r w:rsidRPr="008A5173">
        <w:rPr>
          <w:rStyle w:val="Cursivas"/>
          <w:rFonts w:cs="PT Serif" w:ascii="PT Serif" w:hAnsi="PT Serif"/>
          <w:b w:val="0"/>
          <w:i w:val="0"/>
          <w:sz w:val="20"/>
        </w:rPr>
        <w:t>Revista española de derecho constitucional</w:t>
      </w:r>
      <w:r w:rsidRPr="008A5173">
        <w:rPr>
          <w:rFonts w:ascii="PT Serif" w:hAnsi="PT Serif" w:cs="PT Serif"/>
          <w:b w:val="0"/>
          <w:i w:val="0"/>
          <w:sz w:val="20"/>
        </w:rPr>
        <w:t>, año 40, núm. 119, 2020.</w:t>
      </w:r>
    </w:p>
    <w:p w14:paraId="718722A6" w14:textId="77777777" w:rsidR="00044E13" w:rsidRPr="008A5173" w:rsidRDefault="00044E13" w:rsidP="00DF3094">
      <w:pPr>
        <w:pStyle w:val="Textdenotaapeudepgina"/>
      </w:pPr>
    </w:p>
    <w:p w14:paraId="5D3F346C" w14:textId="719C5090" w:rsidR="00044E13" w:rsidRPr="008A5173" w:rsidRDefault="00044E13" w:rsidP="00DF3094">
      <w:pPr>
        <w:pStyle w:val="Textdenotaapeudepgina"/>
        <w:spacing w:lineRule="auto" w:line="264" w:after="120"/>
        <w:ind w:firstLine="0"/>
        <w:jc w:val="both"/>
        <w:rPr>
          <w:rFonts w:cs="Arial"/>
          <w:smallCaps/>
        </w:rPr>
      </w:pPr>
      <w:r w:rsidRPr="008A5173">
        <w:rPr>
          <w:rFonts w:ascii="PT Serif" w:hAnsi="PT Serif" w:cs="PT Serif"/>
          <w:b w:val="0"/>
          <w:i w:val="0"/>
          <w:sz w:val="20"/>
        </w:rPr>
        <w:t xml:space="preserve">ÁLVAREZ OLALLA, María del Pilar, </w:t>
      </w:r>
      <w:r w:rsidRPr="008A5173">
        <w:rPr>
          <w:rFonts w:ascii="PT Serif" w:hAnsi="PT Serif" w:cs="PT Serif"/>
          <w:b w:val="0"/>
          <w:i/>
          <w:iCs/>
          <w:sz w:val="20"/>
        </w:rPr>
        <w:t>Violencia de género y responsabilidad civil</w:t>
      </w:r>
      <w:r w:rsidRPr="008A5173">
        <w:rPr>
          <w:rFonts w:ascii="PT Serif" w:hAnsi="PT Serif" w:cs="PT Serif"/>
          <w:b w:val="0"/>
          <w:i w:val="0"/>
          <w:sz w:val="20"/>
        </w:rPr>
        <w:t>. Reus, España, 2020.</w:t>
      </w:r>
    </w:p>
    <w:p w14:paraId="00238160" w14:textId="77777777" w:rsidR="00B74FA0" w:rsidRPr="008A5173" w:rsidRDefault="00B74FA0" w:rsidP="00DF3094">
      <w:pPr>
        <w:pStyle w:val="Textdenotaapeudepgina"/>
      </w:pPr>
    </w:p>
    <w:p w14:paraId="6D26F6F2"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AZNAR GÓMEZ, Mariano J., «Comentarios a la Ley de Tratados y otros acuerdos internacionales (Ley 25/2014, de 27 de noviembre)».</w:t>
      </w:r>
      <w:r w:rsidRPr="008A5173">
        <w:rPr>
          <w:rStyle w:val="Cursivas"/>
          <w:rFonts w:cs="PT Serif" w:ascii="PT Serif" w:hAnsi="PT Serif"/>
          <w:b w:val="0"/>
          <w:i w:val="0"/>
          <w:sz w:val="20"/>
        </w:rPr>
        <w:t xml:space="preserve"> Revista española de derecho internacional</w:t>
      </w:r>
      <w:r w:rsidRPr="008A5173">
        <w:rPr>
          <w:rFonts w:ascii="PT Serif" w:hAnsi="PT Serif" w:cs="PT Serif"/>
          <w:b w:val="0"/>
          <w:i w:val="0"/>
          <w:sz w:val="20"/>
        </w:rPr>
        <w:t>, vol. 69, núm. 1, 2017.</w:t>
      </w:r>
    </w:p>
    <w:p w14:paraId="14FFC03D" w14:textId="77777777" w:rsidR="00044E13" w:rsidRPr="008A5173" w:rsidRDefault="00044E13" w:rsidP="00DF3094">
      <w:pPr>
        <w:pStyle w:val="Textdenotaapeudepgina"/>
      </w:pPr>
    </w:p>
    <w:p w14:paraId="1C62A1B4" w14:textId="09901FA4" w:rsidR="00044E13" w:rsidRPr="004F6B95" w:rsidRDefault="00044E13" w:rsidP="00DF3094">
      <w:pPr>
        <w:pStyle w:val="Textdenotaapeudepgina"/>
        <w:spacing w:lineRule="auto" w:line="264" w:after="120"/>
        <w:ind w:firstLine="0"/>
        <w:jc w:val="both"/>
        <w:rPr>
          <w:smallCaps/>
        </w:rPr>
      </w:pPr>
      <w:r w:rsidRPr="004F6B95">
        <w:rPr>
          <w:rFonts w:ascii="PT Serif" w:hAnsi="PT Serif" w:cs="PT Serif"/>
          <w:b w:val="0"/>
          <w:i w:val="0"/>
          <w:sz w:val="20"/>
        </w:rPr>
        <w:t>BELLO JANEIRO, Domingo,</w:t>
      </w:r>
      <w:r w:rsidR="008A5173" w:rsidRPr="004F6B95">
        <w:rPr>
          <w:rFonts w:ascii="PT Serif" w:hAnsi="PT Serif" w:cs="PT Serif"/>
          <w:b w:val="0"/>
          <w:i w:val="0"/>
          <w:smallCaps/>
          <w:sz w:val="20"/>
        </w:rPr>
        <w:t xml:space="preserve"> </w:t>
      </w:r>
      <w:r w:rsidR="00B72953" w:rsidRPr="004F6B95">
        <w:rPr>
          <w:rFonts w:ascii="PT Serif" w:hAnsi="PT Serif" w:cs="PT Serif"/>
          <w:b w:val="0"/>
          <w:i w:val="0"/>
          <w:sz w:val="20"/>
        </w:rPr>
        <w:t>«</w:t>
      </w:r>
      <w:r w:rsidRPr="004F6B95">
        <w:rPr>
          <w:rFonts w:ascii="PT Serif" w:hAnsi="PT Serif" w:cs="PT Serif"/>
          <w:b w:val="0"/>
          <w:i w:val="0"/>
          <w:sz w:val="20"/>
        </w:rPr>
        <w:t>Aspectos civiles de la violencia de género</w:t>
      </w:r>
      <w:r w:rsidR="004F6B95" w:rsidRPr="004F6B95">
        <w:rPr>
          <w:rFonts w:ascii="PT Serif" w:hAnsi="PT Serif" w:cs="PT Serif"/>
          <w:b w:val="0"/>
          <w:i w:val="0"/>
          <w:sz w:val="20"/>
        </w:rPr>
        <w:t>»</w:t>
      </w:r>
      <w:r w:rsidR="008A5173" w:rsidRPr="004F6B95">
        <w:rPr>
          <w:rFonts w:ascii="PT Serif" w:hAnsi="PT Serif" w:cs="PT Serif"/>
          <w:b w:val="0"/>
          <w:i w:val="0"/>
          <w:smallCaps/>
          <w:sz w:val="20"/>
        </w:rPr>
        <w:t>,</w:t>
      </w:r>
      <w:r w:rsidRPr="004F6B95">
        <w:rPr>
          <w:rFonts w:ascii="PT Serif" w:hAnsi="PT Serif" w:cs="PT Serif"/>
          <w:b w:val="0"/>
          <w:i w:val="0"/>
          <w:sz w:val="20"/>
        </w:rPr>
        <w:t xml:space="preserve"> </w:t>
      </w:r>
      <w:r w:rsidRPr="004F6B95">
        <w:rPr>
          <w:rFonts w:ascii="PT Serif" w:hAnsi="PT Serif" w:cs="PT Serif"/>
          <w:b w:val="0"/>
          <w:i/>
          <w:iCs/>
          <w:sz w:val="20"/>
        </w:rPr>
        <w:t>Familia y Derecho en la España del siglo XXI: libro homenaje al profesor Luis Humberto Clavería Gonsálbez</w:t>
      </w:r>
      <w:r w:rsidRPr="004F6B95">
        <w:rPr>
          <w:rFonts w:ascii="PT Serif" w:hAnsi="PT Serif" w:cs="PT Serif"/>
          <w:b w:val="0"/>
          <w:i w:val="0"/>
          <w:sz w:val="20"/>
        </w:rPr>
        <w:t xml:space="preserve"> (MARÍN VELLADRE, Asunción</w:t>
      </w:r>
      <w:r w:rsidR="008A5173" w:rsidRPr="004F6B95">
        <w:rPr>
          <w:rFonts w:ascii="PT Serif" w:hAnsi="PT Serif" w:cs="PT Serif"/>
          <w:b w:val="0"/>
          <w:i w:val="0"/>
          <w:smallCaps/>
          <w:sz w:val="20"/>
        </w:rPr>
        <w:t>/</w:t>
      </w:r>
      <w:r w:rsidRPr="004F6B95">
        <w:rPr>
          <w:rFonts w:ascii="PT Serif" w:hAnsi="PT Serif" w:cs="PT Serif"/>
          <w:b w:val="0"/>
          <w:i w:val="0"/>
          <w:sz w:val="20"/>
        </w:rPr>
        <w:t>CABEZUELO ARENAS, Ana Laura</w:t>
      </w:r>
      <w:r w:rsidR="008A5173" w:rsidRPr="004F6B95">
        <w:rPr>
          <w:rFonts w:ascii="PT Serif" w:hAnsi="PT Serif" w:cs="PT Serif"/>
          <w:b w:val="0"/>
          <w:i w:val="0"/>
          <w:smallCaps/>
          <w:sz w:val="20"/>
        </w:rPr>
        <w:t>/</w:t>
      </w:r>
      <w:r w:rsidRPr="004F6B95">
        <w:rPr>
          <w:rFonts w:ascii="PT Serif" w:hAnsi="PT Serif" w:cs="PT Serif"/>
          <w:b w:val="0"/>
          <w:i w:val="0"/>
          <w:sz w:val="20"/>
        </w:rPr>
        <w:t xml:space="preserve">MORENO MOZO, Fernadno, dirs.), 2021, pp. 271-290. </w:t>
      </w:r>
    </w:p>
    <w:p w14:paraId="6E7512E4" w14:textId="77777777" w:rsidR="00044E13" w:rsidRPr="008A5173" w:rsidRDefault="00044E13" w:rsidP="00DF3094">
      <w:pPr>
        <w:pStyle w:val="Textdenotaapeudepgina"/>
      </w:pPr>
    </w:p>
    <w:p w14:paraId="4A6CF9AD" w14:textId="443EC8A9"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BONET ESTEVA, Margarita, «Principio de Justicia universal, de modelo absoluto a modelo restrictivo, a propósito de sucesivas modificaciones del art. 23.4 LO Poder Judicial». </w:t>
      </w:r>
      <w:r w:rsidRPr="008A5173">
        <w:rPr>
          <w:rStyle w:val="Cursivas"/>
          <w:rFonts w:cs="PT Serif" w:ascii="PT Serif" w:hAnsi="PT Serif"/>
          <w:b w:val="0"/>
          <w:i w:val="0"/>
          <w:sz w:val="20"/>
        </w:rPr>
        <w:t>Pre-bie3</w:t>
      </w:r>
      <w:r w:rsidRPr="008A5173">
        <w:rPr>
          <w:rFonts w:ascii="PT Serif" w:hAnsi="PT Serif" w:cs="PT Serif"/>
          <w:b w:val="0"/>
          <w:i w:val="0"/>
          <w:sz w:val="20"/>
        </w:rPr>
        <w:t>, núm. 6, 2015.</w:t>
      </w:r>
    </w:p>
    <w:p w14:paraId="51B33D42" w14:textId="77777777" w:rsidR="00B74FA0" w:rsidRPr="008A5173" w:rsidRDefault="00B74FA0" w:rsidP="00DF3094">
      <w:pPr>
        <w:pStyle w:val="Textdenotaapeudepgina"/>
      </w:pPr>
    </w:p>
    <w:p w14:paraId="6441FDE4"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BONET NAVARRO, Ángel, «Derecho y Derecho Jurisdiccional». </w:t>
      </w:r>
      <w:r w:rsidRPr="008A5173">
        <w:rPr>
          <w:rFonts w:ascii="PT Serif" w:hAnsi="PT Serif" w:cs="PT Serif"/>
          <w:b w:val="0"/>
          <w:i/>
          <w:sz w:val="20"/>
        </w:rPr>
        <w:t>Escritos sobre la Jurisdicción y su actividad</w:t>
      </w:r>
      <w:r w:rsidRPr="008A5173">
        <w:rPr>
          <w:rFonts w:ascii="PT Serif" w:hAnsi="PT Serif" w:cs="PT Serif"/>
          <w:b w:val="0"/>
          <w:i w:val="0"/>
          <w:sz w:val="20"/>
        </w:rPr>
        <w:t>. Zaragoza 1981.</w:t>
      </w:r>
    </w:p>
    <w:p w14:paraId="52B609C4" w14:textId="77777777" w:rsidR="00B74FA0" w:rsidRPr="008A5173" w:rsidRDefault="00B74FA0" w:rsidP="00DF3094">
      <w:pPr>
        <w:pStyle w:val="Textdenotaapeudepgina"/>
      </w:pPr>
    </w:p>
    <w:p w14:paraId="2CA17A4C"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lastRenderedPageBreak/>
        <w:t xml:space="preserve">BUJOSA VADELL, Lorenzo M., «Ley Orgánica 1/2014, de 13 de marzo, de modificación de la Ley Orgánica 6/1985, de 1 de julio, del Poder Judicial, relativa a la justicia universal». </w:t>
      </w:r>
      <w:r w:rsidRPr="008A5173">
        <w:rPr>
          <w:rStyle w:val="Cursivas"/>
          <w:rFonts w:cs="PT Serif" w:ascii="PT Serif" w:hAnsi="PT Serif"/>
          <w:b w:val="0"/>
          <w:i w:val="0"/>
          <w:sz w:val="20"/>
        </w:rPr>
        <w:t>Ars Iuris Salmanticensis: revista europea e iberoamericana de pensamiento y análisis del derecho</w:t>
      </w:r>
      <w:r w:rsidRPr="008A5173">
        <w:rPr>
          <w:rFonts w:ascii="PT Serif" w:hAnsi="PT Serif" w:cs="PT Serif"/>
          <w:b w:val="0"/>
          <w:i w:val="0"/>
          <w:sz w:val="20"/>
        </w:rPr>
        <w:t>, vol. 2, núm. 2, 2014.</w:t>
      </w:r>
    </w:p>
    <w:p w14:paraId="49DD8422" w14:textId="77777777" w:rsidR="00B74FA0" w:rsidRPr="008A5173" w:rsidRDefault="00B74FA0" w:rsidP="00DF3094">
      <w:pPr>
        <w:pStyle w:val="Textdenotaapeudepgina"/>
      </w:pPr>
    </w:p>
    <w:p w14:paraId="5222F3FA" w14:textId="77777777" w:rsidR="00B74FA0"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CABEZUDO RODRÍGUEZ, Nicolás, «El último (y controvertible) credo en materia de política criminal. restaurativa y mediación penal». </w:t>
      </w:r>
      <w:r w:rsidRPr="008A5173">
        <w:rPr>
          <w:rFonts w:ascii="PT Serif" w:hAnsi="PT Serif" w:cs="PT Serif"/>
          <w:b w:val="0"/>
          <w:i/>
          <w:sz w:val="20"/>
        </w:rPr>
        <w:t>La Ley Penal</w:t>
      </w:r>
      <w:r w:rsidRPr="008A5173">
        <w:rPr>
          <w:rFonts w:ascii="PT Serif" w:hAnsi="PT Serif" w:cs="PT Serif"/>
          <w:b w:val="0"/>
          <w:i w:val="0"/>
          <w:sz w:val="20"/>
        </w:rPr>
        <w:t xml:space="preserve"> núm. 86, 2011.</w:t>
      </w:r>
    </w:p>
    <w:p w14:paraId="4FBFA880" w14:textId="6345858C" w:rsidR="004F6B95" w:rsidRDefault="004F6B95" w:rsidP="00DF3094">
      <w:pPr>
        <w:pStyle w:val="Textdenotaapeudepgina"/>
      </w:pPr>
    </w:p>
    <w:p w14:paraId="7BE3D35E" w14:textId="2D9DD01A" w:rsidR="004F6B95" w:rsidRDefault="004F6B95" w:rsidP="00DF3094">
      <w:pPr>
        <w:pStyle w:val="Textdenotaapeudepgina"/>
        <w:spacing w:lineRule="auto" w:line="264" w:after="120"/>
        <w:ind w:firstLine="0"/>
        <w:jc w:val="both"/>
      </w:pPr>
      <w:r>
        <w:rPr>
          <w:rFonts w:cs="PT Serif" w:ascii="PT Serif" w:hAnsi="PT Serif"/>
          <w:b w:val="0"/>
          <w:i w:val="0"/>
          <w:sz w:val="20"/>
          <w:smallCaps w:val="1"/>
        </w:rPr>
        <w:t>Camarrillo,</w:t>
      </w:r>
      <w:r w:rsidR="005C3C64">
        <w:rPr>
          <w:rFonts w:cs="PT Serif" w:ascii="PT Serif" w:hAnsi="PT Serif"/>
          <w:b w:val="0"/>
          <w:i w:val="0"/>
          <w:sz w:val="20"/>
        </w:rPr>
        <w:t xml:space="preserve">Jesús Antonio, </w:t>
      </w:r>
      <w:r w:rsidR="005C3C64" w:rsidRPr="008A5173">
        <w:rPr>
          <w:rFonts w:ascii="PT Serif" w:hAnsi="PT Serif" w:cs="PT Serif"/>
          <w:b w:val="0"/>
          <w:i w:val="0"/>
          <w:sz w:val="20"/>
        </w:rPr>
        <w:t>«</w:t>
      </w:r>
      <w:r w:rsidR="005C3C64">
        <w:rPr>
          <w:rFonts w:ascii="PT Serif" w:hAnsi="PT Serif" w:cs="PT Serif"/>
          <w:b w:val="0"/>
          <w:i w:val="0"/>
          <w:sz w:val="20"/>
        </w:rPr>
        <w:t>La disputa en torno al principio pro homine en el constitucionalismo mexicano</w:t>
      </w:r>
      <w:r w:rsidR="005C3C64" w:rsidRPr="008A5173">
        <w:rPr>
          <w:rFonts w:ascii="PT Serif" w:hAnsi="PT Serif" w:cs="PT Serif"/>
          <w:b w:val="0"/>
          <w:i w:val="0"/>
          <w:sz w:val="20"/>
        </w:rPr>
        <w:t>»</w:t>
      </w:r>
      <w:r w:rsidR="005C3C64">
        <w:rPr>
          <w:rFonts w:ascii="PT Serif" w:hAnsi="PT Serif" w:cs="PT Serif"/>
          <w:b w:val="0"/>
          <w:i w:val="0"/>
          <w:sz w:val="20"/>
        </w:rPr>
        <w:t xml:space="preserve">, </w:t>
      </w:r>
      <w:r w:rsidR="00B47663">
        <w:rPr>
          <w:rFonts w:ascii="PT Serif" w:hAnsi="PT Serif" w:cs="PT Serif"/>
          <w:b w:val="0"/>
          <w:i/>
          <w:iCs/>
          <w:sz w:val="20"/>
        </w:rPr>
        <w:t xml:space="preserve">100 años de Constitución: estudios multidisciplinares </w:t>
      </w:r>
      <w:r w:rsidR="00B47663">
        <w:rPr>
          <w:rFonts w:ascii="PT Serif" w:hAnsi="PT Serif" w:cs="PT Serif"/>
          <w:b w:val="0"/>
          <w:i w:val="0"/>
          <w:sz w:val="20"/>
        </w:rPr>
        <w:t>(</w:t>
      </w:r>
      <w:r w:rsidR="00463E43">
        <w:rPr>
          <w:rFonts w:ascii="PT Serif" w:hAnsi="PT Serif" w:cs="PT Serif"/>
          <w:b w:val="0"/>
          <w:i w:val="0"/>
          <w:sz w:val="20"/>
        </w:rPr>
        <w:t>OROZCO TORRES, Luis Ernesto</w:t>
      </w:r>
      <w:r w:rsidR="007240AC">
        <w:rPr>
          <w:rFonts w:ascii="PT Serif" w:hAnsi="PT Serif" w:cs="PT Serif"/>
          <w:b w:val="0"/>
          <w:i w:val="0"/>
          <w:sz w:val="20"/>
        </w:rPr>
        <w:t>/VILLEGAS DELGADO, Carlos Albtero/LÓPEZ ULL</w:t>
      </w:r>
      <w:r w:rsidR="00C62560">
        <w:rPr>
          <w:rFonts w:ascii="PT Serif" w:hAnsi="PT Serif" w:cs="PT Serif"/>
          <w:b w:val="0"/>
          <w:i w:val="0"/>
          <w:sz w:val="20"/>
        </w:rPr>
        <w:t xml:space="preserve">OA, </w:t>
      </w:r>
      <w:r w:rsidR="00B51ABF">
        <w:rPr>
          <w:rFonts w:ascii="PT Serif" w:hAnsi="PT Serif" w:cs="PT Serif"/>
          <w:b w:val="0"/>
          <w:i w:val="0"/>
          <w:sz w:val="20"/>
        </w:rPr>
        <w:t>Ed LIT.), 2019, pp. 158-173.</w:t>
      </w:r>
    </w:p>
    <w:p w14:paraId="21F69FAE" w14:textId="77777777" w:rsidR="00B74FA0" w:rsidRPr="008A5173" w:rsidRDefault="00B74FA0" w:rsidP="00DF3094">
      <w:pPr>
        <w:pStyle w:val="Textdenotaapeudepgina"/>
      </w:pPr>
    </w:p>
    <w:p w14:paraId="0D58923B" w14:textId="7FA3631E"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CASTILLEJO MANZANARES, Raquel, «</w:t>
      </w:r>
      <w:r w:rsidRPr="008A5173">
        <w:rPr>
          <w:rStyle w:val="titulo"/>
          <w:rFonts w:cs="PT Serif" w:ascii="PT Serif" w:hAnsi="PT Serif"/>
          <w:b w:val="0"/>
          <w:i w:val="0"/>
          <w:sz w:val="20"/>
        </w:rPr>
        <w:t>Cuestiones que suscita la Ley Orgánica de medidas de protección integral contra la violencia de género</w:t>
      </w:r>
      <w:r w:rsidRPr="008A5173">
        <w:rPr>
          <w:rFonts w:ascii="PT Serif" w:hAnsi="PT Serif" w:cs="PT Serif"/>
          <w:b w:val="0"/>
          <w:i w:val="0"/>
          <w:sz w:val="20"/>
        </w:rPr>
        <w:t>»</w:t>
      </w:r>
      <w:r w:rsidRPr="008A5173">
        <w:rPr>
          <w:rStyle w:val="titulo"/>
          <w:rFonts w:cs="PT Serif" w:ascii="PT Serif" w:hAnsi="PT Serif"/>
          <w:b w:val="0"/>
          <w:i w:val="0"/>
          <w:sz w:val="20"/>
        </w:rPr>
        <w:t xml:space="preserve">. </w:t>
      </w:r>
      <w:r w:rsidRPr="008A5173">
        <w:rPr>
          <w:rStyle w:val="titulo"/>
          <w:rFonts w:cs="PT Serif" w:ascii="PT Serif" w:hAnsi="PT Serif"/>
          <w:b w:val="0"/>
          <w:i/>
          <w:iCs/>
          <w:sz w:val="20"/>
        </w:rPr>
        <w:t>Revista de Derecho y proceso penal</w:t>
      </w:r>
      <w:r w:rsidRPr="008A5173">
        <w:rPr>
          <w:rStyle w:val="titulo"/>
          <w:rFonts w:cs="PT Serif" w:ascii="PT Serif" w:hAnsi="PT Serif"/>
          <w:b w:val="0"/>
          <w:i w:val="0"/>
          <w:sz w:val="20"/>
        </w:rPr>
        <w:t xml:space="preserve">, núm. 14, 2005.- </w:t>
      </w:r>
      <w:r w:rsidRPr="008A5173">
        <w:rPr>
          <w:rFonts w:ascii="PT Serif" w:hAnsi="PT Serif" w:cs="PT Serif"/>
          <w:b w:val="0"/>
          <w:i/>
          <w:sz w:val="20"/>
        </w:rPr>
        <w:t xml:space="preserve">Mediación en violencia de género: una solución o un </w:t>
      </w:r>
      <w:r w:rsidRPr="008A5173">
        <w:rPr>
          <w:rFonts w:ascii="PT Serif" w:hAnsi="PT Serif" w:cs="PT Serif"/>
          <w:b w:val="0"/>
          <w:i w:val="0"/>
          <w:iCs/>
          <w:sz w:val="20"/>
        </w:rPr>
        <w:t>problema, en</w:t>
      </w:r>
      <w:r w:rsidRPr="008A5173">
        <w:rPr>
          <w:rFonts w:ascii="PT Serif" w:hAnsi="PT Serif" w:cs="PT Serif"/>
          <w:b w:val="0"/>
          <w:i w:val="0"/>
          <w:sz w:val="20"/>
        </w:rPr>
        <w:t xml:space="preserve"> </w:t>
      </w:r>
      <w:r w:rsidRPr="008A5173">
        <w:rPr>
          <w:rFonts w:ascii="PT Serif" w:hAnsi="PT Serif" w:cs="PT Serif"/>
          <w:b w:val="0"/>
          <w:i/>
          <w:sz w:val="20"/>
        </w:rPr>
        <w:t>Mediación: un método de conflictos: estudio interdisciplinar</w:t>
      </w:r>
      <w:r w:rsidRPr="008A5173">
        <w:rPr>
          <w:rFonts w:ascii="PT Serif" w:hAnsi="PT Serif" w:cs="PT Serif"/>
          <w:b w:val="0"/>
          <w:i w:val="0"/>
          <w:sz w:val="20"/>
        </w:rPr>
        <w:t xml:space="preserve"> (GONZÁLEZ-CUÉLLAR SERRANO</w:t>
      </w:r>
      <w:r w:rsidR="00FE32F6" w:rsidRPr="008A5173">
        <w:rPr>
          <w:rFonts w:ascii="PT Serif" w:hAnsi="PT Serif" w:cs="PT Serif"/>
          <w:b w:val="0"/>
          <w:i w:val="0"/>
          <w:sz w:val="20"/>
        </w:rPr>
        <w:t xml:space="preserve">, </w:t>
      </w:r>
      <w:r w:rsidRPr="008A5173">
        <w:rPr>
          <w:rFonts w:ascii="PT Serif" w:hAnsi="PT Serif" w:cs="PT Serif"/>
          <w:b w:val="0"/>
          <w:i w:val="0"/>
          <w:sz w:val="20"/>
        </w:rPr>
        <w:t>N</w:t>
      </w:r>
      <w:r w:rsidR="007F7FBF" w:rsidRPr="008A5173">
        <w:rPr>
          <w:rFonts w:ascii="PT Serif" w:hAnsi="PT Serif" w:cs="PT Serif"/>
          <w:b w:val="0"/>
          <w:i w:val="0"/>
          <w:sz w:val="20"/>
        </w:rPr>
        <w:t>icolás</w:t>
      </w:r>
      <w:r w:rsidRPr="008A5173">
        <w:rPr>
          <w:rFonts w:ascii="PT Serif" w:hAnsi="PT Serif" w:cs="PT Serif"/>
          <w:b w:val="0"/>
          <w:i w:val="0"/>
          <w:sz w:val="20"/>
        </w:rPr>
        <w:t>., dir.; SANZ HERMIDA</w:t>
      </w:r>
      <w:r w:rsidR="00FE32F6" w:rsidRPr="008A5173">
        <w:rPr>
          <w:rFonts w:ascii="PT Serif" w:hAnsi="PT Serif" w:cs="PT Serif"/>
          <w:b w:val="0"/>
          <w:i w:val="0"/>
          <w:sz w:val="20"/>
        </w:rPr>
        <w:t>/</w:t>
      </w:r>
      <w:r w:rsidR="007F7FBF" w:rsidRPr="008A5173">
        <w:rPr>
          <w:rFonts w:ascii="PT Serif" w:hAnsi="PT Serif" w:cs="PT Serif"/>
          <w:b w:val="0"/>
          <w:i w:val="0"/>
          <w:sz w:val="20"/>
        </w:rPr>
        <w:t>Ágata</w:t>
      </w:r>
      <w:r w:rsidRPr="008A5173">
        <w:rPr>
          <w:rFonts w:ascii="PT Serif" w:hAnsi="PT Serif" w:cs="PT Serif"/>
          <w:b w:val="0"/>
          <w:i w:val="0"/>
          <w:sz w:val="20"/>
        </w:rPr>
        <w:t>, ORTIZ PRADILLO</w:t>
      </w:r>
      <w:r w:rsidR="00FE32F6" w:rsidRPr="008A5173">
        <w:rPr>
          <w:rFonts w:ascii="PT Serif" w:hAnsi="PT Serif" w:cs="PT Serif"/>
          <w:b w:val="0"/>
          <w:i w:val="0"/>
          <w:sz w:val="20"/>
        </w:rPr>
        <w:t>/</w:t>
      </w:r>
      <w:r w:rsidRPr="008A5173">
        <w:rPr>
          <w:rFonts w:ascii="PT Serif" w:hAnsi="PT Serif" w:cs="PT Serif"/>
          <w:b w:val="0"/>
          <w:i w:val="0"/>
          <w:sz w:val="20"/>
        </w:rPr>
        <w:t>J</w:t>
      </w:r>
      <w:r w:rsidR="007F7FBF" w:rsidRPr="008A5173">
        <w:rPr>
          <w:rFonts w:ascii="PT Serif" w:hAnsi="PT Serif" w:cs="PT Serif"/>
          <w:b w:val="0"/>
          <w:i w:val="0"/>
          <w:sz w:val="20"/>
        </w:rPr>
        <w:t>uan</w:t>
      </w:r>
      <w:r w:rsidRPr="008A5173">
        <w:rPr>
          <w:rFonts w:ascii="PT Serif" w:hAnsi="PT Serif" w:cs="PT Serif"/>
          <w:b w:val="0"/>
          <w:i w:val="0"/>
          <w:sz w:val="20"/>
        </w:rPr>
        <w:t xml:space="preserve"> C</w:t>
      </w:r>
      <w:r w:rsidR="007F7FBF" w:rsidRPr="008A5173">
        <w:rPr>
          <w:rFonts w:ascii="PT Serif" w:hAnsi="PT Serif" w:cs="PT Serif"/>
          <w:b w:val="0"/>
          <w:i w:val="0"/>
          <w:sz w:val="20"/>
        </w:rPr>
        <w:t>arlos</w:t>
      </w:r>
      <w:r w:rsidRPr="008A5173">
        <w:rPr>
          <w:rFonts w:ascii="PT Serif" w:hAnsi="PT Serif" w:cs="PT Serif"/>
          <w:b w:val="0"/>
          <w:i w:val="0"/>
          <w:sz w:val="20"/>
        </w:rPr>
        <w:t>, coords.). Colex, 2010.</w:t>
      </w:r>
    </w:p>
    <w:p w14:paraId="19EEA7DE" w14:textId="77777777" w:rsidR="00B74FA0" w:rsidRPr="008A5173" w:rsidRDefault="00B74FA0" w:rsidP="00DF3094">
      <w:pPr>
        <w:pStyle w:val="Textdenotaapeudepgina"/>
      </w:pPr>
    </w:p>
    <w:p w14:paraId="73AABF98"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CASTILLO RIGABERT, Fernando, </w:t>
      </w:r>
      <w:r w:rsidRPr="008A5173">
        <w:rPr>
          <w:rFonts w:ascii="PT Serif" w:hAnsi="PT Serif" w:cs="PT Serif"/>
          <w:b w:val="0"/>
          <w:i/>
          <w:sz w:val="20"/>
        </w:rPr>
        <w:t>La admisión del recurso de amparo</w:t>
      </w:r>
      <w:r w:rsidRPr="008A5173">
        <w:rPr>
          <w:rFonts w:ascii="PT Serif" w:hAnsi="PT Serif" w:cs="PT Serif"/>
          <w:b w:val="0"/>
          <w:i w:val="0"/>
          <w:sz w:val="20"/>
        </w:rPr>
        <w:t>. Universidad de Murcia, 1991.</w:t>
      </w:r>
    </w:p>
    <w:p w14:paraId="78852326" w14:textId="77777777" w:rsidR="00B74FA0" w:rsidRPr="008A5173" w:rsidRDefault="00B74FA0" w:rsidP="00DF3094">
      <w:pPr>
        <w:pStyle w:val="Textdenotaapeudepgina"/>
      </w:pPr>
    </w:p>
    <w:p w14:paraId="26A26F9A" w14:textId="77777777" w:rsidR="00B74FA0"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CORDÓN MORENO, Faustino, La legitimación en el proceso contencioso-administrativo. Pamplona 1979.</w:t>
      </w:r>
    </w:p>
    <w:p w14:paraId="3DAA17EC" w14:textId="77777777" w:rsidR="00D970BC" w:rsidRDefault="00D970BC" w:rsidP="00DF3094">
      <w:pPr>
        <w:pStyle w:val="Textdenotaapeudepgina"/>
      </w:pPr>
    </w:p>
    <w:p w14:paraId="484CBA9C" w14:textId="008F6D0E" w:rsidR="00D970BC" w:rsidRPr="00BD0C0F" w:rsidRDefault="00D970BC" w:rsidP="00DF3094">
      <w:pPr>
        <w:pStyle w:val="Textdenotaapeudepgina"/>
        <w:spacing w:lineRule="auto" w:line="264" w:after="120"/>
        <w:ind w:firstLine="0"/>
        <w:jc w:val="both"/>
        <w:rPr>
          <w:rFonts w:cs="Arial"/>
        </w:rPr>
      </w:pPr>
      <w:r w:rsidRPr="00BD0C0F">
        <w:rPr>
          <w:rFonts w:cs="PT Serif" w:ascii="PT Serif" w:hAnsi="PT Serif"/>
          <w:b w:val="0"/>
          <w:i w:val="0"/>
          <w:sz w:val="20"/>
        </w:rPr>
        <w:t xml:space="preserve">COSSÍO DÍAZ, Juan Ramón, </w:t>
      </w:r>
      <w:r w:rsidR="00BD0C0F" w:rsidRPr="008D0726">
        <w:rPr>
          <w:rFonts w:ascii="PT Serif" w:hAnsi="PT Serif" w:cs="PT Serif"/>
          <w:b w:val="0"/>
          <w:i w:val="0"/>
          <w:sz w:val="20"/>
        </w:rPr>
        <w:t>«</w:t>
      </w:r>
      <w:r w:rsidR="006668F6" w:rsidRPr="00306414">
        <w:rPr>
          <w:rFonts w:ascii="PT Serif" w:hAnsi="PT Serif" w:cs="PT Serif"/>
          <w:b w:val="0"/>
          <w:i w:val="0"/>
          <w:sz w:val="20"/>
        </w:rPr>
        <w:t xml:space="preserve">Los </w:t>
      </w:r>
      <w:r w:rsidR="006668F6" w:rsidRPr="00593487">
        <w:rPr>
          <w:rFonts w:ascii="PT Serif" w:hAnsi="PT Serif" w:cs="PT Serif"/>
          <w:b w:val="0"/>
          <w:i w:val="0"/>
          <w:sz w:val="20"/>
        </w:rPr>
        <w:t>instrumentos internacionales</w:t>
      </w:r>
      <w:r w:rsidR="006668F6" w:rsidRPr="00B527E0">
        <w:rPr>
          <w:rFonts w:ascii="PT Serif" w:hAnsi="PT Serif" w:cs="PT Serif"/>
          <w:b w:val="0"/>
          <w:i w:val="0"/>
          <w:sz w:val="20"/>
        </w:rPr>
        <w:t xml:space="preserve"> </w:t>
      </w:r>
      <w:r w:rsidR="00306414" w:rsidRPr="00B527E0">
        <w:rPr>
          <w:rFonts w:ascii="PT Serif" w:hAnsi="PT Serif" w:cs="PT Serif"/>
          <w:b w:val="0"/>
          <w:i w:val="0"/>
          <w:sz w:val="20"/>
        </w:rPr>
        <w:t>en materia de derechos fundamentales y el principio pro homine</w:t>
      </w:r>
      <w:r w:rsidR="00983B85" w:rsidRPr="00B527E0">
        <w:rPr>
          <w:rFonts w:ascii="PT Serif" w:hAnsi="PT Serif" w:cs="PT Serif"/>
          <w:b w:val="0"/>
          <w:i w:val="0"/>
          <w:sz w:val="20"/>
        </w:rPr>
        <w:t>»</w:t>
      </w:r>
      <w:r w:rsidR="00B527E0">
        <w:rPr>
          <w:rFonts w:ascii="PT Serif" w:hAnsi="PT Serif" w:cs="PT Serif"/>
          <w:b w:val="0"/>
          <w:i w:val="0"/>
          <w:sz w:val="20"/>
        </w:rPr>
        <w:t>, Revista de la Facultad de Derecho de México, vo. 57, n.º 2</w:t>
      </w:r>
      <w:r w:rsidR="00315DFD">
        <w:rPr>
          <w:rFonts w:ascii="PT Serif" w:hAnsi="PT Serif" w:cs="PT Serif"/>
          <w:b w:val="0"/>
          <w:i w:val="0"/>
          <w:sz w:val="20"/>
        </w:rPr>
        <w:t>47, 2007, pps. 377-383.</w:t>
      </w:r>
    </w:p>
    <w:p w14:paraId="40A03818" w14:textId="77777777" w:rsidR="00B74FA0" w:rsidRPr="008A5173" w:rsidRDefault="00B74FA0" w:rsidP="00DF3094">
      <w:pPr>
        <w:pStyle w:val="Textdenotaapeudepgina"/>
      </w:pPr>
    </w:p>
    <w:p w14:paraId="5D94BFB1"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DE LA OLIVA SANTOS, Andrés, Sobre la cosa juzgada civil, contencioso-administrativa y penal, con examen de la jurisprudencia del Tribunal Constitucional. Ed. Ramón Areces 1991.</w:t>
      </w:r>
    </w:p>
    <w:p w14:paraId="2E8AD460" w14:textId="77777777" w:rsidR="00B74FA0" w:rsidRPr="008A5173" w:rsidRDefault="00B74FA0" w:rsidP="00DF3094">
      <w:pPr>
        <w:pStyle w:val="Textdenotaapeudepgina"/>
        <w:spacing w:lineRule="auto" w:line="264" w:after="120"/>
        <w:ind w:firstLine="0"/>
        <w:jc w:val="both"/>
        <w:rPr>
          <w:rStyle w:val="titulo"/>
          <w:rFonts w:cs="Arial"/>
          <w:smallCaps/>
        </w:rPr>
      </w:pPr>
      <w:r w:rsidRPr="008A5173">
        <w:rPr>
          <w:rFonts w:ascii="PT Serif" w:hAnsi="PT Serif" w:cs="PT Serif"/>
          <w:b w:val="0"/>
          <w:i w:val="0"/>
          <w:sz w:val="20"/>
        </w:rPr>
        <w:t xml:space="preserve">- </w:t>
      </w:r>
      <w:r w:rsidRPr="008A5173">
        <w:rPr>
          <w:rStyle w:val="titulo"/>
          <w:rFonts w:cs="PT Serif" w:ascii="PT Serif" w:hAnsi="PT Serif"/>
          <w:b w:val="0"/>
          <w:i/>
          <w:sz w:val="20"/>
        </w:rPr>
        <w:t>Objeto del Proceso y Cosa Juzgada en el Proceso Civil</w:t>
      </w:r>
      <w:r w:rsidRPr="008A5173">
        <w:rPr>
          <w:rStyle w:val="titulo"/>
          <w:rFonts w:cs="PT Serif" w:ascii="PT Serif" w:hAnsi="PT Serif"/>
          <w:b w:val="0"/>
          <w:i w:val="0"/>
          <w:sz w:val="20"/>
        </w:rPr>
        <w:t>. Aranzadi 2006.</w:t>
      </w:r>
    </w:p>
    <w:p w14:paraId="1F023002" w14:textId="77777777" w:rsidR="00B74FA0" w:rsidRPr="008A5173" w:rsidRDefault="00B74FA0" w:rsidP="00DF3094">
      <w:pPr>
        <w:pStyle w:val="Textdenotaapeudepgina"/>
      </w:pPr>
    </w:p>
    <w:p w14:paraId="31F87AFE"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DE PADURA BALLESTEROS, María Teresa, </w:t>
      </w:r>
      <w:r w:rsidRPr="008A5173">
        <w:rPr>
          <w:rStyle w:val="titulo"/>
          <w:rFonts w:cs="PT Serif" w:ascii="PT Serif" w:hAnsi="PT Serif"/>
          <w:b w:val="0"/>
          <w:i/>
          <w:sz w:val="20"/>
        </w:rPr>
        <w:t>Fundamentación de la sentencia, preclusión y cosa juzgada</w:t>
      </w:r>
      <w:r w:rsidRPr="008A5173">
        <w:rPr>
          <w:rStyle w:val="separador"/>
          <w:rFonts w:cs="PT Serif" w:ascii="PT Serif" w:hAnsi="PT Serif"/>
          <w:b w:val="0"/>
          <w:i/>
          <w:sz w:val="20"/>
        </w:rPr>
        <w:t xml:space="preserve">: </w:t>
      </w:r>
      <w:r w:rsidRPr="008A5173">
        <w:rPr>
          <w:rStyle w:val="subtitulo"/>
          <w:rFonts w:cs="PT Serif" w:ascii="PT Serif" w:hAnsi="PT Serif"/>
          <w:b w:val="0"/>
          <w:i/>
          <w:sz w:val="20"/>
        </w:rPr>
        <w:t>su régimen en la LEC 1/2000</w:t>
      </w:r>
      <w:r w:rsidRPr="008A5173">
        <w:rPr>
          <w:rFonts w:ascii="PT Serif" w:hAnsi="PT Serif" w:cs="PT Serif"/>
          <w:b w:val="0"/>
          <w:i w:val="0"/>
          <w:sz w:val="20"/>
        </w:rPr>
        <w:t xml:space="preserve">. Tirant lo Blanch 2002. </w:t>
      </w:r>
    </w:p>
    <w:p w14:paraId="249339F1" w14:textId="77777777" w:rsidR="00B74FA0" w:rsidRPr="008A5173" w:rsidRDefault="00B74FA0" w:rsidP="00DF3094">
      <w:pPr>
        <w:pStyle w:val="Textdenotaapeudepgina"/>
      </w:pPr>
    </w:p>
    <w:p w14:paraId="3F2299F5" w14:textId="77777777" w:rsidR="00B74FA0" w:rsidRDefault="00B74FA0" w:rsidP="00DF3094">
      <w:pPr>
        <w:pStyle w:val="Textdenotaapeudepgina"/>
        <w:spacing w:lineRule="auto" w:line="264" w:after="120"/>
        <w:ind w:firstLine="0"/>
        <w:jc w:val="both"/>
        <w:rPr>
          <w:rStyle w:val="titulo"/>
          <w:rFonts w:cs="Arial"/>
          <w:smallCaps/>
        </w:rPr>
      </w:pPr>
      <w:r w:rsidRPr="008A5173">
        <w:rPr>
          <w:rFonts w:ascii="PT Serif" w:hAnsi="PT Serif" w:cs="PT Serif"/>
          <w:b w:val="0"/>
          <w:i w:val="0"/>
          <w:sz w:val="20"/>
        </w:rPr>
        <w:t xml:space="preserve">DE URBANO CASTRILLO, Eduardo, </w:t>
      </w:r>
      <w:r w:rsidRPr="008A5173">
        <w:rPr>
          <w:rFonts w:ascii="PT Serif" w:hAnsi="PT Serif" w:cs="PT Serif"/>
          <w:b w:val="0"/>
          <w:i/>
          <w:iCs/>
          <w:sz w:val="20"/>
        </w:rPr>
        <w:t>L</w:t>
      </w:r>
      <w:r w:rsidRPr="008A5173">
        <w:rPr>
          <w:rStyle w:val="titulo"/>
          <w:rFonts w:cs="PT Serif" w:ascii="PT Serif" w:hAnsi="PT Serif"/>
          <w:b w:val="0"/>
          <w:i/>
          <w:iCs/>
          <w:sz w:val="20"/>
        </w:rPr>
        <w:t>a Justicia Restaurativa Penal</w:t>
      </w:r>
      <w:r w:rsidRPr="008A5173">
        <w:rPr>
          <w:rStyle w:val="titulo"/>
          <w:rFonts w:cs="PT Serif" w:ascii="PT Serif" w:hAnsi="PT Serif"/>
          <w:b w:val="0"/>
          <w:i w:val="0"/>
          <w:sz w:val="20"/>
        </w:rPr>
        <w:t>. La Ley penal, núm. 73, 2010.</w:t>
      </w:r>
    </w:p>
    <w:p w14:paraId="78A54910" w14:textId="77777777" w:rsidR="00B51ABF" w:rsidRPr="008A5173" w:rsidRDefault="00B51ABF" w:rsidP="00DF3094">
      <w:pPr>
        <w:pStyle w:val="Textdenotaapeudepgina"/>
        <w:rPr>
          <w:rStyle w:val="titulo"/>
          <w:rFonts w:cs="Arial"/>
          <w:smallCaps/>
        </w:rPr>
      </w:pPr>
    </w:p>
    <w:p w14:paraId="181C3388" w14:textId="2D58A6E9" w:rsidR="007173BB" w:rsidRPr="008A5173" w:rsidRDefault="002C3342" w:rsidP="00DF3094">
      <w:pPr>
        <w:pStyle w:val="Textdenotaapeudepgina"/>
        <w:spacing w:lineRule="auto" w:line="264" w:after="120"/>
        <w:ind w:firstLine="0"/>
        <w:jc w:val="both"/>
        <w:rPr>
          <w:rStyle w:val="titulo"/>
          <w:rFonts w:cs="Arial"/>
          <w:smallCaps/>
        </w:rPr>
      </w:pPr>
      <w:r w:rsidRPr="008A5173">
        <w:rPr>
          <w:rFonts w:ascii="PT Serif" w:hAnsi="PT Serif" w:cs="PT Serif"/>
          <w:b w:val="0"/>
          <w:i w:val="0"/>
          <w:sz w:val="20"/>
          <w:smallCaps w:val="1"/>
        </w:rPr>
        <w:t>Deliazzo</w:t>
      </w:r>
      <w:r w:rsidR="007173BB" w:rsidRPr="008A5173">
        <w:rPr>
          <w:rFonts w:ascii="PT Serif" w:hAnsi="PT Serif" w:cs="PT Serif"/>
          <w:b w:val="0"/>
          <w:i w:val="0"/>
          <w:sz w:val="20"/>
        </w:rPr>
        <w:t>, C</w:t>
      </w:r>
      <w:r w:rsidR="0007027B">
        <w:rPr>
          <w:rFonts w:ascii="PT Serif" w:hAnsi="PT Serif" w:cs="PT Serif"/>
          <w:b w:val="0"/>
          <w:i w:val="0"/>
          <w:sz w:val="20"/>
        </w:rPr>
        <w:t>arlos E.</w:t>
      </w:r>
      <w:r w:rsidR="007173BB" w:rsidRPr="008A5173">
        <w:rPr>
          <w:rFonts w:ascii="PT Serif" w:hAnsi="PT Serif" w:cs="PT Serif"/>
          <w:b w:val="0"/>
          <w:i w:val="0"/>
          <w:sz w:val="20"/>
        </w:rPr>
        <w:t xml:space="preserve">, </w:t>
      </w:r>
      <w:r w:rsidR="0007027B" w:rsidRPr="008D0726">
        <w:rPr>
          <w:rFonts w:ascii="PT Serif" w:hAnsi="PT Serif" w:cs="PT Serif"/>
          <w:b w:val="0"/>
          <w:i w:val="0"/>
          <w:sz w:val="20"/>
        </w:rPr>
        <w:t>«</w:t>
      </w:r>
      <w:r w:rsidR="007173BB" w:rsidRPr="008A5173">
        <w:rPr>
          <w:rFonts w:ascii="PT Serif" w:hAnsi="PT Serif" w:cs="PT Serif"/>
          <w:b w:val="0"/>
          <w:i w:val="0"/>
          <w:sz w:val="20"/>
        </w:rPr>
        <w:t>Dignidad humana y principio &lt;pro homine&gt; en los litigios sobre derechos humanos</w:t>
      </w:r>
      <w:r w:rsidR="0007027B" w:rsidRPr="00B527E0">
        <w:rPr>
          <w:rFonts w:ascii="PT Serif" w:hAnsi="PT Serif" w:cs="PT Serif"/>
          <w:b w:val="0"/>
          <w:i w:val="0"/>
          <w:sz w:val="20"/>
        </w:rPr>
        <w:t>»</w:t>
      </w:r>
      <w:r w:rsidR="007173BB" w:rsidRPr="008A5173">
        <w:rPr>
          <w:rFonts w:ascii="PT Serif" w:hAnsi="PT Serif" w:cs="PT Serif"/>
          <w:b w:val="0"/>
          <w:i w:val="0"/>
          <w:sz w:val="20"/>
        </w:rPr>
        <w:t xml:space="preserve">. </w:t>
      </w:r>
      <w:r w:rsidR="007173BB" w:rsidRPr="008A5173">
        <w:rPr>
          <w:rFonts w:ascii="PT Serif" w:hAnsi="PT Serif" w:cs="PT Serif"/>
          <w:b w:val="0"/>
          <w:i/>
          <w:sz w:val="20"/>
        </w:rPr>
        <w:t>Revista de derecho público</w:t>
      </w:r>
      <w:r w:rsidR="007173BB" w:rsidRPr="008A5173">
        <w:rPr>
          <w:rFonts w:ascii="PT Serif" w:hAnsi="PT Serif" w:cs="PT Serif"/>
          <w:b w:val="0"/>
          <w:i w:val="0"/>
          <w:sz w:val="20"/>
        </w:rPr>
        <w:t>, núm. 54, 2018, p</w:t>
      </w:r>
      <w:r w:rsidR="0007027B">
        <w:rPr>
          <w:rFonts w:ascii="PT Serif" w:hAnsi="PT Serif" w:cs="PT Serif"/>
          <w:b w:val="0"/>
          <w:i w:val="0"/>
          <w:sz w:val="20"/>
        </w:rPr>
        <w:t>p</w:t>
      </w:r>
      <w:r w:rsidR="007173BB" w:rsidRPr="008A5173">
        <w:rPr>
          <w:rFonts w:ascii="PT Serif" w:hAnsi="PT Serif" w:cs="PT Serif"/>
          <w:b w:val="0"/>
          <w:i w:val="0"/>
          <w:sz w:val="20"/>
        </w:rPr>
        <w:t>s. 35-46.</w:t>
      </w:r>
    </w:p>
    <w:p w14:paraId="2BC0D12B" w14:textId="77777777" w:rsidR="007173BB" w:rsidRPr="008A5173" w:rsidRDefault="007173BB" w:rsidP="00DF3094">
      <w:pPr>
        <w:pStyle w:val="Textdenotaapeudepgina"/>
        <w:rPr>
          <w:rStyle w:val="titulo"/>
          <w:rFonts w:cs="Arial"/>
          <w:smallCaps/>
        </w:rPr>
      </w:pPr>
    </w:p>
    <w:p w14:paraId="5224C5E5" w14:textId="6D3E67A5" w:rsidR="004F278B" w:rsidRPr="008A5173" w:rsidRDefault="006901CF" w:rsidP="00DF3094">
      <w:pPr>
        <w:pStyle w:val="Textdenotaapeudepgina"/>
        <w:spacing w:lineRule="auto" w:line="264" w:after="120"/>
        <w:ind w:firstLine="0"/>
        <w:jc w:val="both"/>
        <w:rPr>
          <w:rStyle w:val="titulo"/>
          <w:rFonts w:cs="Arial"/>
          <w:smallCaps/>
        </w:rPr>
      </w:pPr>
      <w:r w:rsidRPr="008A5173">
        <w:rPr>
          <w:rFonts w:ascii="PT Serif" w:hAnsi="PT Serif" w:cs="PT Serif"/>
          <w:b w:val="0"/>
          <w:i w:val="0"/>
          <w:sz w:val="20"/>
          <w:smallCaps w:val="1"/>
        </w:rPr>
        <w:t>Díaz González</w:t>
      </w:r>
      <w:r w:rsidR="004F278B" w:rsidRPr="008A5173">
        <w:rPr>
          <w:rFonts w:ascii="PT Serif" w:hAnsi="PT Serif" w:cs="PT Serif"/>
          <w:b w:val="0"/>
          <w:i w:val="0"/>
          <w:sz w:val="20"/>
        </w:rPr>
        <w:t xml:space="preserve">, Gustavo Manuel, </w:t>
      </w:r>
      <w:r w:rsidR="0007027B" w:rsidRPr="008D0726">
        <w:rPr>
          <w:rFonts w:ascii="PT Serif" w:hAnsi="PT Serif" w:cs="PT Serif"/>
          <w:b w:val="0"/>
          <w:i w:val="0"/>
          <w:sz w:val="20"/>
        </w:rPr>
        <w:t>«</w:t>
      </w:r>
      <w:r w:rsidR="004F278B" w:rsidRPr="008A5173">
        <w:rPr>
          <w:rFonts w:ascii="PT Serif" w:hAnsi="PT Serif" w:cs="PT Serif"/>
          <w:b w:val="0"/>
          <w:i w:val="0"/>
          <w:sz w:val="20"/>
        </w:rPr>
        <w:t>La prevalencia del tratado internacional: de una previsión constitucional imprecisa a una disposición legislativa incompleta</w:t>
      </w:r>
      <w:r w:rsidRPr="00B527E0">
        <w:rPr>
          <w:rFonts w:ascii="PT Serif" w:hAnsi="PT Serif" w:cs="PT Serif"/>
          <w:b w:val="0"/>
          <w:i w:val="0"/>
          <w:sz w:val="20"/>
        </w:rPr>
        <w:t>»</w:t>
      </w:r>
      <w:r w:rsidR="004F278B" w:rsidRPr="008A5173">
        <w:rPr>
          <w:rFonts w:ascii="PT Serif" w:hAnsi="PT Serif" w:cs="PT Serif"/>
          <w:b w:val="0"/>
          <w:i w:val="0"/>
          <w:sz w:val="20"/>
        </w:rPr>
        <w:t xml:space="preserve">. </w:t>
      </w:r>
      <w:r w:rsidR="004F278B" w:rsidRPr="008A5173">
        <w:rPr>
          <w:rFonts w:ascii="PT Serif" w:hAnsi="PT Serif" w:cs="PT Serif"/>
          <w:b w:val="0"/>
          <w:i/>
          <w:iCs/>
          <w:sz w:val="20"/>
        </w:rPr>
        <w:t>Cuatro décadas de una Constitución normativa (1978-2018)</w:t>
      </w:r>
      <w:r w:rsidR="004F278B" w:rsidRPr="008A5173">
        <w:rPr>
          <w:rFonts w:ascii="PT Serif" w:hAnsi="PT Serif" w:cs="PT Serif"/>
          <w:b w:val="0"/>
          <w:i w:val="0"/>
          <w:sz w:val="20"/>
        </w:rPr>
        <w:t xml:space="preserve">, </w:t>
      </w:r>
      <w:r w:rsidRPr="008A5173">
        <w:rPr>
          <w:rFonts w:ascii="PT Serif" w:hAnsi="PT Serif" w:cs="PT Serif"/>
          <w:b w:val="0"/>
          <w:i w:val="0"/>
          <w:sz w:val="20"/>
          <w:smallCaps w:val="1"/>
        </w:rPr>
        <w:t>Punset Blanco</w:t>
      </w:r>
      <w:r w:rsidR="004F278B" w:rsidRPr="008A5173">
        <w:rPr>
          <w:rFonts w:ascii="PT Serif" w:hAnsi="PT Serif" w:cs="PT Serif"/>
          <w:b w:val="0"/>
          <w:i w:val="0"/>
          <w:sz w:val="20"/>
        </w:rPr>
        <w:t xml:space="preserve">, Ramón; </w:t>
      </w:r>
      <w:r w:rsidRPr="008A5173">
        <w:rPr>
          <w:rFonts w:ascii="PT Serif" w:hAnsi="PT Serif" w:cs="PT Serif"/>
          <w:b w:val="0"/>
          <w:i w:val="0"/>
          <w:sz w:val="20"/>
          <w:smallCaps w:val="1"/>
        </w:rPr>
        <w:t>Álvarez Álvarez</w:t>
      </w:r>
      <w:r w:rsidR="004F278B" w:rsidRPr="008A5173">
        <w:rPr>
          <w:rFonts w:ascii="PT Serif" w:hAnsi="PT Serif" w:cs="PT Serif"/>
          <w:b w:val="0"/>
          <w:i w:val="0"/>
          <w:sz w:val="20"/>
        </w:rPr>
        <w:t xml:space="preserve">, Leonardo; </w:t>
      </w:r>
      <w:r w:rsidRPr="008A5173">
        <w:rPr>
          <w:rFonts w:ascii="PT Serif" w:hAnsi="PT Serif" w:cs="PT Serif"/>
          <w:b w:val="0"/>
          <w:i w:val="0"/>
          <w:sz w:val="20"/>
          <w:smallCaps w:val="1"/>
        </w:rPr>
        <w:t>Roca Martínez</w:t>
      </w:r>
      <w:r w:rsidR="004F278B" w:rsidRPr="008A5173">
        <w:rPr>
          <w:rFonts w:ascii="PT Serif" w:hAnsi="PT Serif" w:cs="PT Serif"/>
          <w:b w:val="0"/>
          <w:i w:val="0"/>
          <w:sz w:val="20"/>
        </w:rPr>
        <w:t>, José María (pr.), 2018, pp. 411-424</w:t>
      </w:r>
      <w:r w:rsidR="007173BB" w:rsidRPr="008A5173">
        <w:rPr>
          <w:rFonts w:ascii="PT Serif" w:hAnsi="PT Serif" w:cs="PT Serif"/>
          <w:b w:val="0"/>
          <w:i w:val="0"/>
          <w:sz w:val="20"/>
        </w:rPr>
        <w:t>.</w:t>
      </w:r>
    </w:p>
    <w:p w14:paraId="2D7929D1" w14:textId="77777777" w:rsidR="00B74FA0" w:rsidRPr="008A5173" w:rsidRDefault="00B74FA0" w:rsidP="00DF3094">
      <w:pPr>
        <w:pStyle w:val="Textdenotaapeudepgina"/>
        <w:rPr>
          <w:rStyle w:val="titulo"/>
          <w:rFonts w:cs="Arial"/>
          <w:smallCaps/>
        </w:rPr>
      </w:pPr>
    </w:p>
    <w:p w14:paraId="7068E3CE" w14:textId="59F874DD" w:rsidR="004F278B" w:rsidRPr="008A5173" w:rsidRDefault="0037548F" w:rsidP="00DF3094">
      <w:pPr>
        <w:pStyle w:val="Textdenotaapeudepgina"/>
        <w:spacing w:lineRule="auto" w:line="264" w:after="120"/>
        <w:ind w:firstLine="0"/>
        <w:jc w:val="both"/>
        <w:rPr>
          <w:smallCaps/>
        </w:rPr>
      </w:pPr>
      <w:r w:rsidRPr="008A5173">
        <w:rPr>
          <w:rFonts w:ascii="PT Serif" w:hAnsi="PT Serif" w:cs="PT Serif"/>
          <w:b w:val="0"/>
          <w:i w:val="0"/>
          <w:sz w:val="20"/>
          <w:smallCaps w:val="1"/>
        </w:rPr>
        <w:t>Díez-Hochleitner Rodríguez</w:t>
      </w:r>
      <w:r w:rsidR="004F278B" w:rsidRPr="008A5173">
        <w:rPr>
          <w:rFonts w:ascii="PT Serif" w:hAnsi="PT Serif" w:cs="PT Serif"/>
          <w:b w:val="0"/>
          <w:i w:val="0"/>
          <w:sz w:val="20"/>
        </w:rPr>
        <w:t xml:space="preserve">, Javier, </w:t>
      </w:r>
      <w:r w:rsidR="0007027B" w:rsidRPr="008D0726">
        <w:rPr>
          <w:rFonts w:ascii="PT Serif" w:hAnsi="PT Serif" w:cs="PT Serif"/>
          <w:b w:val="0"/>
          <w:i w:val="0"/>
          <w:sz w:val="20"/>
        </w:rPr>
        <w:t>«</w:t>
      </w:r>
      <w:r w:rsidR="004F278B" w:rsidRPr="008A5173">
        <w:rPr>
          <w:rFonts w:ascii="PT Serif" w:hAnsi="PT Serif" w:cs="PT Serif"/>
          <w:b w:val="0"/>
          <w:i w:val="0"/>
          <w:sz w:val="20"/>
        </w:rPr>
        <w:t>Artículo 31. Comentarios a la Ley de Tratados y otros Acuerdos internacionales (Ley 25/2014, de 27 de noviembre)</w:t>
      </w:r>
      <w:r w:rsidR="0007027B" w:rsidRPr="00B527E0">
        <w:rPr>
          <w:rFonts w:ascii="PT Serif" w:hAnsi="PT Serif" w:cs="PT Serif"/>
          <w:b w:val="0"/>
          <w:i w:val="0"/>
          <w:sz w:val="20"/>
        </w:rPr>
        <w:t>»</w:t>
      </w:r>
      <w:r w:rsidR="0007027B">
        <w:rPr>
          <w:rFonts w:ascii="PT Serif" w:hAnsi="PT Serif" w:cs="PT Serif"/>
          <w:b w:val="0"/>
          <w:i w:val="0"/>
          <w:sz w:val="20"/>
        </w:rPr>
        <w:t>,</w:t>
      </w:r>
      <w:r w:rsidR="004F278B" w:rsidRPr="008A5173">
        <w:rPr>
          <w:rFonts w:ascii="PT Serif" w:hAnsi="PT Serif" w:cs="PT Serif"/>
          <w:b w:val="0"/>
          <w:i w:val="0"/>
          <w:sz w:val="20"/>
        </w:rPr>
        <w:t xml:space="preserve"> </w:t>
      </w:r>
      <w:r w:rsidR="00F14E8C" w:rsidRPr="008A5173">
        <w:rPr>
          <w:rFonts w:ascii="PT Serif" w:hAnsi="PT Serif" w:cs="PT Serif"/>
          <w:b w:val="0"/>
          <w:i w:val="0"/>
          <w:sz w:val="20"/>
          <w:smallCaps w:val="1"/>
        </w:rPr>
        <w:t>Sáenz De Santamaría,</w:t>
      </w:r>
      <w:r w:rsidR="004F278B" w:rsidRPr="008A5173">
        <w:rPr>
          <w:rFonts w:ascii="PT Serif" w:hAnsi="PT Serif" w:cs="PT Serif"/>
          <w:b w:val="0"/>
          <w:i w:val="0"/>
          <w:sz w:val="20"/>
        </w:rPr>
        <w:t xml:space="preserve">Paz Andrés; </w:t>
      </w:r>
      <w:r w:rsidR="00F14E8C" w:rsidRPr="008A5173">
        <w:rPr>
          <w:rFonts w:ascii="PT Serif" w:hAnsi="PT Serif" w:cs="PT Serif"/>
          <w:b w:val="0"/>
          <w:i w:val="0"/>
          <w:sz w:val="20"/>
          <w:smallCaps w:val="1"/>
        </w:rPr>
        <w:t>Díez-Hochleitner Rodríguez</w:t>
      </w:r>
      <w:r w:rsidR="004F278B" w:rsidRPr="008A5173">
        <w:rPr>
          <w:rFonts w:ascii="PT Serif" w:hAnsi="PT Serif" w:cs="PT Serif"/>
          <w:b w:val="0"/>
          <w:i w:val="0"/>
          <w:sz w:val="20"/>
        </w:rPr>
        <w:t xml:space="preserve">, Javier; </w:t>
      </w:r>
      <w:r w:rsidR="00F14E8C" w:rsidRPr="008A5173">
        <w:rPr>
          <w:rFonts w:ascii="PT Serif" w:hAnsi="PT Serif" w:cs="PT Serif"/>
          <w:b w:val="0"/>
          <w:i w:val="0"/>
          <w:sz w:val="20"/>
          <w:smallCaps w:val="1"/>
        </w:rPr>
        <w:t>Martín Pérez De Nanclares</w:t>
      </w:r>
      <w:r w:rsidR="004F278B" w:rsidRPr="008A5173">
        <w:rPr>
          <w:rFonts w:ascii="PT Serif" w:hAnsi="PT Serif" w:cs="PT Serif"/>
          <w:b w:val="0"/>
          <w:i w:val="0"/>
          <w:sz w:val="20"/>
        </w:rPr>
        <w:t>, José, 2015, pp</w:t>
      </w:r>
      <w:r w:rsidR="00F14E8C">
        <w:rPr>
          <w:rFonts w:ascii="PT Serif" w:hAnsi="PT Serif" w:cs="PT Serif"/>
          <w:b w:val="0"/>
          <w:i w:val="0"/>
          <w:sz w:val="20"/>
        </w:rPr>
        <w:t>s</w:t>
      </w:r>
      <w:r w:rsidR="004F278B" w:rsidRPr="008A5173">
        <w:rPr>
          <w:rFonts w:ascii="PT Serif" w:hAnsi="PT Serif" w:cs="PT Serif"/>
          <w:b w:val="0"/>
          <w:i w:val="0"/>
          <w:sz w:val="20"/>
        </w:rPr>
        <w:t>. 575-589.</w:t>
      </w:r>
    </w:p>
    <w:p w14:paraId="09D23C03" w14:textId="77777777" w:rsidR="00044E13" w:rsidRPr="008A5173" w:rsidRDefault="00044E13" w:rsidP="00DF3094">
      <w:pPr>
        <w:pStyle w:val="Textdenotaapeudepgina"/>
      </w:pPr>
    </w:p>
    <w:p w14:paraId="1420E862" w14:textId="47A2CAF2" w:rsidR="00044E13" w:rsidRPr="008A5173" w:rsidRDefault="00044E13" w:rsidP="00DF3094">
      <w:pPr>
        <w:pStyle w:val="Textdenotaapeudepgina"/>
        <w:spacing w:lineRule="auto" w:line="264" w:after="120"/>
        <w:ind w:firstLine="0"/>
        <w:jc w:val="both"/>
      </w:pPr>
      <w:r w:rsidRPr="008A5173">
        <w:rPr>
          <w:rFonts w:ascii="PT Serif" w:hAnsi="PT Serif" w:cs="PT Serif"/>
          <w:b w:val="0"/>
          <w:i w:val="0"/>
          <w:sz w:val="20"/>
        </w:rPr>
        <w:lastRenderedPageBreak/>
        <w:t xml:space="preserve">FEBLES YANES, Eloísa, </w:t>
      </w:r>
      <w:r w:rsidR="0007027B" w:rsidRPr="008D0726">
        <w:rPr>
          <w:rFonts w:ascii="PT Serif" w:hAnsi="PT Serif" w:cs="PT Serif"/>
          <w:b w:val="0"/>
          <w:i w:val="0"/>
          <w:sz w:val="20"/>
        </w:rPr>
        <w:t>«</w:t>
      </w:r>
      <w:r w:rsidRPr="008A5173">
        <w:rPr>
          <w:rFonts w:ascii="PT Serif" w:hAnsi="PT Serif" w:cs="PT Serif"/>
          <w:b w:val="0"/>
          <w:i w:val="0"/>
          <w:sz w:val="20"/>
        </w:rPr>
        <w:t>La responsabilidad civil en los delitos de violencia de género y en la violencia doméstica</w:t>
      </w:r>
      <w:r w:rsidR="0007027B" w:rsidRPr="00B527E0">
        <w:rPr>
          <w:rFonts w:ascii="PT Serif" w:hAnsi="PT Serif" w:cs="PT Serif"/>
          <w:b w:val="0"/>
          <w:i w:val="0"/>
          <w:sz w:val="20"/>
        </w:rPr>
        <w:t>»</w:t>
      </w:r>
      <w:r w:rsidRPr="008A5173">
        <w:rPr>
          <w:rFonts w:ascii="PT Serif" w:hAnsi="PT Serif" w:cs="PT Serif"/>
          <w:b w:val="0"/>
          <w:i w:val="0"/>
          <w:sz w:val="20"/>
        </w:rPr>
        <w:t>. La Ley núm. 7786, 2012.</w:t>
      </w:r>
    </w:p>
    <w:p w14:paraId="4C97A384" w14:textId="77777777" w:rsidR="004F278B" w:rsidRPr="008A5173" w:rsidRDefault="004F278B" w:rsidP="00DF3094">
      <w:pPr>
        <w:pStyle w:val="Textdenotaapeudepgina"/>
      </w:pPr>
    </w:p>
    <w:p w14:paraId="1C45FA4A" w14:textId="3BEB4A8C"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FERNÁNDEZ TOMÁS, Antonio, «La valida celebración y la incorporación de los tratados en la jurisprudencia constitucional española». </w:t>
      </w:r>
      <w:r w:rsidRPr="008A5173">
        <w:rPr>
          <w:rStyle w:val="Cursivas"/>
          <w:rFonts w:cs="PT Serif" w:ascii="PT Serif" w:hAnsi="PT Serif"/>
          <w:b w:val="0"/>
          <w:i w:val="0"/>
          <w:sz w:val="20"/>
        </w:rPr>
        <w:t>Hacia un nuevo orden internacional y europeo: estudios en homenaje al profesor don Manuel Díez de Velasco</w:t>
      </w:r>
      <w:r w:rsidRPr="008A5173">
        <w:rPr>
          <w:rFonts w:ascii="PT Serif" w:hAnsi="PT Serif" w:cs="PT Serif"/>
          <w:b w:val="0"/>
          <w:i w:val="0"/>
          <w:sz w:val="20"/>
        </w:rPr>
        <w:t xml:space="preserve"> (PÉREZ GONZÁLEZ, M</w:t>
      </w:r>
      <w:r w:rsidR="00FE32F6" w:rsidRPr="008A5173">
        <w:rPr>
          <w:rFonts w:ascii="PT Serif" w:hAnsi="PT Serif" w:cs="PT Serif"/>
          <w:b w:val="0"/>
          <w:i w:val="0"/>
          <w:sz w:val="20"/>
        </w:rPr>
        <w:t>anuel</w:t>
      </w:r>
      <w:r w:rsidRPr="008A5173">
        <w:rPr>
          <w:rFonts w:ascii="PT Serif" w:hAnsi="PT Serif" w:cs="PT Serif"/>
          <w:b w:val="0"/>
          <w:i w:val="0"/>
          <w:sz w:val="20"/>
        </w:rPr>
        <w:t>, coord.), 1993.</w:t>
      </w:r>
    </w:p>
    <w:p w14:paraId="439FA7AC" w14:textId="77777777" w:rsidR="00B74FA0" w:rsidRPr="008A5173" w:rsidRDefault="00B74FA0" w:rsidP="00DF3094">
      <w:pPr>
        <w:pStyle w:val="Textdenotaapeudepgina"/>
        <w:rPr>
          <w:rStyle w:val="titulo"/>
          <w:rFonts w:cs="Arial"/>
          <w:smallCaps/>
        </w:rPr>
      </w:pPr>
    </w:p>
    <w:p w14:paraId="5EF05390" w14:textId="77777777" w:rsidR="00B74FA0" w:rsidRPr="008A5173" w:rsidRDefault="00B74FA0" w:rsidP="00DF3094">
      <w:pPr>
        <w:pStyle w:val="Textdenotaapeudepgina"/>
        <w:spacing w:lineRule="auto" w:line="264" w:after="120"/>
        <w:ind w:firstLine="0"/>
        <w:jc w:val="both"/>
        <w:rPr>
          <w:rStyle w:val="titulo"/>
          <w:rFonts w:cs="Arial"/>
          <w:smallCaps/>
        </w:rPr>
      </w:pPr>
      <w:r w:rsidRPr="008A5173">
        <w:rPr>
          <w:rFonts w:ascii="PT Serif" w:hAnsi="PT Serif" w:cs="PT Serif"/>
          <w:b w:val="0"/>
          <w:i w:val="0"/>
          <w:sz w:val="20"/>
          <w:smallCaps w:val="1"/>
        </w:rPr>
        <w:t>Fuentes Soriano</w:t>
      </w:r>
      <w:r w:rsidRPr="008A5173">
        <w:rPr>
          <w:rStyle w:val="titulo"/>
          <w:rFonts w:cs="PT Serif" w:ascii="PT Serif" w:hAnsi="PT Serif"/>
          <w:b w:val="0"/>
          <w:i w:val="0"/>
          <w:sz w:val="20"/>
        </w:rPr>
        <w:t xml:space="preserve">, Olga, </w:t>
      </w:r>
      <w:r w:rsidRPr="008A5173">
        <w:rPr>
          <w:rFonts w:ascii="PT Serif" w:hAnsi="PT Serif" w:cs="PT Serif"/>
          <w:b w:val="0"/>
          <w:i w:val="0"/>
          <w:sz w:val="20"/>
        </w:rPr>
        <w:t>«</w:t>
      </w:r>
      <w:r w:rsidRPr="008A5173">
        <w:rPr>
          <w:rStyle w:val="titulo"/>
          <w:rFonts w:cs="PT Serif" w:ascii="PT Serif" w:hAnsi="PT Serif"/>
          <w:b w:val="0"/>
          <w:i w:val="0"/>
          <w:sz w:val="20"/>
        </w:rPr>
        <w:t>La constitucionalidad de la Ley Orgánica de medidas de protección integral contra la violencia de género</w:t>
      </w:r>
      <w:r w:rsidRPr="008A5173">
        <w:rPr>
          <w:rFonts w:ascii="PT Serif" w:hAnsi="PT Serif" w:cs="PT Serif"/>
          <w:b w:val="0"/>
          <w:i w:val="0"/>
          <w:sz w:val="20"/>
        </w:rPr>
        <w:t>»,</w:t>
      </w:r>
      <w:r w:rsidRPr="008A5173">
        <w:rPr>
          <w:rStyle w:val="titulo"/>
          <w:rFonts w:cs="PT Serif" w:ascii="PT Serif" w:hAnsi="PT Serif"/>
          <w:b w:val="0"/>
          <w:i w:val="0"/>
          <w:sz w:val="20"/>
        </w:rPr>
        <w:t xml:space="preserve"> </w:t>
      </w:r>
      <w:r w:rsidRPr="008A5173">
        <w:rPr>
          <w:rStyle w:val="titulo"/>
          <w:rFonts w:cs="PT Serif" w:ascii="PT Serif" w:hAnsi="PT Serif"/>
          <w:b w:val="0"/>
          <w:i/>
          <w:iCs/>
          <w:sz w:val="20"/>
        </w:rPr>
        <w:t>La Ley</w:t>
      </w:r>
      <w:r w:rsidRPr="008A5173">
        <w:rPr>
          <w:rStyle w:val="titulo"/>
          <w:rFonts w:cs="PT Serif" w:ascii="PT Serif" w:hAnsi="PT Serif"/>
          <w:b w:val="0"/>
          <w:i w:val="0"/>
          <w:sz w:val="20"/>
        </w:rPr>
        <w:t xml:space="preserve"> núm. 5, 2005.</w:t>
      </w:r>
    </w:p>
    <w:p w14:paraId="44C2B299" w14:textId="77777777" w:rsidR="00B74FA0" w:rsidRPr="008A5173" w:rsidRDefault="00B74FA0" w:rsidP="00DF3094">
      <w:pPr>
        <w:pStyle w:val="Textdenotaapeudepgina"/>
        <w:rPr>
          <w:rStyle w:val="titulo"/>
          <w:rFonts w:cs="Arial"/>
          <w:smallCaps/>
        </w:rPr>
      </w:pPr>
    </w:p>
    <w:p w14:paraId="7C4A7803"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GALLEGO HERNÁNDEZ, Ana Cristina, «La ley española de tratados de 2014». </w:t>
      </w:r>
      <w:r w:rsidRPr="008A5173">
        <w:rPr>
          <w:rStyle w:val="Cursivas"/>
          <w:rFonts w:cs="PT Serif" w:ascii="PT Serif" w:hAnsi="PT Serif"/>
          <w:b w:val="0"/>
          <w:i w:val="0"/>
          <w:sz w:val="20"/>
        </w:rPr>
        <w:t>Anuario español de derecho internacional</w:t>
      </w:r>
      <w:r w:rsidRPr="008A5173">
        <w:rPr>
          <w:rFonts w:ascii="PT Serif" w:hAnsi="PT Serif" w:cs="PT Serif"/>
          <w:b w:val="0"/>
          <w:i w:val="0"/>
          <w:sz w:val="20"/>
        </w:rPr>
        <w:t>, núm. 31, 2015.</w:t>
      </w:r>
    </w:p>
    <w:p w14:paraId="4FEB0286" w14:textId="77777777" w:rsidR="00B74FA0" w:rsidRPr="008A5173" w:rsidRDefault="00B74FA0" w:rsidP="00DF3094">
      <w:pPr>
        <w:pStyle w:val="Textdenotaapeudepgina"/>
        <w:rPr>
          <w:rStyle w:val="titulo"/>
          <w:rFonts w:cs="Arial"/>
          <w:smallCaps/>
        </w:rPr>
      </w:pPr>
    </w:p>
    <w:p w14:paraId="05CCBD34"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GARCÍA SEDANO, Tania, «El Convenio de Estambul. Desafíos en su aplicación por el Reino de España». </w:t>
      </w:r>
      <w:r w:rsidRPr="008A5173">
        <w:rPr>
          <w:rFonts w:ascii="PT Serif" w:hAnsi="PT Serif" w:cs="PT Serif"/>
          <w:b w:val="0"/>
          <w:i/>
          <w:iCs/>
          <w:sz w:val="20"/>
        </w:rPr>
        <w:t>La Ley penal: revista de derecho penal, procesal y penitenciario</w:t>
      </w:r>
      <w:r w:rsidRPr="008A5173">
        <w:rPr>
          <w:rFonts w:ascii="PT Serif" w:hAnsi="PT Serif" w:cs="PT Serif"/>
          <w:b w:val="0"/>
          <w:i w:val="0"/>
          <w:sz w:val="20"/>
        </w:rPr>
        <w:t>, núm. 127, 2017.</w:t>
      </w:r>
    </w:p>
    <w:p w14:paraId="1A83244C" w14:textId="77777777" w:rsidR="00B74FA0" w:rsidRPr="008A5173" w:rsidRDefault="00B74FA0" w:rsidP="00DF3094">
      <w:pPr>
        <w:pStyle w:val="Textdenotaapeudepgina"/>
      </w:pPr>
    </w:p>
    <w:p w14:paraId="34143820" w14:textId="72B713E5"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GARRO CARRERA, Enara, «El Convenio de Estambul y su acogida en materia de violencia física, psicológica y de control en el Derecho Penal español», en </w:t>
      </w:r>
      <w:r w:rsidRPr="008A5173">
        <w:rPr>
          <w:rFonts w:ascii="PT Serif" w:hAnsi="PT Serif" w:cs="PT Serif"/>
          <w:b w:val="0"/>
          <w:i/>
          <w:iCs/>
          <w:sz w:val="20"/>
        </w:rPr>
        <w:t>Las mujeres víctimas de violencia: análisis multidisciplinar del ordenamiento jurídico español y europeo a la luz del Convenio de Estambul</w:t>
      </w:r>
      <w:r w:rsidRPr="008A5173">
        <w:rPr>
          <w:rFonts w:ascii="PT Serif" w:hAnsi="PT Serif" w:cs="PT Serif"/>
          <w:b w:val="0"/>
          <w:i w:val="0"/>
          <w:sz w:val="20"/>
        </w:rPr>
        <w:t xml:space="preserve"> (OTAZUA ZABALA, Goizeder</w:t>
      </w:r>
      <w:r w:rsidR="00906922" w:rsidRPr="008A5173">
        <w:rPr>
          <w:rFonts w:ascii="PT Serif" w:hAnsi="PT Serif" w:cs="PT Serif"/>
          <w:b w:val="0"/>
          <w:i w:val="0"/>
          <w:sz w:val="20"/>
        </w:rPr>
        <w:t>/</w:t>
      </w:r>
      <w:r w:rsidRPr="008A5173">
        <w:rPr>
          <w:rFonts w:ascii="PT Serif" w:hAnsi="PT Serif" w:cs="PT Serif"/>
          <w:b w:val="0"/>
          <w:i w:val="0"/>
          <w:sz w:val="20"/>
        </w:rPr>
        <w:t>ETXEBARRIA ESTANKONA, Katixa, coords.; ETXEBERRIA GURIDI, José Francisco, dir.), 2022.</w:t>
      </w:r>
    </w:p>
    <w:p w14:paraId="06B9E62A" w14:textId="77777777" w:rsidR="00B74FA0" w:rsidRPr="008A5173" w:rsidRDefault="00B74FA0" w:rsidP="00DF3094">
      <w:pPr>
        <w:pStyle w:val="Textdenotaapeudepgina"/>
      </w:pPr>
    </w:p>
    <w:p w14:paraId="24BF9820"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GIL RUIZ, Juana María (ed. lit.), El Convenio de Estambul como marco de derecho antisubordiscriminatorio. Dykinson, 2018.</w:t>
      </w:r>
    </w:p>
    <w:p w14:paraId="653BC64F" w14:textId="77777777" w:rsidR="00B74FA0" w:rsidRPr="008A5173" w:rsidRDefault="00B74FA0" w:rsidP="00DF3094">
      <w:pPr>
        <w:pStyle w:val="Textdenotaapeudepgina"/>
      </w:pPr>
    </w:p>
    <w:p w14:paraId="4133B7DD" w14:textId="55B5F9F2"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GIMENO SENDRA, Vicente, (con DÍAZ MARTÍNEZ, Manuel</w:t>
      </w:r>
      <w:r w:rsidR="00FE32F6" w:rsidRPr="008A5173">
        <w:rPr>
          <w:rFonts w:ascii="PT Serif" w:hAnsi="PT Serif" w:cs="PT Serif"/>
          <w:b w:val="0"/>
          <w:i w:val="0"/>
          <w:sz w:val="20"/>
        </w:rPr>
        <w:t>/</w:t>
      </w:r>
      <w:r w:rsidRPr="008A5173">
        <w:rPr>
          <w:rFonts w:ascii="PT Serif" w:hAnsi="PT Serif" w:cs="PT Serif"/>
          <w:b w:val="0"/>
          <w:i w:val="0"/>
          <w:sz w:val="20"/>
        </w:rPr>
        <w:t xml:space="preserve">CALAZA LÓPEZ, Sonia), </w:t>
      </w:r>
      <w:r w:rsidRPr="008A5173">
        <w:rPr>
          <w:rStyle w:val="Cursivas"/>
          <w:rFonts w:cs="PT Serif" w:ascii="PT Serif" w:hAnsi="PT Serif"/>
          <w:b w:val="0"/>
          <w:i w:val="0"/>
          <w:sz w:val="20"/>
        </w:rPr>
        <w:t>Introducción al Derecho Procesal</w:t>
      </w:r>
      <w:r w:rsidRPr="008A5173">
        <w:rPr>
          <w:rFonts w:ascii="PT Serif" w:hAnsi="PT Serif" w:cs="PT Serif"/>
          <w:b w:val="0"/>
          <w:i w:val="0"/>
          <w:sz w:val="20"/>
        </w:rPr>
        <w:t>. Tirant lo Blanch, España. 2020.</w:t>
      </w:r>
    </w:p>
    <w:p w14:paraId="78217A17" w14:textId="77777777" w:rsidR="00B74FA0" w:rsidRPr="008A5173" w:rsidRDefault="00B74FA0" w:rsidP="00DF3094">
      <w:pPr>
        <w:pStyle w:val="Textdenotaapeudepgina"/>
        <w:rPr>
          <w:rStyle w:val="titulo"/>
          <w:rFonts w:cs="Arial"/>
          <w:smallCaps/>
        </w:rPr>
      </w:pPr>
    </w:p>
    <w:p w14:paraId="1323A129" w14:textId="77777777" w:rsidR="002C72C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GÓMEZ COLOMER, Juan Luis, «</w:t>
      </w:r>
      <w:r w:rsidRPr="008A5173">
        <w:rPr>
          <w:rStyle w:val="titulo"/>
          <w:rFonts w:cs="PT Serif" w:ascii="PT Serif" w:hAnsi="PT Serif"/>
          <w:b w:val="0"/>
          <w:i w:val="0"/>
          <w:sz w:val="20"/>
        </w:rPr>
        <w:t>La nueva ley española de medidas de protección integral contra la violencia de género</w:t>
      </w:r>
      <w:r w:rsidRPr="008A5173">
        <w:rPr>
          <w:rFonts w:ascii="PT Serif" w:hAnsi="PT Serif" w:cs="PT Serif"/>
          <w:b w:val="0"/>
          <w:i w:val="0"/>
          <w:sz w:val="20"/>
        </w:rPr>
        <w:t>»</w:t>
      </w:r>
      <w:r w:rsidRPr="008A5173">
        <w:rPr>
          <w:rStyle w:val="titulo"/>
          <w:rFonts w:cs="PT Serif" w:ascii="PT Serif" w:hAnsi="PT Serif"/>
          <w:b w:val="0"/>
          <w:i w:val="0"/>
          <w:sz w:val="20"/>
        </w:rPr>
        <w:t xml:space="preserve">, en </w:t>
      </w:r>
      <w:hyperlink r:id="rId58" w:history="1">
        <w:r w:rsidRPr="008A5173">
          <w:rPr>
            <w:rStyle w:val="Enlla"/>
            <w:rFonts w:cs="Arial"/>
            <w:i/>
          </w:rPr>
          <w:t>Derecho penal liberal y dignidad humana: libro homenaje al Doctor Hernando Londoño Jiménez</w:t>
        </w:r>
      </w:hyperlink>
      <w:r w:rsidRPr="008A5173">
        <w:rPr>
          <w:rFonts w:ascii="PT Serif" w:hAnsi="PT Serif" w:cs="PT Serif"/>
          <w:b w:val="0"/>
          <w:i w:val="0"/>
          <w:sz w:val="20"/>
        </w:rPr>
        <w:t xml:space="preserve"> (VELÁSQUES VELÁSQUES, F</w:t>
      </w:r>
      <w:r w:rsidR="00C635B7" w:rsidRPr="008A5173">
        <w:rPr>
          <w:rFonts w:ascii="PT Serif" w:hAnsi="PT Serif" w:cs="PT Serif"/>
          <w:b w:val="0"/>
          <w:i w:val="0"/>
          <w:sz w:val="20"/>
        </w:rPr>
        <w:t>ernando</w:t>
      </w:r>
      <w:r w:rsidRPr="008A5173">
        <w:rPr>
          <w:rFonts w:ascii="PT Serif" w:hAnsi="PT Serif" w:cs="PT Serif"/>
          <w:b w:val="0"/>
          <w:i w:val="0"/>
          <w:sz w:val="20"/>
        </w:rPr>
        <w:t>; AMBOS, K</w:t>
      </w:r>
      <w:r w:rsidR="00C635B7" w:rsidRPr="008A5173">
        <w:rPr>
          <w:rFonts w:ascii="PT Serif" w:hAnsi="PT Serif" w:cs="PT Serif"/>
          <w:b w:val="0"/>
          <w:i w:val="0"/>
          <w:sz w:val="20"/>
        </w:rPr>
        <w:t>ai</w:t>
      </w:r>
      <w:r w:rsidRPr="008A5173">
        <w:rPr>
          <w:rFonts w:ascii="PT Serif" w:hAnsi="PT Serif" w:cs="PT Serif"/>
          <w:b w:val="0"/>
          <w:i w:val="0"/>
          <w:sz w:val="20"/>
        </w:rPr>
        <w:t>.); AAVV. Editorial Temis. Colombia 2005.</w:t>
      </w:r>
    </w:p>
    <w:p w14:paraId="6E8B08E7" w14:textId="1C4EB933"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 </w:t>
      </w:r>
      <w:r w:rsidRPr="008A5173">
        <w:rPr>
          <w:rFonts w:ascii="PT Serif" w:hAnsi="PT Serif" w:cs="PT Serif"/>
          <w:b w:val="0"/>
          <w:i/>
          <w:sz w:val="20"/>
        </w:rPr>
        <w:t>Violencia de género y proceso</w:t>
      </w:r>
      <w:r w:rsidRPr="008A5173">
        <w:rPr>
          <w:rFonts w:ascii="PT Serif" w:hAnsi="PT Serif" w:cs="PT Serif"/>
          <w:b w:val="0"/>
          <w:i w:val="0"/>
          <w:sz w:val="20"/>
        </w:rPr>
        <w:t>. Valencia. Tirant lo Blanch 2007.</w:t>
      </w:r>
    </w:p>
    <w:p w14:paraId="66E17DF3" w14:textId="77777777" w:rsidR="00B74FA0" w:rsidRPr="008A5173" w:rsidRDefault="00B74FA0" w:rsidP="00DF3094">
      <w:pPr>
        <w:pStyle w:val="Textdenotaapeudepgina"/>
      </w:pPr>
    </w:p>
    <w:p w14:paraId="675420D2" w14:textId="5CABA62F" w:rsidR="00044E13" w:rsidRPr="008A5173" w:rsidRDefault="00044E13" w:rsidP="00DF3094">
      <w:pPr>
        <w:pStyle w:val="Textdenotaapeudepgina"/>
        <w:spacing w:lineRule="auto" w:line="264" w:after="120"/>
        <w:ind w:firstLine="0"/>
        <w:jc w:val="both"/>
      </w:pPr>
      <w:r w:rsidRPr="008A5173">
        <w:rPr>
          <w:rFonts w:ascii="PT Serif" w:hAnsi="PT Serif" w:cs="PT Serif"/>
          <w:b w:val="0"/>
          <w:i w:val="0"/>
          <w:sz w:val="20"/>
        </w:rPr>
        <w:t>HERAS HERNÁNDEZ, María del Mar, Implicaciones jurídico civiles de la violencia de género. Dykinson 2025.</w:t>
      </w:r>
    </w:p>
    <w:p w14:paraId="7BBB9BC7" w14:textId="77777777" w:rsidR="00044E13" w:rsidRPr="008A5173" w:rsidRDefault="00044E13" w:rsidP="00DF3094">
      <w:pPr>
        <w:pStyle w:val="Textdenotaapeudepgina"/>
      </w:pPr>
    </w:p>
    <w:p w14:paraId="73A9D32D" w14:textId="77777777" w:rsidR="00B74FA0" w:rsidRPr="008A5173" w:rsidRDefault="00B74FA0" w:rsidP="00B74FA0">
      <w:pPr>
        <w:pStyle w:val="04Notas"/>
        <w:spacing w:lineRule="auto" w:line="264" w:after="120"/>
        <w:ind w:left="0" w:firstLine="0"/>
        <w:jc w:val="both"/>
        <w:rPr>
          <w:rFonts w:ascii="PT Serif" w:hAnsi="PT Serif" w:cs="Arial"/>
          <w:sz w:val="20"/>
        </w:rPr>
      </w:pPr>
      <w:r w:rsidRPr="008A5173">
        <w:rPr>
          <w:rFonts w:ascii="PT Serif" w:hAnsi="PT Serif" w:cs="PT Serif"/>
          <w:b w:val="0"/>
          <w:i w:val="0"/>
          <w:sz w:val="20"/>
          <w:lang w:eastAsia="en-US"/>
          <w:smallCaps w:val="1"/>
        </w:rPr>
        <w:t>Jimena Quesada</w:t>
      </w:r>
      <w:r w:rsidRPr="008A5173">
        <w:rPr>
          <w:rFonts w:ascii="PT Serif" w:hAnsi="PT Serif" w:cs="PT Serif"/>
          <w:b w:val="0"/>
          <w:i w:val="0"/>
          <w:sz w:val="20"/>
        </w:rPr>
        <w:t xml:space="preserve">, Luis, </w:t>
      </w:r>
      <w:r w:rsidRPr="008A5173">
        <w:rPr>
          <w:rFonts w:ascii="PT Serif" w:hAnsi="PT Serif" w:cs="PT Serif"/>
          <w:b w:val="0"/>
          <w:i w:val="0"/>
          <w:sz w:val="20"/>
        </w:rPr>
        <w:t>«</w:t>
      </w:r>
      <w:r w:rsidRPr="008A5173">
        <w:rPr>
          <w:rFonts w:ascii="PT Serif" w:hAnsi="PT Serif" w:cs="PT Serif"/>
          <w:b w:val="0"/>
          <w:i w:val="0"/>
          <w:sz w:val="20"/>
        </w:rPr>
        <w:t>La consagración del control de convencionalidad por la Jurisdicción Constitucional en España y su impacto en materia de derechos socio-laborales. Comentario a la STC 140/2018, de 20 de diciembre</w:t>
      </w:r>
      <w:r w:rsidRPr="008A5173">
        <w:rPr>
          <w:rFonts w:ascii="PT Serif" w:hAnsi="PT Serif" w:cs="PT Serif"/>
          <w:b w:val="0"/>
          <w:i w:val="0"/>
          <w:sz w:val="20"/>
        </w:rPr>
        <w:t>»</w:t>
      </w:r>
      <w:r w:rsidRPr="008A5173">
        <w:rPr>
          <w:rFonts w:ascii="PT Serif" w:hAnsi="PT Serif" w:cs="PT Serif"/>
          <w:b w:val="0"/>
          <w:i w:val="0"/>
          <w:sz w:val="20"/>
        </w:rPr>
        <w:t xml:space="preserve">. </w:t>
      </w:r>
      <w:r w:rsidRPr="008A5173">
        <w:rPr>
          <w:rFonts w:ascii="PT Serif" w:hAnsi="PT Serif" w:cs="PT Serif"/>
          <w:b w:val="0"/>
          <w:i/>
          <w:iCs/>
          <w:sz w:val="20"/>
        </w:rPr>
        <w:t>Revista General de Derecho del Trabajo y de la Seguridad Social</w:t>
      </w:r>
      <w:r w:rsidRPr="008A5173">
        <w:rPr>
          <w:rFonts w:ascii="PT Serif" w:hAnsi="PT Serif" w:cs="PT Serif"/>
          <w:b w:val="0"/>
          <w:i w:val="0"/>
          <w:sz w:val="20"/>
        </w:rPr>
        <w:t xml:space="preserve">, núm. 53, 2019. </w:t>
      </w:r>
    </w:p>
    <w:p w14:paraId="551767DF" w14:textId="77777777" w:rsidR="00B74FA0" w:rsidRPr="008A5173" w:rsidRDefault="00B74FA0" w:rsidP="00B74FA0">
      <w:pPr>
        <w:pStyle w:val="04Notas"/>
        <w:ind w:left="0" w:firstLine="0"/>
        <w:rPr>
          <w:rFonts w:ascii="PT Serif" w:hAnsi="PT Serif" w:cs="Arial"/>
          <w:sz w:val="20"/>
        </w:rPr>
      </w:pPr>
    </w:p>
    <w:p w14:paraId="7DF8C008"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LLORIA GARCÍA, Paz, «La prevención de la violencia de género en la Unión Europea» en </w:t>
      </w:r>
      <w:r w:rsidRPr="008A5173">
        <w:rPr>
          <w:rFonts w:ascii="PT Serif" w:hAnsi="PT Serif" w:cs="PT Serif"/>
          <w:b w:val="0"/>
          <w:i/>
          <w:iCs/>
          <w:sz w:val="20"/>
        </w:rPr>
        <w:t>El Convenio de Estambul. La encrucijada de Europa: luces y sombras para un futuro común</w:t>
      </w:r>
      <w:r w:rsidRPr="008A5173">
        <w:rPr>
          <w:rFonts w:ascii="PT Serif" w:hAnsi="PT Serif" w:cs="PT Serif"/>
          <w:b w:val="0"/>
          <w:i w:val="0"/>
          <w:sz w:val="20"/>
        </w:rPr>
        <w:t xml:space="preserve"> (CERVERA VALLTERRA, María, coord.), 2015.</w:t>
      </w:r>
    </w:p>
    <w:p w14:paraId="4AEBF3EF" w14:textId="77777777" w:rsidR="00B74FA0" w:rsidRPr="008A5173" w:rsidRDefault="00B74FA0" w:rsidP="00DF3094">
      <w:pPr>
        <w:pStyle w:val="Textdenotaapeudepgina"/>
      </w:pPr>
    </w:p>
    <w:p w14:paraId="58F9E992"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MARTÍN REBOLLO, Luis, «</w:t>
      </w:r>
      <w:r w:rsidRPr="008A5173">
        <w:rPr>
          <w:rStyle w:val="titulo"/>
          <w:rFonts w:cs="PT Serif" w:ascii="PT Serif" w:hAnsi="PT Serif"/>
          <w:b w:val="0"/>
          <w:i w:val="0"/>
          <w:sz w:val="20"/>
        </w:rPr>
        <w:t>La Administración en la Constitución (Arts. 103 a 107)</w:t>
      </w:r>
      <w:r w:rsidRPr="008A5173">
        <w:rPr>
          <w:rFonts w:ascii="PT Serif" w:hAnsi="PT Serif" w:cs="PT Serif"/>
          <w:b w:val="0"/>
          <w:i w:val="0"/>
          <w:sz w:val="20"/>
        </w:rPr>
        <w:t>»</w:t>
      </w:r>
      <w:r w:rsidRPr="008A5173">
        <w:rPr>
          <w:rStyle w:val="titulo"/>
          <w:rFonts w:cs="PT Serif" w:ascii="PT Serif" w:hAnsi="PT Serif"/>
          <w:b w:val="0"/>
          <w:i w:val="0"/>
          <w:sz w:val="20"/>
        </w:rPr>
        <w:t xml:space="preserve">. </w:t>
      </w:r>
      <w:r w:rsidRPr="008A5173">
        <w:rPr>
          <w:rStyle w:val="titulo"/>
          <w:rFonts w:cs="PT Serif" w:ascii="PT Serif" w:hAnsi="PT Serif"/>
          <w:b w:val="0"/>
          <w:i/>
          <w:sz w:val="20"/>
        </w:rPr>
        <w:t>Revista de Derecho Político</w:t>
      </w:r>
      <w:r w:rsidRPr="008A5173">
        <w:rPr>
          <w:rStyle w:val="titulo"/>
          <w:rFonts w:cs="PT Serif" w:ascii="PT Serif" w:hAnsi="PT Serif"/>
          <w:b w:val="0"/>
          <w:i w:val="0"/>
          <w:sz w:val="20"/>
        </w:rPr>
        <w:t>, n</w:t>
      </w:r>
      <w:r w:rsidRPr="008A5173">
        <w:rPr>
          <w:rFonts w:ascii="PT Serif" w:hAnsi="PT Serif" w:cs="PT Serif"/>
          <w:b w:val="0"/>
          <w:i w:val="0"/>
          <w:sz w:val="20"/>
        </w:rPr>
        <w:t>úm. 37, 1992.</w:t>
      </w:r>
    </w:p>
    <w:p w14:paraId="06826667" w14:textId="77777777" w:rsidR="00B74FA0" w:rsidRPr="008A5173" w:rsidRDefault="00B74FA0" w:rsidP="00DF3094">
      <w:pPr>
        <w:pStyle w:val="Textdenotaapeudepgina"/>
      </w:pPr>
    </w:p>
    <w:p w14:paraId="539F2128" w14:textId="77777777" w:rsidR="00B74FA0" w:rsidRPr="008A5173" w:rsidRDefault="00B74FA0" w:rsidP="00B74FA0">
      <w:pPr>
        <w:pStyle w:val="04Notas"/>
        <w:spacing w:lineRule="auto" w:line="264" w:after="120"/>
        <w:ind w:left="0" w:firstLine="0"/>
        <w:jc w:val="both"/>
        <w:rPr>
          <w:rFonts w:ascii="PT Serif" w:hAnsi="PT Serif" w:cs="Arial"/>
          <w:sz w:val="20"/>
        </w:rPr>
      </w:pPr>
      <w:r w:rsidRPr="008A5173">
        <w:rPr>
          <w:rFonts w:ascii="PT Serif" w:hAnsi="PT Serif" w:cs="PT Serif"/>
          <w:b w:val="0"/>
          <w:i w:val="0"/>
          <w:sz w:val="20"/>
          <w:lang w:eastAsia="en-US"/>
          <w:smallCaps w:val="1"/>
        </w:rPr>
        <w:t>Marullo</w:t>
      </w:r>
      <w:r w:rsidRPr="008A5173">
        <w:rPr>
          <w:rFonts w:ascii="PT Serif" w:hAnsi="PT Serif" w:cs="PT Serif"/>
          <w:b w:val="0"/>
          <w:i w:val="0"/>
          <w:sz w:val="20"/>
        </w:rPr>
        <w:t xml:space="preserve">, María Chiara, </w:t>
      </w:r>
      <w:r w:rsidRPr="008A5173">
        <w:rPr>
          <w:rFonts w:ascii="PT Serif" w:hAnsi="PT Serif" w:cs="PT Serif"/>
          <w:b w:val="0"/>
          <w:i w:val="0"/>
          <w:sz w:val="20"/>
        </w:rPr>
        <w:t>«</w:t>
      </w:r>
      <w:r w:rsidRPr="008A5173">
        <w:rPr>
          <w:rFonts w:ascii="PT Serif" w:hAnsi="PT Serif" w:cs="PT Serif"/>
          <w:b w:val="0"/>
          <w:i w:val="0"/>
          <w:sz w:val="20"/>
        </w:rPr>
        <w:t>La Jurisdicción universal española en la STC 140/2018, de 20 de diciembre</w:t>
      </w:r>
      <w:r w:rsidRPr="008A5173">
        <w:rPr>
          <w:rFonts w:ascii="PT Serif" w:hAnsi="PT Serif" w:cs="PT Serif"/>
          <w:b w:val="0"/>
          <w:i w:val="0"/>
          <w:sz w:val="20"/>
        </w:rPr>
        <w:t>»</w:t>
      </w:r>
      <w:r w:rsidRPr="008A5173">
        <w:rPr>
          <w:rFonts w:ascii="PT Serif" w:hAnsi="PT Serif" w:cs="PT Serif"/>
          <w:b w:val="0"/>
          <w:i w:val="0"/>
          <w:sz w:val="20"/>
        </w:rPr>
        <w:t xml:space="preserve">. </w:t>
      </w:r>
      <w:r w:rsidRPr="008A5173">
        <w:rPr>
          <w:rStyle w:val="Cursivas"/>
          <w:rFonts w:ascii="PT Serif" w:hAnsi="PT Serif" w:cs="PT Serif"/>
          <w:b w:val="0"/>
          <w:i w:val="0"/>
          <w:sz w:val="20"/>
        </w:rPr>
        <w:t>Revista española de derecho internacional</w:t>
      </w:r>
      <w:r w:rsidRPr="008A5173">
        <w:rPr>
          <w:rFonts w:ascii="PT Serif" w:hAnsi="PT Serif" w:cs="PT Serif"/>
          <w:b w:val="0"/>
          <w:i w:val="0"/>
          <w:sz w:val="20"/>
        </w:rPr>
        <w:t>, vol. 71, núm. 2, 2019.</w:t>
      </w:r>
    </w:p>
    <w:p w14:paraId="68467114" w14:textId="77777777" w:rsidR="007173BB" w:rsidRPr="008A5173" w:rsidRDefault="007173BB" w:rsidP="00B74FA0">
      <w:pPr>
        <w:pStyle w:val="04Notas"/>
        <w:ind w:left="0" w:firstLine="0"/>
        <w:rPr>
          <w:rFonts w:ascii="PT Serif" w:hAnsi="PT Serif"/>
          <w:color w:val="EE0000"/>
          <w:sz w:val="20"/>
        </w:rPr>
      </w:pPr>
    </w:p>
    <w:p w14:paraId="7F525AAC" w14:textId="7278D0A5" w:rsidR="007173BB" w:rsidRPr="00744C0A" w:rsidRDefault="00F14E8C" w:rsidP="00B74FA0">
      <w:pPr>
        <w:pStyle w:val="04Notas"/>
        <w:spacing w:lineRule="auto" w:line="264" w:after="120"/>
        <w:ind w:left="0" w:firstLine="0"/>
        <w:jc w:val="both"/>
        <w:rPr>
          <w:rFonts w:ascii="PT Serif" w:hAnsi="PT Serif"/>
          <w:sz w:val="20"/>
        </w:rPr>
      </w:pPr>
      <w:r w:rsidRPr="00744C0A">
        <w:rPr>
          <w:rFonts w:ascii="PT Serif" w:hAnsi="PT Serif" w:cs="PT Serif"/>
          <w:b w:val="0"/>
          <w:i w:val="0"/>
          <w:sz w:val="20"/>
          <w:smallCaps w:val="1"/>
        </w:rPr>
        <w:t>Medina</w:t>
      </w:r>
      <w:r w:rsidR="007173BB" w:rsidRPr="00744C0A">
        <w:rPr>
          <w:rFonts w:ascii="PT Serif" w:hAnsi="PT Serif" w:cs="PT Serif"/>
          <w:b w:val="0"/>
          <w:i w:val="0"/>
          <w:sz w:val="20"/>
        </w:rPr>
        <w:t>, G</w:t>
      </w:r>
      <w:r w:rsidR="00744C0A" w:rsidRPr="00744C0A">
        <w:rPr>
          <w:rFonts w:ascii="PT Serif" w:hAnsi="PT Serif" w:cs="PT Serif"/>
          <w:b w:val="0"/>
          <w:i w:val="0"/>
          <w:sz w:val="20"/>
        </w:rPr>
        <w:t>astón Leandro,</w:t>
      </w:r>
      <w:r w:rsidR="007173BB" w:rsidRPr="00744C0A">
        <w:rPr>
          <w:rFonts w:ascii="PT Serif" w:hAnsi="PT Serif" w:cs="PT Serif"/>
          <w:b w:val="0"/>
          <w:i w:val="0"/>
          <w:sz w:val="20"/>
        </w:rPr>
        <w:t xml:space="preserve"> </w:t>
      </w:r>
      <w:r w:rsidR="00744C0A" w:rsidRPr="00744C0A">
        <w:rPr>
          <w:rFonts w:ascii="PT Serif" w:hAnsi="PT Serif" w:cs="PT Serif"/>
          <w:b w:val="0"/>
          <w:i w:val="0"/>
          <w:sz w:val="20"/>
        </w:rPr>
        <w:t>«</w:t>
      </w:r>
      <w:r w:rsidR="007173BB" w:rsidRPr="00744C0A">
        <w:rPr>
          <w:rFonts w:ascii="PT Serif" w:hAnsi="PT Serif" w:cs="PT Serif"/>
          <w:b w:val="0"/>
          <w:i w:val="0"/>
          <w:sz w:val="20"/>
        </w:rPr>
        <w:t>El precepto pro homine y la globalización jurídica</w:t>
      </w:r>
      <w:r w:rsidR="00744C0A" w:rsidRPr="00744C0A">
        <w:rPr>
          <w:rFonts w:ascii="PT Serif" w:hAnsi="PT Serif" w:cs="PT Serif"/>
          <w:b w:val="0"/>
          <w:i w:val="0"/>
          <w:sz w:val="20"/>
        </w:rPr>
        <w:t>»</w:t>
      </w:r>
      <w:r w:rsidR="00E27CEB">
        <w:rPr>
          <w:rFonts w:ascii="PT Serif" w:hAnsi="PT Serif" w:cs="PT Serif"/>
          <w:b w:val="0"/>
          <w:i w:val="0"/>
          <w:sz w:val="20"/>
        </w:rPr>
        <w:t xml:space="preserve">, </w:t>
      </w:r>
      <w:r w:rsidR="00E95030" w:rsidRPr="00E95030">
        <w:rPr>
          <w:rFonts w:ascii="PT Serif" w:hAnsi="PT Serif" w:cs="PT Serif"/>
          <w:b w:val="0"/>
          <w:i/>
          <w:iCs/>
          <w:sz w:val="20"/>
        </w:rPr>
        <w:t xml:space="preserve">Revista </w:t>
      </w:r>
      <w:r w:rsidR="00744C0A">
        <w:rPr>
          <w:rFonts w:ascii="PT Serif" w:hAnsi="PT Serif" w:cs="PT Serif"/>
          <w:b w:val="0"/>
          <w:i/>
          <w:sz w:val="20"/>
        </w:rPr>
        <w:t>A</w:t>
      </w:r>
      <w:r w:rsidR="007173BB" w:rsidRPr="00744C0A">
        <w:rPr>
          <w:rFonts w:ascii="PT Serif" w:hAnsi="PT Serif" w:cs="PT Serif"/>
          <w:b w:val="0"/>
          <w:i/>
          <w:sz w:val="20"/>
        </w:rPr>
        <w:t>nales de la Facultad de Ciencias Jurídicas y Sociales de la Universidad Nacional de La Plata</w:t>
      </w:r>
      <w:r w:rsidR="007173BB" w:rsidRPr="00744C0A">
        <w:rPr>
          <w:rFonts w:ascii="PT Serif" w:hAnsi="PT Serif" w:cs="PT Serif"/>
          <w:b w:val="0"/>
          <w:i w:val="0"/>
          <w:sz w:val="20"/>
        </w:rPr>
        <w:t>, vol. 13, núm. 46, 2016.</w:t>
      </w:r>
    </w:p>
    <w:p w14:paraId="402A641F" w14:textId="77777777" w:rsidR="007173BB" w:rsidRPr="008A5173" w:rsidRDefault="007173BB" w:rsidP="00B74FA0">
      <w:pPr>
        <w:pStyle w:val="04Notas"/>
        <w:ind w:left="0" w:firstLine="0"/>
        <w:rPr>
          <w:rFonts w:ascii="PT Serif" w:hAnsi="PT Serif"/>
          <w:color w:val="EE0000"/>
          <w:sz w:val="20"/>
        </w:rPr>
      </w:pPr>
    </w:p>
    <w:p w14:paraId="53A4932D" w14:textId="193CF039" w:rsidR="007173BB" w:rsidRPr="00E27CEB" w:rsidRDefault="00E27CEB" w:rsidP="00B74FA0">
      <w:pPr>
        <w:pStyle w:val="04Notas"/>
        <w:spacing w:lineRule="auto" w:line="264" w:after="120"/>
        <w:ind w:left="0" w:firstLine="0"/>
        <w:jc w:val="both"/>
        <w:rPr>
          <w:rFonts w:ascii="PT Serif" w:hAnsi="PT Serif" w:cs="Arial"/>
          <w:sz w:val="20"/>
        </w:rPr>
      </w:pPr>
      <w:r w:rsidRPr="00E27CEB">
        <w:rPr>
          <w:rFonts w:ascii="PT Serif" w:hAnsi="PT Serif" w:cs="PT Serif"/>
          <w:b w:val="0"/>
          <w:i w:val="0"/>
          <w:sz w:val="20"/>
          <w:smallCaps w:val="1"/>
        </w:rPr>
        <w:t>Melgar Rimachi</w:t>
      </w:r>
      <w:r w:rsidR="007173BB" w:rsidRPr="00E27CEB">
        <w:rPr>
          <w:rFonts w:ascii="PT Serif" w:hAnsi="PT Serif" w:cs="PT Serif"/>
          <w:b w:val="0"/>
          <w:i w:val="0"/>
          <w:sz w:val="20"/>
        </w:rPr>
        <w:t>, A</w:t>
      </w:r>
      <w:r w:rsidRPr="00E27CEB">
        <w:rPr>
          <w:rFonts w:ascii="PT Serif" w:hAnsi="PT Serif" w:cs="PT Serif"/>
          <w:b w:val="0"/>
          <w:i w:val="0"/>
          <w:sz w:val="20"/>
        </w:rPr>
        <w:t>driana, «</w:t>
      </w:r>
      <w:r w:rsidR="007173BB" w:rsidRPr="00E27CEB">
        <w:rPr>
          <w:rFonts w:ascii="PT Serif" w:hAnsi="PT Serif" w:cs="PT Serif"/>
          <w:b w:val="0"/>
          <w:i/>
          <w:sz w:val="20"/>
        </w:rPr>
        <w:t>El principio &lt;pro homine&gt; como clave hermenéutica de la interpretación de conformidad. El diálogo entre la Corte IDH y los tribunales peruanos</w:t>
      </w:r>
      <w:r w:rsidRPr="00E27CEB">
        <w:rPr>
          <w:rFonts w:ascii="PT Serif" w:hAnsi="PT Serif" w:cs="PT Serif"/>
          <w:b w:val="0"/>
          <w:i w:val="0"/>
          <w:sz w:val="20"/>
        </w:rPr>
        <w:t>»,</w:t>
      </w:r>
      <w:r w:rsidR="007173BB" w:rsidRPr="00E27CEB">
        <w:rPr>
          <w:rFonts w:ascii="PT Serif" w:hAnsi="PT Serif" w:cs="PT Serif"/>
          <w:b w:val="0"/>
          <w:i w:val="0"/>
          <w:sz w:val="20"/>
        </w:rPr>
        <w:t xml:space="preserve"> Universidad Católica San Pablo, Arequipa, Perú, 2016</w:t>
      </w:r>
      <w:r w:rsidRPr="00E27CEB">
        <w:rPr>
          <w:rFonts w:ascii="PT Serif" w:hAnsi="PT Serif" w:cs="PT Serif"/>
          <w:b w:val="0"/>
          <w:i w:val="0"/>
          <w:sz w:val="20"/>
        </w:rPr>
        <w:t>.</w:t>
      </w:r>
    </w:p>
    <w:p w14:paraId="1AC7EE06" w14:textId="77777777" w:rsidR="00B74FA0" w:rsidRPr="008A5173" w:rsidRDefault="00B74FA0" w:rsidP="00B74FA0">
      <w:pPr>
        <w:pStyle w:val="04Notas"/>
        <w:ind w:left="0" w:firstLine="0"/>
        <w:rPr>
          <w:rFonts w:ascii="PT Serif" w:hAnsi="PT Serif" w:cs="Arial"/>
          <w:sz w:val="20"/>
        </w:rPr>
      </w:pPr>
    </w:p>
    <w:p w14:paraId="030324A4"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MERCADO CARMONA, Carmen, «La erradicación de la violencia contra la mujer “por tratado”: un análisis comparado del Convenio de Estambul y de la Convención de Belém do Pará». Revista europea de derechos fundamentales, núm. 30, 2017</w:t>
      </w:r>
    </w:p>
    <w:p w14:paraId="2AA14D7E" w14:textId="77777777" w:rsidR="00B74FA0" w:rsidRPr="008A5173" w:rsidRDefault="00B74FA0" w:rsidP="00DF3094">
      <w:pPr>
        <w:pStyle w:val="Textdenotaapeudepgina"/>
      </w:pPr>
    </w:p>
    <w:p w14:paraId="0926B12C" w14:textId="2A5AE80E"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MESTRE I MESTRE, Ruth</w:t>
      </w:r>
      <w:r w:rsidR="00906922" w:rsidRPr="008A5173">
        <w:rPr>
          <w:rFonts w:ascii="PT Serif" w:hAnsi="PT Serif" w:cs="PT Serif"/>
          <w:b w:val="0"/>
          <w:i w:val="0"/>
          <w:sz w:val="20"/>
        </w:rPr>
        <w:t>/</w:t>
      </w:r>
      <w:r w:rsidRPr="008A5173">
        <w:rPr>
          <w:rFonts w:ascii="PT Serif" w:hAnsi="PT Serif" w:cs="PT Serif"/>
          <w:b w:val="0"/>
          <w:i w:val="0"/>
          <w:sz w:val="20"/>
        </w:rPr>
        <w:t xml:space="preserve">DE VIRO, Sara, «La utilización del Convenio de Estambul para luchar contra la violencia de género hacia las mujeres LBTI y las personas no binarias», en </w:t>
      </w:r>
      <w:r w:rsidRPr="008A5173">
        <w:rPr>
          <w:rFonts w:ascii="PT Serif" w:hAnsi="PT Serif" w:cs="PT Serif"/>
          <w:b w:val="0"/>
          <w:i/>
          <w:iCs/>
          <w:sz w:val="20"/>
        </w:rPr>
        <w:t>Democracia no binaria. Reflexiones interdisciplinares sobre la dessexualización de la ciudadanía</w:t>
      </w:r>
      <w:r w:rsidRPr="008A5173">
        <w:rPr>
          <w:rFonts w:ascii="PT Serif" w:hAnsi="PT Serif" w:cs="PT Serif"/>
          <w:b w:val="0"/>
          <w:i w:val="0"/>
          <w:sz w:val="20"/>
        </w:rPr>
        <w:t xml:space="preserve"> (WINTER PEREIRA, Luisa; RODRÍGUEZ RUÍZ, Blanca, dirs.), 2024.</w:t>
      </w:r>
    </w:p>
    <w:p w14:paraId="2C6799A9" w14:textId="77777777" w:rsidR="00B74FA0" w:rsidRPr="008A5173" w:rsidRDefault="00B74FA0" w:rsidP="00DF3094">
      <w:pPr>
        <w:pStyle w:val="Textdenotaapeudepgina"/>
      </w:pPr>
    </w:p>
    <w:p w14:paraId="1D7EB679" w14:textId="77777777" w:rsidR="00B74FA0" w:rsidRPr="008A5173" w:rsidRDefault="00B74FA0" w:rsidP="00B74FA0">
      <w:pPr>
        <w:spacing w:after="120" w:line="264" w:lineRule="auto"/>
        <w:ind w:firstLine="0"/>
        <w:jc w:val="both"/>
        <w:rPr>
          <w:rFonts w:ascii="PT Serif" w:hAnsi="PT Serif" w:cs="Arial"/>
          <w:sz w:val="20"/>
          <w:szCs w:val="20"/>
        </w:rPr>
      </w:pPr>
      <w:r w:rsidRPr="008A5173">
        <w:rPr>
          <w:rFonts w:ascii="PT Serif" w:hAnsi="PT Serif" w:cs="PT Serif"/>
          <w:b w:val="0"/>
          <w:i w:val="0"/>
          <w:sz w:val="20"/>
          <w:szCs w:val="20"/>
          <w:smallCaps w:val="1"/>
        </w:rPr>
        <w:t>Moreno Blesa</w:t>
      </w:r>
      <w:r w:rsidRPr="008A5173">
        <w:rPr>
          <w:rFonts w:ascii="PT Serif" w:hAnsi="PT Serif" w:cs="PT Serif"/>
          <w:b w:val="0"/>
          <w:i w:val="0"/>
          <w:sz w:val="20"/>
          <w:szCs w:val="20"/>
        </w:rPr>
        <w:t xml:space="preserve">, Lidia, </w:t>
      </w:r>
      <w:r w:rsidRPr="008A5173">
        <w:rPr>
          <w:rFonts w:ascii="PT Serif" w:hAnsi="PT Serif" w:cs="PT Serif"/>
          <w:b w:val="0"/>
          <w:i w:val="0"/>
          <w:sz w:val="20"/>
          <w:szCs w:val="20"/>
        </w:rPr>
        <w:t>«</w:t>
      </w:r>
      <w:r w:rsidRPr="008A5173">
        <w:rPr>
          <w:rFonts w:ascii="PT Serif" w:hAnsi="PT Serif" w:cs="PT Serif"/>
          <w:b w:val="0"/>
          <w:i w:val="0"/>
          <w:sz w:val="20"/>
          <w:szCs w:val="20"/>
        </w:rPr>
        <w:t>Comentario a la Ley 25/2014, de 27 de noviembre, de tratados y otros acuerdos internacionales</w:t>
      </w:r>
      <w:r w:rsidRPr="008A5173">
        <w:rPr>
          <w:rFonts w:ascii="PT Serif" w:hAnsi="PT Serif" w:cs="PT Serif"/>
          <w:b w:val="0"/>
          <w:i w:val="0"/>
          <w:sz w:val="20"/>
          <w:szCs w:val="20"/>
        </w:rPr>
        <w:t>»</w:t>
      </w:r>
      <w:r w:rsidRPr="008A5173">
        <w:rPr>
          <w:rFonts w:ascii="PT Serif" w:hAnsi="PT Serif" w:cs="PT Serif"/>
          <w:b w:val="0"/>
          <w:i w:val="0"/>
          <w:sz w:val="20"/>
          <w:szCs w:val="20"/>
        </w:rPr>
        <w:t xml:space="preserve">. </w:t>
      </w:r>
      <w:r w:rsidRPr="008A5173">
        <w:rPr>
          <w:rStyle w:val="Cursivas"/>
          <w:rFonts w:ascii="PT Serif" w:hAnsi="PT Serif" w:cs="PT Serif"/>
          <w:b w:val="0"/>
          <w:i w:val="0"/>
          <w:sz w:val="20"/>
          <w:szCs w:val="20"/>
        </w:rPr>
        <w:t>Actualidad civil</w:t>
      </w:r>
      <w:r w:rsidRPr="008A5173">
        <w:rPr>
          <w:rFonts w:ascii="PT Serif" w:hAnsi="PT Serif" w:cs="PT Serif"/>
          <w:b w:val="0"/>
          <w:i w:val="0"/>
          <w:sz w:val="20"/>
          <w:szCs w:val="20"/>
        </w:rPr>
        <w:t>, núm. 2, 2015.</w:t>
      </w:r>
    </w:p>
    <w:p w14:paraId="212AFDC6" w14:textId="77777777" w:rsidR="00B74FA0" w:rsidRPr="008A5173" w:rsidRDefault="00B74FA0" w:rsidP="00B74FA0">
      <w:pPr>
        <w:spacing w:after="0" w:line="240" w:lineRule="auto"/>
        <w:jc w:val="both"/>
        <w:rPr>
          <w:rFonts w:ascii="PT Serif" w:hAnsi="PT Serif" w:cs="Arial"/>
          <w:sz w:val="20"/>
          <w:szCs w:val="20"/>
        </w:rPr>
      </w:pPr>
    </w:p>
    <w:p w14:paraId="09566927" w14:textId="57E468BE" w:rsidR="00B74FA0" w:rsidRPr="008A5173" w:rsidRDefault="00B74FA0" w:rsidP="00B74FA0">
      <w:pPr>
        <w:spacing w:after="120" w:line="264" w:lineRule="auto"/>
        <w:ind w:firstLine="0"/>
        <w:jc w:val="both"/>
        <w:rPr>
          <w:rFonts w:ascii="PT Serif" w:hAnsi="PT Serif" w:cs="Arial"/>
          <w:sz w:val="20"/>
          <w:szCs w:val="20"/>
        </w:rPr>
      </w:pPr>
      <w:r w:rsidRPr="008A5173">
        <w:rPr>
          <w:rFonts w:ascii="PT Serif" w:hAnsi="PT Serif" w:cs="PT Serif"/>
          <w:b w:val="0"/>
          <w:i w:val="0"/>
          <w:sz w:val="20"/>
          <w:szCs w:val="20"/>
          <w:smallCaps w:val="1"/>
        </w:rPr>
        <w:t>Moreno Catena</w:t>
      </w:r>
      <w:r w:rsidRPr="008A5173">
        <w:rPr>
          <w:rFonts w:ascii="PT Serif" w:hAnsi="PT Serif" w:cs="PT Serif"/>
          <w:b w:val="0"/>
          <w:i w:val="0"/>
          <w:sz w:val="20"/>
          <w:szCs w:val="20"/>
        </w:rPr>
        <w:t>, Víctor</w:t>
      </w:r>
      <w:r w:rsidR="00916897" w:rsidRPr="008A5173">
        <w:rPr>
          <w:rFonts w:ascii="PT Serif" w:hAnsi="PT Serif" w:cs="PT Serif"/>
          <w:b w:val="0"/>
          <w:i w:val="0"/>
          <w:sz w:val="20"/>
          <w:szCs w:val="20"/>
        </w:rPr>
        <w:t>/</w:t>
      </w:r>
      <w:r w:rsidRPr="008A5173">
        <w:rPr>
          <w:rFonts w:ascii="PT Serif" w:hAnsi="PT Serif" w:cs="PT Serif"/>
          <w:b w:val="0"/>
          <w:i w:val="0"/>
          <w:sz w:val="20"/>
          <w:szCs w:val="20"/>
          <w:smallCaps w:val="1"/>
        </w:rPr>
        <w:t>Cortés Domínguez</w:t>
      </w:r>
      <w:r w:rsidRPr="008A5173">
        <w:rPr>
          <w:rFonts w:ascii="PT Serif" w:hAnsi="PT Serif" w:cs="PT Serif"/>
          <w:b w:val="0"/>
          <w:i w:val="0"/>
          <w:sz w:val="20"/>
          <w:szCs w:val="20"/>
        </w:rPr>
        <w:t xml:space="preserve">, Valentín, </w:t>
      </w:r>
      <w:r w:rsidRPr="008A5173">
        <w:rPr>
          <w:rFonts w:ascii="PT Serif" w:hAnsi="PT Serif" w:cs="PT Serif"/>
          <w:b w:val="0"/>
          <w:i/>
          <w:sz w:val="20"/>
          <w:szCs w:val="20"/>
        </w:rPr>
        <w:t>Introducción al Derecho Procesal</w:t>
      </w:r>
      <w:r w:rsidRPr="008A5173">
        <w:rPr>
          <w:rFonts w:ascii="PT Serif" w:hAnsi="PT Serif" w:cs="PT Serif"/>
          <w:b w:val="0"/>
          <w:i w:val="0"/>
          <w:sz w:val="20"/>
          <w:szCs w:val="20"/>
        </w:rPr>
        <w:t>, 11ª ed, Tirant lo Blanch, España, 2021.</w:t>
      </w:r>
    </w:p>
    <w:p w14:paraId="1EE5B422" w14:textId="77777777" w:rsidR="00044E13" w:rsidRPr="008A5173" w:rsidRDefault="00044E13" w:rsidP="00B74FA0">
      <w:pPr>
        <w:spacing w:after="0" w:line="240" w:lineRule="auto"/>
        <w:jc w:val="both"/>
        <w:rPr>
          <w:rFonts w:ascii="PT Serif" w:hAnsi="PT Serif" w:cs="Arial"/>
          <w:sz w:val="20"/>
          <w:szCs w:val="20"/>
        </w:rPr>
      </w:pPr>
    </w:p>
    <w:p w14:paraId="3A6539C8" w14:textId="6F21338D" w:rsidR="00044E13" w:rsidRPr="008265E6" w:rsidRDefault="00044E13" w:rsidP="00B74FA0">
      <w:pPr>
        <w:spacing w:after="120" w:line="264" w:lineRule="auto"/>
        <w:ind w:firstLine="0"/>
        <w:jc w:val="both"/>
        <w:rPr>
          <w:rStyle w:val="titulo"/>
          <w:rFonts w:ascii="PT Serif" w:hAnsi="PT Serif"/>
          <w:sz w:val="20"/>
          <w:szCs w:val="20"/>
        </w:rPr>
      </w:pPr>
      <w:r w:rsidRPr="008265E6">
        <w:rPr>
          <w:rStyle w:val="titulo"/>
          <w:rFonts w:ascii="PT Serif" w:hAnsi="PT Serif" w:cs="PT Serif"/>
          <w:b w:val="0"/>
          <w:i w:val="0"/>
          <w:sz w:val="20"/>
          <w:szCs w:val="20"/>
        </w:rPr>
        <w:t xml:space="preserve">MÚRTULA LAFUENTE, Virginia, </w:t>
      </w:r>
      <w:r w:rsidRPr="008265E6">
        <w:rPr>
          <w:rStyle w:val="titulo"/>
          <w:rFonts w:ascii="PT Serif" w:hAnsi="PT Serif" w:cs="PT Serif"/>
          <w:b w:val="0"/>
          <w:i/>
          <w:iCs/>
          <w:sz w:val="20"/>
          <w:szCs w:val="20"/>
        </w:rPr>
        <w:t xml:space="preserve">Mujeres mayores víctimas de violencia de género y tutela civil de sus derechos fundamentales. </w:t>
      </w:r>
      <w:r w:rsidRPr="008265E6">
        <w:rPr>
          <w:rStyle w:val="titulo"/>
          <w:rFonts w:ascii="PT Serif" w:hAnsi="PT Serif" w:cs="PT Serif"/>
          <w:b w:val="0"/>
          <w:i w:val="0"/>
          <w:sz w:val="20"/>
          <w:szCs w:val="20"/>
        </w:rPr>
        <w:t>Tirant lo Blanch, España, 2024.</w:t>
      </w:r>
    </w:p>
    <w:p w14:paraId="11BC076E" w14:textId="77777777" w:rsidR="00044E13" w:rsidRPr="008A5173" w:rsidRDefault="00044E13" w:rsidP="00B74FA0">
      <w:pPr>
        <w:spacing w:after="0" w:line="240" w:lineRule="auto"/>
        <w:jc w:val="both"/>
        <w:rPr>
          <w:rFonts w:ascii="PT Serif" w:hAnsi="PT Serif" w:cs="Arial"/>
          <w:sz w:val="20"/>
          <w:szCs w:val="20"/>
        </w:rPr>
      </w:pPr>
    </w:p>
    <w:p w14:paraId="782F497A" w14:textId="77777777" w:rsidR="00044E13" w:rsidRPr="008A5173" w:rsidRDefault="00044E13" w:rsidP="00DF3094">
      <w:pPr>
        <w:pStyle w:val="Textdenotaapeudepgina"/>
        <w:spacing w:lineRule="auto" w:line="264" w:after="120"/>
        <w:ind w:firstLine="0"/>
        <w:jc w:val="both"/>
        <w:rPr>
          <w:smallCaps/>
        </w:rPr>
      </w:pPr>
      <w:r w:rsidRPr="008A5173">
        <w:rPr>
          <w:rStyle w:val="titulo"/>
          <w:rFonts w:cs="PT Serif" w:ascii="PT Serif" w:hAnsi="PT Serif"/>
          <w:b w:val="0"/>
          <w:i w:val="0"/>
          <w:sz w:val="20"/>
        </w:rPr>
        <w:t xml:space="preserve">NIEVA FENOLL, Jordi, </w:t>
      </w:r>
      <w:r w:rsidRPr="008A5173">
        <w:rPr>
          <w:rFonts w:ascii="PT Serif" w:hAnsi="PT Serif" w:cs="PT Serif"/>
          <w:b w:val="0"/>
          <w:i/>
          <w:sz w:val="20"/>
        </w:rPr>
        <w:t>La cosa juzgada</w:t>
      </w:r>
      <w:r w:rsidRPr="008A5173">
        <w:rPr>
          <w:rFonts w:ascii="PT Serif" w:hAnsi="PT Serif" w:cs="PT Serif"/>
          <w:b w:val="0"/>
          <w:i w:val="0"/>
          <w:sz w:val="20"/>
        </w:rPr>
        <w:t>. Atelier 2006.</w:t>
      </w:r>
    </w:p>
    <w:p w14:paraId="530CB6F0" w14:textId="77777777" w:rsidR="00B74FA0" w:rsidRPr="008A5173" w:rsidRDefault="00B74FA0" w:rsidP="00B74FA0">
      <w:pPr>
        <w:spacing w:after="0" w:line="240" w:lineRule="auto"/>
        <w:jc w:val="both"/>
        <w:rPr>
          <w:rFonts w:ascii="PT Serif" w:hAnsi="PT Serif" w:cs="Arial"/>
          <w:sz w:val="20"/>
          <w:szCs w:val="20"/>
        </w:rPr>
      </w:pPr>
    </w:p>
    <w:p w14:paraId="29D2F0C0"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ORTELLS RAMOS, Manuel, «Exclusividad jurisdiccional para la restricción de derechos fundamentales y ámbitos vedados a la injerencia jurisdiccional. Medidas restrictivas de derechos fundamentales». </w:t>
      </w:r>
      <w:r w:rsidRPr="008A5173">
        <w:rPr>
          <w:rFonts w:ascii="PT Serif" w:hAnsi="PT Serif" w:cs="PT Serif"/>
          <w:b w:val="0"/>
          <w:i/>
          <w:sz w:val="20"/>
        </w:rPr>
        <w:t xml:space="preserve">Cuadernos de Derecho Judicial </w:t>
      </w:r>
      <w:r w:rsidRPr="008A5173">
        <w:rPr>
          <w:rFonts w:ascii="PT Serif" w:hAnsi="PT Serif" w:cs="PT Serif"/>
          <w:b w:val="0"/>
          <w:i w:val="0"/>
          <w:sz w:val="20"/>
        </w:rPr>
        <w:t xml:space="preserve">1996.- </w:t>
      </w:r>
      <w:r w:rsidRPr="008A5173">
        <w:rPr>
          <w:rFonts w:ascii="PT Serif" w:hAnsi="PT Serif" w:cs="PT Serif"/>
          <w:b w:val="0"/>
          <w:i/>
          <w:sz w:val="20"/>
        </w:rPr>
        <w:t>et al</w:t>
      </w:r>
      <w:r w:rsidRPr="008A5173">
        <w:rPr>
          <w:rFonts w:ascii="PT Serif" w:hAnsi="PT Serif" w:cs="PT Serif"/>
          <w:b w:val="0"/>
          <w:i w:val="0"/>
          <w:sz w:val="20"/>
        </w:rPr>
        <w:t>, Introducción</w:t>
      </w:r>
      <w:r w:rsidRPr="008A5173">
        <w:rPr>
          <w:rFonts w:ascii="PT Serif" w:hAnsi="PT Serif" w:cs="PT Serif"/>
          <w:b w:val="0"/>
          <w:i/>
          <w:sz w:val="20"/>
        </w:rPr>
        <w:t xml:space="preserve"> al Derecho </w:t>
      </w:r>
      <w:r w:rsidRPr="008A5173">
        <w:rPr>
          <w:rFonts w:ascii="PT Serif" w:hAnsi="PT Serif" w:cs="PT Serif"/>
          <w:b w:val="0"/>
          <w:i w:val="0"/>
          <w:sz w:val="20"/>
        </w:rPr>
        <w:t>Procesal, 12 edición, Aranzadi, España, 2024.</w:t>
      </w:r>
    </w:p>
    <w:p w14:paraId="1C6ACE3E" w14:textId="77777777" w:rsidR="00B74FA0" w:rsidRPr="008A5173" w:rsidRDefault="00B74FA0" w:rsidP="00DF3094">
      <w:pPr>
        <w:pStyle w:val="Textdenotaapeudepgina"/>
      </w:pPr>
    </w:p>
    <w:p w14:paraId="4876E7DB" w14:textId="77777777" w:rsidR="00B74FA0" w:rsidRPr="008A5173" w:rsidRDefault="00B74FA0" w:rsidP="00DF3094">
      <w:pPr>
        <w:pStyle w:val="Textdenotaapeudepgina"/>
        <w:spacing w:lineRule="auto" w:line="264" w:after="120"/>
        <w:ind w:firstLine="0"/>
        <w:jc w:val="both"/>
        <w:rPr>
          <w:smallCaps/>
          <w:lang w:eastAsia="es-ES"/>
        </w:rPr>
      </w:pPr>
      <w:r w:rsidRPr="008A5173">
        <w:rPr>
          <w:rFonts w:ascii="PT Serif" w:hAnsi="PT Serif" w:cs="PT Serif"/>
          <w:b w:val="0"/>
          <w:i w:val="0"/>
          <w:sz w:val="20"/>
        </w:rPr>
        <w:t>PASCUAL RODRÍGUEZ, Esther, «</w:t>
      </w:r>
      <w:r w:rsidRPr="008A5173">
        <w:rPr>
          <w:rFonts w:ascii="PT Serif" w:hAnsi="PT Serif" w:cs="PT Serif"/>
          <w:b w:val="0"/>
          <w:bCs/>
          <w:i w:val="0"/>
          <w:sz w:val="20"/>
          <w:lang w:eastAsia="es-ES"/>
        </w:rPr>
        <w:t>Justicia restaurativa como nuevo paradigma de Justicia penal y penitenciaria</w:t>
      </w:r>
      <w:r w:rsidRPr="008A5173">
        <w:rPr>
          <w:rFonts w:ascii="PT Serif" w:hAnsi="PT Serif" w:cs="PT Serif"/>
          <w:b w:val="0"/>
          <w:i w:val="0"/>
          <w:sz w:val="20"/>
        </w:rPr>
        <w:t>»</w:t>
      </w:r>
      <w:r w:rsidRPr="008A5173">
        <w:rPr>
          <w:rFonts w:ascii="PT Serif" w:hAnsi="PT Serif" w:cs="PT Serif"/>
          <w:b w:val="0"/>
          <w:bCs/>
          <w:i w:val="0"/>
          <w:sz w:val="20"/>
          <w:lang w:eastAsia="es-ES"/>
        </w:rPr>
        <w:t xml:space="preserve">. </w:t>
      </w:r>
      <w:r w:rsidRPr="008A5173">
        <w:rPr>
          <w:rFonts w:ascii="PT Serif" w:hAnsi="PT Serif" w:cs="PT Serif"/>
          <w:b w:val="0"/>
          <w:bCs/>
          <w:i w:val="0"/>
          <w:iCs/>
          <w:sz w:val="20"/>
          <w:lang w:eastAsia="es-ES"/>
        </w:rPr>
        <w:t>Crítica</w:t>
      </w:r>
      <w:r w:rsidRPr="008A5173">
        <w:rPr>
          <w:rFonts w:ascii="PT Serif" w:hAnsi="PT Serif" w:cs="PT Serif"/>
          <w:b w:val="0"/>
          <w:bCs/>
          <w:i w:val="0"/>
          <w:sz w:val="20"/>
          <w:lang w:eastAsia="es-ES"/>
        </w:rPr>
        <w:t>, año 61, núm. 973, 2011 (</w:t>
      </w:r>
      <w:r w:rsidRPr="008A5173">
        <w:rPr>
          <w:rFonts w:ascii="PT Serif" w:hAnsi="PT Serif" w:cs="PT Serif"/>
          <w:b w:val="0"/>
          <w:i w:val="0"/>
          <w:sz w:val="20"/>
          <w:lang w:eastAsia="es-ES"/>
        </w:rPr>
        <w:t>Ejemplar dedicado a: La cárcel del siglo XXI: desmontando mitos y recreando alternativas).</w:t>
      </w:r>
    </w:p>
    <w:p w14:paraId="14A99367" w14:textId="77777777" w:rsidR="00B74FA0" w:rsidRPr="008A5173" w:rsidRDefault="00B74FA0" w:rsidP="00DF3094">
      <w:pPr>
        <w:pStyle w:val="Textdenotaapeudepgina"/>
        <w:rPr>
          <w:lang w:eastAsia="es-ES"/>
        </w:rPr>
      </w:pPr>
    </w:p>
    <w:p w14:paraId="48889DE6" w14:textId="6A4EADF6" w:rsidR="00B74FA0" w:rsidRPr="008A5173" w:rsidRDefault="00B74FA0" w:rsidP="00B74FA0">
      <w:pPr>
        <w:pStyle w:val="04Notas"/>
        <w:spacing w:lineRule="auto" w:line="264" w:after="120"/>
        <w:ind w:left="0" w:firstLine="0"/>
        <w:jc w:val="both"/>
        <w:rPr>
          <w:rFonts w:ascii="PT Serif" w:hAnsi="PT Serif" w:cs="Arial"/>
          <w:sz w:val="20"/>
        </w:rPr>
      </w:pPr>
      <w:r w:rsidRPr="008A5173">
        <w:rPr>
          <w:rFonts w:ascii="PT Serif" w:hAnsi="PT Serif" w:cs="PT Serif"/>
          <w:b w:val="0"/>
          <w:i w:val="0"/>
          <w:sz w:val="20"/>
          <w:lang w:eastAsia="en-US"/>
          <w:smallCaps w:val="1"/>
        </w:rPr>
        <w:t>Pérez Cepeda,</w:t>
      </w:r>
      <w:r w:rsidRPr="008A5173">
        <w:rPr>
          <w:rFonts w:ascii="PT Serif" w:hAnsi="PT Serif" w:cs="PT Serif"/>
          <w:b w:val="0"/>
          <w:i w:val="0"/>
          <w:sz w:val="20"/>
        </w:rPr>
        <w:t>Ana Isabel,</w:t>
      </w:r>
      <w:r w:rsidRPr="008A5173">
        <w:rPr>
          <w:rFonts w:ascii="PT Serif" w:hAnsi="PT Serif" w:cs="PT Serif"/>
          <w:b w:val="0"/>
          <w:i w:val="0"/>
          <w:sz w:val="20"/>
          <w:lang w:eastAsia="en-US"/>
        </w:rPr>
        <w:t xml:space="preserve"> </w:t>
      </w:r>
      <w:r w:rsidRPr="008A5173">
        <w:rPr>
          <w:rFonts w:ascii="PT Serif" w:hAnsi="PT Serif" w:cs="PT Serif"/>
          <w:b w:val="0"/>
          <w:i w:val="0"/>
          <w:sz w:val="20"/>
        </w:rPr>
        <w:t>«</w:t>
      </w:r>
      <w:r w:rsidRPr="008A5173">
        <w:rPr>
          <w:rFonts w:ascii="PT Serif" w:hAnsi="PT Serif" w:cs="PT Serif"/>
          <w:b w:val="0"/>
          <w:i w:val="0"/>
          <w:sz w:val="20"/>
        </w:rPr>
        <w:t>Ley Orgánica 1/2014, de 13 de marzo, ley de punto final del principio de justicia universal en España</w:t>
      </w:r>
      <w:r w:rsidRPr="008A5173">
        <w:rPr>
          <w:rFonts w:ascii="PT Serif" w:hAnsi="PT Serif" w:cs="PT Serif"/>
          <w:b w:val="0"/>
          <w:i w:val="0"/>
          <w:sz w:val="20"/>
        </w:rPr>
        <w:t>»</w:t>
      </w:r>
      <w:r w:rsidRPr="008A5173">
        <w:rPr>
          <w:rFonts w:ascii="PT Serif" w:hAnsi="PT Serif" w:cs="PT Serif"/>
          <w:b w:val="0"/>
          <w:i w:val="0"/>
          <w:sz w:val="20"/>
        </w:rPr>
        <w:t xml:space="preserve">. </w:t>
      </w:r>
      <w:r w:rsidRPr="008A5173">
        <w:rPr>
          <w:rStyle w:val="Cursivas"/>
          <w:rFonts w:ascii="PT Serif" w:hAnsi="PT Serif" w:cs="PT Serif"/>
          <w:b w:val="0"/>
          <w:i w:val="0"/>
          <w:sz w:val="20"/>
        </w:rPr>
        <w:t>Derecho penal para un Estado social y democrático de Derecho: estudios penales en homenaje al profesor Emilio Octavio de Toledo y Ubieto</w:t>
      </w:r>
      <w:r w:rsidRPr="008A5173">
        <w:rPr>
          <w:rFonts w:ascii="PT Serif" w:hAnsi="PT Serif" w:cs="PT Serif"/>
          <w:b w:val="0"/>
          <w:i w:val="0"/>
          <w:sz w:val="20"/>
        </w:rPr>
        <w:t xml:space="preserve"> (MAQUEDA ABREU, María Luisa</w:t>
      </w:r>
      <w:r w:rsidR="000C7134" w:rsidRPr="008A5173">
        <w:rPr>
          <w:rFonts w:ascii="PT Serif" w:hAnsi="PT Serif" w:cs="PT Serif"/>
          <w:b w:val="0"/>
          <w:i w:val="0"/>
          <w:sz w:val="20"/>
          <w:lang w:eastAsia="en-US"/>
        </w:rPr>
        <w:t>/</w:t>
      </w:r>
      <w:r w:rsidRPr="008A5173">
        <w:rPr>
          <w:rFonts w:ascii="PT Serif" w:hAnsi="PT Serif" w:cs="PT Serif"/>
          <w:b w:val="0"/>
          <w:i w:val="0"/>
          <w:sz w:val="20"/>
          <w:lang w:eastAsia="en-US"/>
          <w:smallCaps w:val="1"/>
        </w:rPr>
        <w:t>Martín Lorenzo,</w:t>
      </w:r>
      <w:r w:rsidRPr="008A5173">
        <w:rPr>
          <w:rFonts w:ascii="PT Serif" w:hAnsi="PT Serif" w:cs="PT Serif"/>
          <w:b w:val="0"/>
          <w:i w:val="0"/>
          <w:sz w:val="20"/>
        </w:rPr>
        <w:t>María</w:t>
      </w:r>
      <w:r w:rsidR="000C7134" w:rsidRPr="008A5173">
        <w:rPr>
          <w:rFonts w:ascii="PT Serif" w:hAnsi="PT Serif" w:cs="PT Serif"/>
          <w:b w:val="0"/>
          <w:i w:val="0"/>
          <w:sz w:val="20"/>
          <w:lang w:eastAsia="en-US"/>
        </w:rPr>
        <w:t>/</w:t>
      </w:r>
      <w:r w:rsidRPr="008A5173">
        <w:rPr>
          <w:rFonts w:ascii="PT Serif" w:hAnsi="PT Serif" w:cs="PT Serif"/>
          <w:b w:val="0"/>
          <w:i w:val="0"/>
          <w:sz w:val="20"/>
          <w:lang w:eastAsia="en-US"/>
          <w:smallCaps w:val="1"/>
        </w:rPr>
        <w:t>Ventura Püschel</w:t>
      </w:r>
      <w:r w:rsidRPr="008A5173">
        <w:rPr>
          <w:rFonts w:ascii="PT Serif" w:hAnsi="PT Serif" w:cs="PT Serif"/>
          <w:b w:val="0"/>
          <w:i w:val="0"/>
          <w:sz w:val="20"/>
        </w:rPr>
        <w:t>, Arturo</w:t>
      </w:r>
      <w:r w:rsidR="000C7134" w:rsidRPr="008A5173">
        <w:rPr>
          <w:rFonts w:ascii="PT Serif" w:hAnsi="PT Serif" w:cs="PT Serif"/>
          <w:b w:val="0"/>
          <w:i w:val="0"/>
          <w:sz w:val="20"/>
          <w:lang w:eastAsia="en-US"/>
        </w:rPr>
        <w:t>/</w:t>
      </w:r>
      <w:r w:rsidRPr="008A5173">
        <w:rPr>
          <w:rFonts w:ascii="PT Serif" w:hAnsi="PT Serif" w:cs="PT Serif"/>
          <w:b w:val="0"/>
          <w:i w:val="0"/>
          <w:sz w:val="20"/>
          <w:lang w:eastAsia="en-US"/>
          <w:smallCaps w:val="1"/>
        </w:rPr>
        <w:t>De Toledo</w:t>
      </w:r>
      <w:r w:rsidRPr="008A5173">
        <w:rPr>
          <w:rFonts w:ascii="PT Serif" w:hAnsi="PT Serif" w:cs="PT Serif"/>
          <w:b w:val="0"/>
          <w:i w:val="0"/>
          <w:sz w:val="20"/>
        </w:rPr>
        <w:t xml:space="preserve">, Emilio Octavio coords.), 2016.- “El principio de justicia universal tras la reforma LO 1/2014”. </w:t>
      </w:r>
      <w:r w:rsidRPr="008A5173">
        <w:rPr>
          <w:rStyle w:val="Cursivas"/>
          <w:rFonts w:ascii="PT Serif" w:hAnsi="PT Serif" w:cs="PT Serif"/>
          <w:b w:val="0"/>
          <w:i w:val="0"/>
          <w:sz w:val="20"/>
        </w:rPr>
        <w:t>Una década de reformas penales: análisis de diez años de cambios en el Código Penal (2010-2020)</w:t>
      </w:r>
      <w:r w:rsidRPr="008A5173">
        <w:rPr>
          <w:rFonts w:ascii="PT Serif" w:hAnsi="PT Serif" w:cs="PT Serif"/>
          <w:b w:val="0"/>
          <w:i w:val="0"/>
          <w:sz w:val="20"/>
        </w:rPr>
        <w:t xml:space="preserve"> BUSTOS RUBIO, M</w:t>
      </w:r>
      <w:r w:rsidR="00BB17ED" w:rsidRPr="008A5173">
        <w:rPr>
          <w:rFonts w:ascii="PT Serif" w:hAnsi="PT Serif" w:cs="PT Serif"/>
          <w:b w:val="0"/>
          <w:i w:val="0"/>
          <w:sz w:val="20"/>
        </w:rPr>
        <w:t>iguel/</w:t>
      </w:r>
      <w:r w:rsidRPr="008A5173">
        <w:rPr>
          <w:rFonts w:ascii="PT Serif" w:hAnsi="PT Serif" w:cs="PT Serif"/>
          <w:b w:val="0"/>
          <w:i w:val="0"/>
          <w:sz w:val="20"/>
          <w:smallCaps w:val="1"/>
        </w:rPr>
        <w:t>Abadías</w:t>
      </w:r>
      <w:r w:rsidRPr="008A5173">
        <w:rPr>
          <w:rFonts w:ascii="PT Serif" w:hAnsi="PT Serif" w:cs="PT Serif"/>
          <w:b w:val="0"/>
          <w:i w:val="0"/>
          <w:sz w:val="20"/>
          <w:lang w:eastAsia="en-US"/>
          <w:smallCaps w:val="1"/>
        </w:rPr>
        <w:t>Selma</w:t>
      </w:r>
      <w:r w:rsidRPr="008A5173">
        <w:rPr>
          <w:rFonts w:ascii="PT Serif" w:hAnsi="PT Serif" w:cs="PT Serif"/>
          <w:b w:val="0"/>
          <w:i w:val="0"/>
          <w:sz w:val="20"/>
        </w:rPr>
        <w:t>, A</w:t>
      </w:r>
      <w:r w:rsidR="00BB17ED" w:rsidRPr="008A5173">
        <w:rPr>
          <w:rFonts w:ascii="PT Serif" w:hAnsi="PT Serif" w:cs="PT Serif"/>
          <w:b w:val="0"/>
          <w:i w:val="0"/>
          <w:sz w:val="20"/>
        </w:rPr>
        <w:t>lfredo/</w:t>
      </w:r>
      <w:r w:rsidRPr="008A5173">
        <w:rPr>
          <w:rFonts w:ascii="PT Serif" w:hAnsi="PT Serif" w:cs="PT Serif"/>
          <w:b w:val="0"/>
          <w:i w:val="0"/>
          <w:sz w:val="20"/>
        </w:rPr>
        <w:t xml:space="preserve"> </w:t>
      </w:r>
      <w:r w:rsidRPr="008A5173">
        <w:rPr>
          <w:rFonts w:ascii="PT Serif" w:hAnsi="PT Serif" w:cs="PT Serif"/>
          <w:b w:val="0"/>
          <w:i w:val="0"/>
          <w:sz w:val="20"/>
          <w:lang w:eastAsia="en-US"/>
          <w:smallCaps w:val="1"/>
        </w:rPr>
        <w:t>Del Moral García</w:t>
      </w:r>
      <w:r w:rsidRPr="008A5173">
        <w:rPr>
          <w:rFonts w:ascii="PT Serif" w:hAnsi="PT Serif" w:cs="PT Serif"/>
          <w:b w:val="0"/>
          <w:i w:val="0"/>
          <w:sz w:val="20"/>
        </w:rPr>
        <w:t>, A</w:t>
      </w:r>
      <w:r w:rsidR="00BB17ED" w:rsidRPr="008A5173">
        <w:rPr>
          <w:rFonts w:ascii="PT Serif" w:hAnsi="PT Serif" w:cs="PT Serif"/>
          <w:b w:val="0"/>
          <w:i w:val="0"/>
          <w:sz w:val="20"/>
        </w:rPr>
        <w:t>ntonio</w:t>
      </w:r>
      <w:r w:rsidRPr="008A5173">
        <w:rPr>
          <w:rFonts w:ascii="PT Serif" w:hAnsi="PT Serif" w:cs="PT Serif"/>
          <w:b w:val="0"/>
          <w:i w:val="0"/>
          <w:sz w:val="20"/>
        </w:rPr>
        <w:t>, dirs., 2020.</w:t>
      </w:r>
    </w:p>
    <w:p w14:paraId="037F04F9" w14:textId="77777777" w:rsidR="007173BB" w:rsidRPr="008A5173" w:rsidRDefault="007173BB" w:rsidP="00B74FA0">
      <w:pPr>
        <w:pStyle w:val="04Notas"/>
        <w:ind w:left="0" w:firstLine="0"/>
        <w:rPr>
          <w:rFonts w:ascii="PT Serif" w:hAnsi="PT Serif" w:cs="Arial"/>
          <w:sz w:val="20"/>
        </w:rPr>
      </w:pPr>
    </w:p>
    <w:p w14:paraId="6A4DB40E" w14:textId="18E453C1" w:rsidR="007173BB" w:rsidRPr="008265E6" w:rsidRDefault="007173BB" w:rsidP="00B74FA0">
      <w:pPr>
        <w:pStyle w:val="04Notas"/>
        <w:spacing w:lineRule="auto" w:line="264" w:after="120"/>
        <w:ind w:left="0" w:firstLine="0"/>
        <w:jc w:val="both"/>
        <w:rPr>
          <w:rFonts w:ascii="PT Serif" w:hAnsi="PT Serif" w:cs="Arial"/>
          <w:sz w:val="20"/>
        </w:rPr>
      </w:pPr>
      <w:r w:rsidRPr="008265E6">
        <w:rPr>
          <w:rFonts w:ascii="PT Serif" w:hAnsi="PT Serif" w:cs="PT Serif"/>
          <w:b w:val="0"/>
          <w:i w:val="0"/>
          <w:sz w:val="20"/>
        </w:rPr>
        <w:t>P</w:t>
      </w:r>
      <w:r w:rsidR="000C32F1" w:rsidRPr="008265E6">
        <w:rPr>
          <w:rFonts w:ascii="PT Serif" w:hAnsi="PT Serif" w:cs="PT Serif"/>
          <w:b w:val="0"/>
          <w:i w:val="0"/>
          <w:sz w:val="20"/>
          <w:smallCaps w:val="1"/>
        </w:rPr>
        <w:t>Into,</w:t>
      </w:r>
      <w:r w:rsidRPr="008265E6">
        <w:rPr>
          <w:rFonts w:ascii="PT Serif" w:hAnsi="PT Serif" w:cs="PT Serif"/>
          <w:b w:val="0"/>
          <w:i w:val="0"/>
          <w:sz w:val="20"/>
        </w:rPr>
        <w:t xml:space="preserve"> M</w:t>
      </w:r>
      <w:r w:rsidR="000C32F1" w:rsidRPr="008265E6">
        <w:rPr>
          <w:rFonts w:ascii="PT Serif" w:hAnsi="PT Serif" w:cs="PT Serif"/>
          <w:b w:val="0"/>
          <w:i w:val="0"/>
          <w:sz w:val="20"/>
        </w:rPr>
        <w:t>ónica,</w:t>
      </w:r>
      <w:r w:rsidRPr="008265E6">
        <w:rPr>
          <w:rFonts w:ascii="PT Serif" w:hAnsi="PT Serif" w:cs="PT Serif"/>
          <w:b w:val="0"/>
          <w:i w:val="0"/>
          <w:sz w:val="20"/>
        </w:rPr>
        <w:t xml:space="preserve"> </w:t>
      </w:r>
      <w:r w:rsidR="000C32F1" w:rsidRPr="008265E6">
        <w:rPr>
          <w:rFonts w:ascii="PT Serif" w:hAnsi="PT Serif" w:cs="PT Serif"/>
          <w:b w:val="0"/>
          <w:i w:val="0"/>
          <w:sz w:val="20"/>
        </w:rPr>
        <w:t>«</w:t>
      </w:r>
      <w:r w:rsidRPr="008265E6">
        <w:rPr>
          <w:rFonts w:ascii="PT Serif" w:hAnsi="PT Serif" w:cs="PT Serif"/>
          <w:b w:val="0"/>
          <w:i w:val="0"/>
          <w:sz w:val="20"/>
        </w:rPr>
        <w:t>El principio pro homine. Criterios de hermenéutica y pautas para la regulación de los derechos humanos</w:t>
      </w:r>
      <w:r w:rsidR="000C32F1" w:rsidRPr="008265E6">
        <w:rPr>
          <w:rFonts w:ascii="PT Serif" w:hAnsi="PT Serif" w:cs="PT Serif"/>
          <w:b w:val="0"/>
          <w:i w:val="0"/>
          <w:sz w:val="20"/>
        </w:rPr>
        <w:t>»,</w:t>
      </w:r>
      <w:r w:rsidRPr="008265E6">
        <w:rPr>
          <w:rFonts w:ascii="PT Serif" w:hAnsi="PT Serif" w:cs="PT Serif"/>
          <w:b w:val="0"/>
          <w:i w:val="0"/>
          <w:sz w:val="20"/>
        </w:rPr>
        <w:t xml:space="preserve"> </w:t>
      </w:r>
      <w:r w:rsidRPr="008265E6">
        <w:rPr>
          <w:rFonts w:ascii="PT Serif" w:hAnsi="PT Serif" w:cs="PT Serif"/>
          <w:b w:val="0"/>
          <w:i/>
          <w:sz w:val="20"/>
        </w:rPr>
        <w:t>La aplicación de los tratados sobre derechos humanos por los tribunales locales</w:t>
      </w:r>
      <w:r w:rsidRPr="008265E6">
        <w:rPr>
          <w:rFonts w:ascii="PT Serif" w:hAnsi="PT Serif" w:cs="PT Serif"/>
          <w:b w:val="0"/>
          <w:i w:val="0"/>
          <w:sz w:val="20"/>
        </w:rPr>
        <w:t>, 1997.</w:t>
      </w:r>
    </w:p>
    <w:p w14:paraId="3C1E6555" w14:textId="77777777" w:rsidR="00B74FA0" w:rsidRPr="008A5173" w:rsidRDefault="00B74FA0" w:rsidP="00B74FA0">
      <w:pPr>
        <w:pStyle w:val="04Notas"/>
        <w:ind w:left="0" w:firstLine="0"/>
        <w:rPr>
          <w:rFonts w:ascii="PT Serif" w:hAnsi="PT Serif" w:cs="Arial"/>
          <w:sz w:val="20"/>
        </w:rPr>
      </w:pPr>
    </w:p>
    <w:p w14:paraId="7522537B" w14:textId="076A6D72"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SÁENZ DE SANTAMARÍA, Paz Andrés, «Artículo 96». </w:t>
      </w:r>
      <w:r w:rsidRPr="008A5173">
        <w:rPr>
          <w:rStyle w:val="Cursivas"/>
          <w:rFonts w:cs="PT Serif" w:ascii="PT Serif" w:hAnsi="PT Serif"/>
          <w:b w:val="0"/>
          <w:i w:val="0"/>
          <w:sz w:val="20"/>
        </w:rPr>
        <w:t>Comentarios a la Constitución española</w:t>
      </w:r>
      <w:r w:rsidRPr="008A5173">
        <w:rPr>
          <w:rFonts w:ascii="PT Serif" w:hAnsi="PT Serif" w:cs="PT Serif"/>
          <w:b w:val="0"/>
          <w:i w:val="0"/>
          <w:sz w:val="20"/>
        </w:rPr>
        <w:t xml:space="preserve"> (PÉREZ MANZANO, Mercedes</w:t>
      </w:r>
      <w:r w:rsidR="00906922" w:rsidRPr="008A5173">
        <w:rPr>
          <w:rFonts w:ascii="PT Serif" w:hAnsi="PT Serif" w:cs="PT Serif"/>
          <w:b w:val="0"/>
          <w:i w:val="0"/>
          <w:sz w:val="20"/>
        </w:rPr>
        <w:t>/</w:t>
      </w:r>
      <w:r w:rsidRPr="008A5173">
        <w:rPr>
          <w:rFonts w:ascii="PT Serif" w:hAnsi="PT Serif" w:cs="PT Serif"/>
          <w:b w:val="0"/>
          <w:i w:val="0"/>
          <w:sz w:val="20"/>
        </w:rPr>
        <w:t>BORRAJO INIESTA, Ignacio (coords.); RODRÍGUEZ-PIÑERO Y BRAVO FERRER, Miguel</w:t>
      </w:r>
      <w:r w:rsidR="00906922" w:rsidRPr="008A5173">
        <w:rPr>
          <w:rFonts w:ascii="PT Serif" w:hAnsi="PT Serif" w:cs="PT Serif"/>
          <w:b w:val="0"/>
          <w:i w:val="0"/>
          <w:sz w:val="20"/>
        </w:rPr>
        <w:t>/</w:t>
      </w:r>
      <w:r w:rsidRPr="008A5173">
        <w:rPr>
          <w:rFonts w:ascii="PT Serif" w:hAnsi="PT Serif" w:cs="PT Serif"/>
          <w:b w:val="0"/>
          <w:i w:val="0"/>
          <w:sz w:val="20"/>
        </w:rPr>
        <w:t>CASAS BAAMONDE, María Emilia, dirs.), vol. 2, tomo II, 2018.</w:t>
      </w:r>
    </w:p>
    <w:p w14:paraId="2A5871E7" w14:textId="77777777" w:rsidR="00B74FA0" w:rsidRPr="008A5173" w:rsidRDefault="00B74FA0" w:rsidP="00DF3094">
      <w:pPr>
        <w:pStyle w:val="Textdenotaapeudepgina"/>
      </w:pPr>
    </w:p>
    <w:p w14:paraId="1E1662BE" w14:textId="77777777" w:rsidR="00B74FA0" w:rsidRPr="008A5173" w:rsidRDefault="00B74FA0" w:rsidP="00DF3094">
      <w:pPr>
        <w:pStyle w:val="Textdenotaapeudepgina"/>
        <w:spacing w:lineRule="auto" w:line="264" w:after="120"/>
        <w:ind w:firstLine="0"/>
        <w:jc w:val="both"/>
        <w:rPr>
          <w:smallCaps/>
        </w:rPr>
      </w:pPr>
      <w:r w:rsidRPr="008A5173">
        <w:rPr>
          <w:rFonts w:ascii="PT Serif" w:hAnsi="PT Serif" w:cs="PT Serif"/>
          <w:b w:val="0"/>
          <w:i w:val="0"/>
          <w:sz w:val="20"/>
        </w:rPr>
        <w:t xml:space="preserve">SERRA DOMÍNGUEZ, Manuel, «Jurisdicción». </w:t>
      </w:r>
      <w:r w:rsidRPr="008A5173">
        <w:rPr>
          <w:rFonts w:ascii="PT Serif" w:hAnsi="PT Serif" w:cs="PT Serif"/>
          <w:b w:val="0"/>
          <w:i/>
          <w:sz w:val="20"/>
        </w:rPr>
        <w:t>Estudios de Derecho Procesal</w:t>
      </w:r>
      <w:r w:rsidRPr="008A5173">
        <w:rPr>
          <w:rFonts w:ascii="PT Serif" w:hAnsi="PT Serif" w:cs="PT Serif"/>
          <w:b w:val="0"/>
          <w:i w:val="0"/>
          <w:sz w:val="20"/>
        </w:rPr>
        <w:t>. Ariel, España, 1969.</w:t>
      </w:r>
    </w:p>
    <w:p w14:paraId="50ED148B" w14:textId="77777777" w:rsidR="00044E13" w:rsidRPr="008A5173" w:rsidRDefault="00044E13" w:rsidP="00DF3094">
      <w:pPr>
        <w:pStyle w:val="Textdenotaapeudepgina"/>
      </w:pPr>
    </w:p>
    <w:p w14:paraId="5D7EC82C" w14:textId="4FADA976" w:rsidR="00044E13" w:rsidRPr="00DF3094" w:rsidRDefault="00044E13" w:rsidP="00DF3094">
      <w:pPr>
        <w:pStyle w:val="Textdenotaapeudepgina"/>
        <w:spacing w:lineRule="auto" w:line="264" w:after="120"/>
        <w:ind w:firstLine="0"/>
        <w:jc w:val="both"/>
      </w:pPr>
      <w:r w:rsidRPr="00DF3094">
        <w:rPr>
          <w:rFonts w:ascii="PT Serif" w:hAnsi="PT Serif" w:cs="PT Serif"/>
          <w:b w:val="0"/>
          <w:i w:val="0"/>
          <w:sz w:val="20"/>
        </w:rPr>
        <w:t xml:space="preserve">SOLÉ RESINA, Judith, </w:t>
      </w:r>
      <w:r w:rsidR="00DF3094" w:rsidRPr="00DF3094">
        <w:rPr>
          <w:rFonts w:ascii="PT Serif" w:hAnsi="PT Serif" w:cs="PT Serif"/>
          <w:b w:val="0"/>
          <w:i w:val="0"/>
          <w:sz w:val="20"/>
        </w:rPr>
        <w:t>«</w:t>
      </w:r>
      <w:r w:rsidRPr="00DF3094">
        <w:rPr>
          <w:rFonts w:ascii="PT Serif" w:hAnsi="PT Serif" w:cs="PT Serif"/>
          <w:b w:val="0"/>
          <w:i w:val="0"/>
          <w:sz w:val="20"/>
        </w:rPr>
        <w:t>El papel del Derecho Civil en lucha contra la violencia de género</w:t>
      </w:r>
      <w:r w:rsidR="00DF3094" w:rsidRPr="00DF3094">
        <w:rPr>
          <w:rFonts w:ascii="PT Serif" w:hAnsi="PT Serif" w:cs="PT Serif"/>
          <w:b w:val="0"/>
          <w:i w:val="0"/>
          <w:sz w:val="20"/>
        </w:rPr>
        <w:t>»</w:t>
      </w:r>
      <w:r w:rsidR="00DF3094" w:rsidRPr="00DF3094">
        <w:rPr>
          <w:rFonts w:ascii="PT Serif" w:hAnsi="PT Serif" w:cs="PT Serif"/>
          <w:b w:val="0"/>
          <w:i w:val="0"/>
          <w:smallCaps/>
          <w:sz w:val="20"/>
        </w:rPr>
        <w:t xml:space="preserve">, </w:t>
      </w:r>
      <w:r w:rsidRPr="00DF3094">
        <w:rPr>
          <w:rFonts w:ascii="PT Serif" w:hAnsi="PT Serif" w:cs="PT Serif"/>
          <w:b w:val="0"/>
          <w:i/>
          <w:iCs/>
          <w:sz w:val="20"/>
        </w:rPr>
        <w:t>Libro Homenaje al Profesor Manuel Amorós Guardiola</w:t>
      </w:r>
      <w:r w:rsidRPr="00DF3094">
        <w:rPr>
          <w:rFonts w:ascii="PT Serif" w:hAnsi="PT Serif" w:cs="PT Serif"/>
          <w:b w:val="0"/>
          <w:i w:val="0"/>
          <w:sz w:val="20"/>
        </w:rPr>
        <w:t>, vol. 1, 2006, pp</w:t>
      </w:r>
      <w:r w:rsidR="00BB0720" w:rsidRPr="00DF3094">
        <w:rPr>
          <w:rFonts w:ascii="PT Serif" w:hAnsi="PT Serif" w:cs="PT Serif"/>
          <w:b w:val="0"/>
          <w:i w:val="0"/>
          <w:smallCaps/>
          <w:sz w:val="20"/>
        </w:rPr>
        <w:t>s</w:t>
      </w:r>
      <w:r w:rsidRPr="00DF3094">
        <w:rPr>
          <w:rFonts w:ascii="PT Serif" w:hAnsi="PT Serif" w:cs="PT Serif"/>
          <w:b w:val="0"/>
          <w:i w:val="0"/>
          <w:sz w:val="20"/>
        </w:rPr>
        <w:t xml:space="preserve">. 1797-1816. </w:t>
      </w:r>
    </w:p>
    <w:p w14:paraId="5BD6D2DC" w14:textId="77777777" w:rsidR="00B74FA0" w:rsidRPr="008A5173" w:rsidRDefault="00B74FA0" w:rsidP="00DF3094">
      <w:pPr>
        <w:pStyle w:val="Textdenotaapeudepgina"/>
      </w:pPr>
    </w:p>
    <w:p w14:paraId="5B6438D5" w14:textId="77777777" w:rsidR="00B74FA0" w:rsidRPr="008A5173" w:rsidRDefault="00B74FA0" w:rsidP="00B74FA0">
      <w:pPr>
        <w:spacing w:after="120" w:line="264" w:lineRule="auto"/>
        <w:ind w:firstLine="0"/>
        <w:jc w:val="both"/>
        <w:rPr>
          <w:rStyle w:val="subtitulo"/>
          <w:rFonts w:ascii="PT Serif" w:hAnsi="PT Serif" w:cs="Arial"/>
          <w:sz w:val="20"/>
          <w:szCs w:val="20"/>
        </w:rPr>
      </w:pPr>
      <w:r w:rsidRPr="008A5173">
        <w:rPr>
          <w:rFonts w:ascii="PT Serif" w:hAnsi="PT Serif" w:cs="PT Serif"/>
          <w:b w:val="0"/>
          <w:i w:val="0"/>
          <w:sz w:val="20"/>
          <w:szCs w:val="20"/>
          <w:smallCaps w:val="1"/>
        </w:rPr>
        <w:t>Tapia Fernández</w:t>
      </w:r>
      <w:r w:rsidRPr="008A5173">
        <w:rPr>
          <w:rFonts w:ascii="PT Serif" w:hAnsi="PT Serif" w:cs="PT Serif"/>
          <w:b w:val="0"/>
          <w:i w:val="0"/>
          <w:sz w:val="20"/>
          <w:szCs w:val="20"/>
        </w:rPr>
        <w:t xml:space="preserve">, Isabel, </w:t>
      </w:r>
      <w:r w:rsidRPr="008A5173">
        <w:rPr>
          <w:rStyle w:val="titulo"/>
          <w:rFonts w:ascii="PT Serif" w:hAnsi="PT Serif" w:cs="PT Serif"/>
          <w:b w:val="0"/>
          <w:i/>
          <w:sz w:val="20"/>
          <w:szCs w:val="20"/>
        </w:rPr>
        <w:t>El objeto del proceso</w:t>
      </w:r>
      <w:r w:rsidRPr="008A5173">
        <w:rPr>
          <w:rStyle w:val="separador"/>
          <w:rFonts w:ascii="PT Serif" w:hAnsi="PT Serif" w:cs="PT Serif"/>
          <w:b w:val="0"/>
          <w:i/>
          <w:sz w:val="20"/>
          <w:szCs w:val="20"/>
        </w:rPr>
        <w:t xml:space="preserve">: </w:t>
      </w:r>
      <w:r w:rsidRPr="008A5173">
        <w:rPr>
          <w:rStyle w:val="subtitulo"/>
          <w:rFonts w:ascii="PT Serif" w:hAnsi="PT Serif" w:cs="PT Serif"/>
          <w:b w:val="0"/>
          <w:i/>
          <w:sz w:val="20"/>
          <w:szCs w:val="20"/>
        </w:rPr>
        <w:t>alegaciones, sentencia, cosa juzgada</w:t>
      </w:r>
      <w:r w:rsidRPr="008A5173">
        <w:rPr>
          <w:rStyle w:val="subtitulo"/>
          <w:rFonts w:ascii="PT Serif" w:hAnsi="PT Serif" w:cs="PT Serif"/>
          <w:b w:val="0"/>
          <w:i w:val="0"/>
          <w:sz w:val="20"/>
          <w:szCs w:val="20"/>
        </w:rPr>
        <w:t>. La Ley-Actualidad 2000.</w:t>
      </w:r>
    </w:p>
    <w:p w14:paraId="6C7DF444" w14:textId="77777777" w:rsidR="007173BB" w:rsidRPr="008A5173" w:rsidRDefault="007173BB" w:rsidP="00B74FA0">
      <w:pPr>
        <w:spacing w:after="0" w:line="240" w:lineRule="auto"/>
        <w:jc w:val="both"/>
        <w:rPr>
          <w:rStyle w:val="subtitulo"/>
          <w:rFonts w:ascii="PT Serif" w:hAnsi="PT Serif" w:cs="Arial"/>
          <w:sz w:val="20"/>
          <w:szCs w:val="20"/>
        </w:rPr>
      </w:pPr>
    </w:p>
    <w:p w14:paraId="277A718E" w14:textId="5819F980" w:rsidR="007173BB" w:rsidRPr="00BB0720" w:rsidRDefault="007173BB" w:rsidP="00DF3094">
      <w:pPr>
        <w:pStyle w:val="Textdenotaapeudepgina"/>
        <w:spacing w:lineRule="auto" w:line="264" w:after="120"/>
        <w:ind w:firstLine="0"/>
        <w:jc w:val="both"/>
      </w:pPr>
      <w:r w:rsidRPr="00BB0720">
        <w:rPr>
          <w:rFonts w:ascii="PT Serif" w:hAnsi="PT Serif" w:cs="PT Serif"/>
          <w:b w:val="0"/>
          <w:i w:val="0"/>
          <w:sz w:val="20"/>
        </w:rPr>
        <w:t xml:space="preserve">Tolnay, I. C., </w:t>
      </w:r>
      <w:r w:rsidR="00BB0720" w:rsidRPr="00F62690">
        <w:rPr>
          <w:rFonts w:ascii="PT Serif" w:hAnsi="PT Serif" w:cs="PT Serif"/>
          <w:b w:val="0"/>
          <w:i w:val="0"/>
          <w:sz w:val="20"/>
        </w:rPr>
        <w:t>«</w:t>
      </w:r>
      <w:r w:rsidRPr="00BB0720">
        <w:rPr>
          <w:rFonts w:ascii="PT Serif" w:hAnsi="PT Serif" w:cs="PT Serif"/>
          <w:b w:val="0"/>
          <w:i w:val="0"/>
          <w:sz w:val="20"/>
        </w:rPr>
        <w:t>La interpretación restrictiva de la ley penal en la Argentina de hoy. La relevancia de los principios de legalidad, pro homine y de ultima ratio del derecho penal</w:t>
      </w:r>
      <w:r w:rsidR="00155903" w:rsidRPr="00F363E0">
        <w:rPr>
          <w:rFonts w:ascii="PT Serif" w:hAnsi="PT Serif" w:cs="PT Serif"/>
          <w:b w:val="0"/>
          <w:i w:val="0"/>
          <w:sz w:val="20"/>
        </w:rPr>
        <w:t>»</w:t>
      </w:r>
      <w:r w:rsidR="00155903">
        <w:rPr>
          <w:rFonts w:ascii="PT Serif" w:hAnsi="PT Serif" w:cs="PT Serif"/>
          <w:b w:val="0"/>
          <w:i w:val="0"/>
          <w:sz w:val="20"/>
        </w:rPr>
        <w:t xml:space="preserve">, </w:t>
      </w:r>
      <w:r w:rsidR="00155903" w:rsidRPr="00155903">
        <w:rPr>
          <w:rFonts w:ascii="PT Serif" w:hAnsi="PT Serif" w:cs="PT Serif"/>
          <w:b w:val="0"/>
          <w:i/>
          <w:iCs/>
          <w:sz w:val="20"/>
        </w:rPr>
        <w:t>R</w:t>
      </w:r>
      <w:r w:rsidRPr="00155903">
        <w:rPr>
          <w:rFonts w:ascii="PT Serif" w:hAnsi="PT Serif" w:cs="PT Serif"/>
          <w:b w:val="0"/>
          <w:i/>
          <w:iCs/>
          <w:sz w:val="20"/>
        </w:rPr>
        <w:t>evista de derecho penal y criminología</w:t>
      </w:r>
      <w:r w:rsidRPr="00BB0720">
        <w:rPr>
          <w:rFonts w:ascii="PT Serif" w:hAnsi="PT Serif" w:cs="PT Serif"/>
          <w:b w:val="0"/>
          <w:i w:val="0"/>
          <w:sz w:val="20"/>
        </w:rPr>
        <w:t xml:space="preserve">, núm. 10, 2014, págs. 9-22. </w:t>
      </w:r>
    </w:p>
    <w:p w14:paraId="1A436B5C" w14:textId="77777777" w:rsidR="007173BB" w:rsidRPr="008A5173" w:rsidRDefault="007173BB" w:rsidP="00B74FA0">
      <w:pPr>
        <w:spacing w:after="0" w:line="240" w:lineRule="auto"/>
        <w:jc w:val="both"/>
        <w:rPr>
          <w:rStyle w:val="subtitulo"/>
          <w:rFonts w:ascii="PT Serif" w:hAnsi="PT Serif" w:cs="Arial"/>
          <w:sz w:val="20"/>
          <w:szCs w:val="20"/>
        </w:rPr>
      </w:pPr>
    </w:p>
    <w:p w14:paraId="28F1A12D" w14:textId="29E9C573" w:rsidR="00044E13" w:rsidRPr="00F62690" w:rsidRDefault="00044E13" w:rsidP="00B74FA0">
      <w:pPr>
        <w:spacing w:after="120" w:line="264" w:lineRule="auto"/>
        <w:ind w:firstLine="0"/>
        <w:jc w:val="both"/>
      </w:pPr>
      <w:r w:rsidRPr="00F62690">
        <w:rPr>
          <w:rFonts w:ascii="PT Serif" w:hAnsi="PT Serif" w:cs="PT Serif"/>
          <w:b w:val="0"/>
          <w:i w:val="0"/>
          <w:sz w:val="20"/>
          <w:szCs w:val="20"/>
        </w:rPr>
        <w:t xml:space="preserve">TONNA PRUENCE, Lucía, </w:t>
      </w:r>
      <w:r w:rsidR="00BB0720" w:rsidRPr="00F62690">
        <w:rPr>
          <w:rFonts w:ascii="PT Serif" w:hAnsi="PT Serif" w:cs="PT Serif"/>
          <w:b w:val="0"/>
          <w:i w:val="0"/>
          <w:sz w:val="20"/>
          <w:szCs w:val="20"/>
        </w:rPr>
        <w:t>«</w:t>
      </w:r>
      <w:r w:rsidRPr="00F62690">
        <w:rPr>
          <w:rFonts w:ascii="PT Serif" w:hAnsi="PT Serif" w:cs="PT Serif"/>
          <w:b w:val="0"/>
          <w:i w:val="0"/>
          <w:sz w:val="20"/>
          <w:szCs w:val="20"/>
        </w:rPr>
        <w:t>La responsabilidad civil derivada de la violencia basada en género</w:t>
      </w:r>
      <w:r w:rsidR="00BB0720" w:rsidRPr="00F363E0">
        <w:rPr>
          <w:rFonts w:ascii="PT Serif" w:hAnsi="PT Serif" w:cs="PT Serif"/>
          <w:b w:val="0"/>
          <w:i w:val="0"/>
          <w:sz w:val="20"/>
          <w:szCs w:val="20"/>
        </w:rPr>
        <w:t>»</w:t>
      </w:r>
      <w:r w:rsidR="00BB0720">
        <w:rPr>
          <w:rFonts w:ascii="PT Serif" w:hAnsi="PT Serif" w:cs="PT Serif"/>
          <w:b w:val="0"/>
          <w:i w:val="0"/>
          <w:sz w:val="20"/>
          <w:szCs w:val="20"/>
        </w:rPr>
        <w:t>,</w:t>
      </w:r>
      <w:r w:rsidRPr="00F62690">
        <w:rPr>
          <w:rFonts w:ascii="PT Serif" w:hAnsi="PT Serif" w:cs="PT Serif"/>
          <w:b w:val="0"/>
          <w:i w:val="0"/>
          <w:sz w:val="20"/>
          <w:szCs w:val="20"/>
        </w:rPr>
        <w:t xml:space="preserve"> </w:t>
      </w:r>
      <w:r w:rsidRPr="00BB0720">
        <w:rPr>
          <w:rFonts w:ascii="PT Serif" w:hAnsi="PT Serif" w:cs="PT Serif"/>
          <w:b w:val="0"/>
          <w:i/>
          <w:iCs/>
          <w:sz w:val="20"/>
          <w:szCs w:val="20"/>
        </w:rPr>
        <w:t>Revista critica de Derecho Privado</w:t>
      </w:r>
      <w:r w:rsidRPr="00F62690">
        <w:rPr>
          <w:rFonts w:ascii="PT Serif" w:hAnsi="PT Serif" w:cs="PT Serif"/>
          <w:b w:val="0"/>
          <w:i w:val="0"/>
          <w:sz w:val="20"/>
          <w:szCs w:val="20"/>
        </w:rPr>
        <w:t>, núm. 17, 2020, pp. 1115-1125.</w:t>
      </w:r>
    </w:p>
    <w:p w14:paraId="2EE52756" w14:textId="77777777" w:rsidR="00B74FA0" w:rsidRPr="008A5173" w:rsidRDefault="00B74FA0" w:rsidP="00B74FA0">
      <w:pPr>
        <w:spacing w:after="0" w:line="240" w:lineRule="auto"/>
        <w:jc w:val="both"/>
        <w:rPr>
          <w:rStyle w:val="subtitulo"/>
          <w:rFonts w:ascii="PT Serif" w:hAnsi="PT Serif" w:cs="Arial"/>
          <w:sz w:val="20"/>
          <w:szCs w:val="20"/>
        </w:rPr>
      </w:pPr>
    </w:p>
    <w:p w14:paraId="2822CD8F" w14:textId="77777777" w:rsidR="00B74FA0" w:rsidRPr="008A5173" w:rsidRDefault="00B74FA0" w:rsidP="00B74FA0">
      <w:pPr>
        <w:pStyle w:val="04Notas"/>
        <w:spacing w:lineRule="auto" w:line="264" w:after="120"/>
        <w:ind w:left="0" w:firstLine="0"/>
        <w:jc w:val="both"/>
        <w:rPr>
          <w:rFonts w:ascii="PT Serif" w:hAnsi="PT Serif" w:cs="Arial"/>
          <w:sz w:val="20"/>
        </w:rPr>
      </w:pPr>
      <w:r w:rsidRPr="008A5173">
        <w:rPr>
          <w:rFonts w:ascii="PT Serif" w:hAnsi="PT Serif" w:cs="PT Serif"/>
          <w:b w:val="0"/>
          <w:i w:val="0"/>
          <w:sz w:val="20"/>
          <w:lang w:eastAsia="en-US"/>
        </w:rPr>
        <w:t>VALLEJO PEÑA, C</w:t>
      </w:r>
      <w:r w:rsidRPr="008A5173">
        <w:rPr>
          <w:rFonts w:ascii="PT Serif" w:hAnsi="PT Serif" w:cs="PT Serif"/>
          <w:b w:val="0"/>
          <w:i w:val="0"/>
          <w:sz w:val="20"/>
        </w:rPr>
        <w:t xml:space="preserve">armen, </w:t>
      </w:r>
      <w:r w:rsidRPr="008A5173">
        <w:rPr>
          <w:rStyle w:val="Cursivas"/>
          <w:rFonts w:ascii="PT Serif" w:hAnsi="PT Serif" w:cs="PT Serif"/>
          <w:b w:val="0"/>
          <w:i w:val="0"/>
          <w:sz w:val="20"/>
        </w:rPr>
        <w:t>El estado de la jurisdicción universal en el Derecho internacional y en el Derecho interno español</w:t>
      </w:r>
      <w:r w:rsidRPr="008A5173">
        <w:rPr>
          <w:rFonts w:ascii="PT Serif" w:hAnsi="PT Serif" w:cs="PT Serif"/>
          <w:b w:val="0"/>
          <w:i w:val="0"/>
          <w:sz w:val="20"/>
        </w:rPr>
        <w:t xml:space="preserve">. Tirant lo Blanch, España, 2016. </w:t>
      </w:r>
    </w:p>
    <w:p w14:paraId="5A34AD15" w14:textId="77777777" w:rsidR="00B74FA0" w:rsidRPr="008A5173" w:rsidRDefault="00B74FA0" w:rsidP="00B74FA0">
      <w:pPr>
        <w:pStyle w:val="04Notas"/>
        <w:ind w:left="0" w:firstLine="0"/>
        <w:rPr>
          <w:rFonts w:ascii="PT Serif" w:hAnsi="PT Serif" w:cs="Arial"/>
          <w:sz w:val="20"/>
        </w:rPr>
      </w:pPr>
    </w:p>
    <w:p w14:paraId="1129D92E" w14:textId="422CD3DC" w:rsidR="0029096C" w:rsidRPr="008A5173" w:rsidRDefault="00B74FA0" w:rsidP="00151CAC">
      <w:pPr>
        <w:pStyle w:val="04Notas"/>
        <w:spacing w:lineRule="auto" w:line="264" w:after="120"/>
        <w:ind w:left="0" w:firstLine="0"/>
        <w:jc w:val="both"/>
        <w:rPr>
          <w:rFonts w:ascii="PT Serif" w:hAnsi="PT Serif" w:cs="Arial"/>
          <w:sz w:val="20"/>
        </w:rPr>
      </w:pPr>
      <w:r w:rsidRPr="008A5173">
        <w:rPr>
          <w:rFonts w:ascii="PT Serif" w:hAnsi="PT Serif" w:cs="PT Serif"/>
          <w:b w:val="0"/>
          <w:i w:val="0"/>
          <w:sz w:val="20"/>
          <w:lang w:eastAsia="en-US"/>
          <w:smallCaps w:val="1"/>
        </w:rPr>
        <w:t>Vanossi,</w:t>
      </w:r>
      <w:r w:rsidRPr="008A5173">
        <w:rPr>
          <w:rFonts w:ascii="PT Serif" w:hAnsi="PT Serif" w:cs="PT Serif"/>
          <w:b w:val="0"/>
          <w:i w:val="0"/>
          <w:sz w:val="20"/>
        </w:rPr>
        <w:t>Jorge Reinaldo</w:t>
      </w:r>
      <w:r w:rsidRPr="008A5173">
        <w:rPr>
          <w:rFonts w:ascii="PT Serif" w:hAnsi="PT Serif" w:cs="PT Serif"/>
          <w:b w:val="0"/>
          <w:i w:val="0"/>
          <w:sz w:val="20"/>
          <w:lang w:eastAsia="en-US"/>
        </w:rPr>
        <w:t xml:space="preserve">. </w:t>
      </w:r>
      <w:r w:rsidRPr="008A5173">
        <w:rPr>
          <w:rFonts w:ascii="PT Serif" w:hAnsi="PT Serif" w:cs="PT Serif"/>
          <w:b w:val="0"/>
          <w:i w:val="0"/>
          <w:sz w:val="20"/>
        </w:rPr>
        <w:t>«</w:t>
      </w:r>
      <w:r w:rsidRPr="008A5173">
        <w:rPr>
          <w:rStyle w:val="titulo"/>
          <w:rFonts w:ascii="PT Serif" w:hAnsi="PT Serif" w:cs="PT Serif"/>
          <w:b w:val="0"/>
          <w:i w:val="0"/>
          <w:sz w:val="20"/>
        </w:rPr>
        <w:t xml:space="preserve">La revisión de los abusos de derecho en el derecho público y la justiciabilidad de las </w:t>
      </w:r>
      <w:r w:rsidRPr="008A5173">
        <w:rPr>
          <w:rFonts w:ascii="PT Serif" w:hAnsi="PT Serif" w:cs="PT Serif"/>
          <w:b w:val="0"/>
          <w:i w:val="0"/>
          <w:sz w:val="20"/>
          <w:lang w:eastAsia="en-US"/>
        </w:rPr>
        <w:t>desviaciones</w:t>
      </w:r>
      <w:r w:rsidRPr="008A5173">
        <w:rPr>
          <w:rStyle w:val="titulo"/>
          <w:rFonts w:ascii="PT Serif" w:hAnsi="PT Serif" w:cs="PT Serif"/>
          <w:b w:val="0"/>
          <w:i w:val="0"/>
          <w:sz w:val="20"/>
        </w:rPr>
        <w:t xml:space="preserve"> de poder (homenaje al artículo 106 de la Constitución española)</w:t>
      </w:r>
      <w:r w:rsidRPr="008A5173">
        <w:rPr>
          <w:rFonts w:ascii="PT Serif" w:hAnsi="PT Serif" w:cs="PT Serif"/>
          <w:b w:val="0"/>
          <w:i w:val="0"/>
          <w:sz w:val="20"/>
        </w:rPr>
        <w:t>»</w:t>
      </w:r>
      <w:r w:rsidRPr="008A5173">
        <w:rPr>
          <w:rStyle w:val="titulo"/>
          <w:rFonts w:ascii="PT Serif" w:hAnsi="PT Serif" w:cs="PT Serif"/>
          <w:b w:val="0"/>
          <w:i w:val="0"/>
          <w:sz w:val="20"/>
        </w:rPr>
        <w:t xml:space="preserve">. </w:t>
      </w:r>
      <w:hyperlink r:id="rId59" w:history="1">
        <w:r w:rsidRPr="008A5173">
          <w:rPr>
            <w:rStyle w:val="Enlla"/>
            <w:rFonts w:ascii="PT Serif" w:hAnsi="PT Serif" w:cs="Arial"/>
            <w:i/>
            <w:sz w:val="20"/>
          </w:rPr>
          <w:t>La Constitución de 1978 y el constitucionalismo iberoamericano</w:t>
        </w:r>
      </w:hyperlink>
      <w:r w:rsidRPr="008A5173">
        <w:rPr>
          <w:rFonts w:ascii="PT Serif" w:hAnsi="PT Serif" w:cs="PT Serif"/>
          <w:b w:val="0"/>
          <w:i w:val="0"/>
          <w:sz w:val="20"/>
        </w:rPr>
        <w:t xml:space="preserve"> (coord. FERNÁNDEZ SEGADO, Francisco), 2003.</w:t>
      </w:r>
    </w:p>
    <w:p w14:paraId="4021384E" w14:textId="77777777" w:rsidR="00DC0955" w:rsidRPr="008A5173" w:rsidRDefault="00DC0955" w:rsidP="00151CAC">
      <w:pPr>
        <w:pStyle w:val="04Notas"/>
        <w:ind w:left="0" w:firstLine="0"/>
        <w:rPr>
          <w:rFonts w:ascii="PT Serif" w:hAnsi="PT Serif" w:cs="Arial"/>
          <w:sz w:val="20"/>
        </w:rPr>
      </w:pPr>
    </w:p>
    <w:p w14:paraId="6CE8412E" w14:textId="30BAEDF2" w:rsidR="000351DA" w:rsidRPr="00F62690" w:rsidRDefault="00044E13" w:rsidP="00151CAC">
      <w:pPr>
        <w:pStyle w:val="04Notas"/>
        <w:spacing w:lineRule="auto" w:line="264" w:after="120"/>
        <w:ind w:left="0" w:firstLine="0"/>
        <w:jc w:val="both"/>
        <w:rPr>
          <w:rFonts w:ascii="PT Serif" w:eastAsiaTheme="minorHAnsi" w:hAnsi="PT Serif" w:cstheme="minorBidi"/>
          <w:sz w:val="20"/>
          <w:lang w:eastAsia="en-US"/>
        </w:rPr>
      </w:pPr>
      <w:r w:rsidRPr="00F62690">
        <w:rPr>
          <w:rFonts w:ascii="PT Serif" w:hAnsi="PT Serif" w:cs="PT Serif"/>
          <w:b w:val="0"/>
          <w:i w:val="0"/>
          <w:sz w:val="20"/>
          <w:lang w:eastAsia="en-US"/>
        </w:rPr>
        <w:t xml:space="preserve">VELA SÁNCHEZ, Antonio, </w:t>
      </w:r>
      <w:r w:rsidRPr="00F62690">
        <w:rPr>
          <w:rFonts w:ascii="PT Serif" w:hAnsi="PT Serif" w:cs="PT Serif"/>
          <w:b w:val="0"/>
          <w:i/>
          <w:iCs/>
          <w:sz w:val="20"/>
          <w:lang w:eastAsia="en-US"/>
        </w:rPr>
        <w:t>Las consecuencias civiles de la violencia de género. Estudio doctrinal y jurisprudencial</w:t>
      </w:r>
      <w:r w:rsidR="00F62690">
        <w:rPr>
          <w:rFonts w:ascii="PT Serif" w:hAnsi="PT Serif" w:cs="PT Serif"/>
          <w:b w:val="0"/>
          <w:i/>
          <w:iCs/>
          <w:sz w:val="20"/>
          <w:lang w:eastAsia="en-US"/>
        </w:rPr>
        <w:t xml:space="preserve">, </w:t>
      </w:r>
      <w:r w:rsidRPr="00F62690">
        <w:rPr>
          <w:rFonts w:ascii="PT Serif" w:hAnsi="PT Serif" w:cs="PT Serif"/>
          <w:b w:val="0"/>
          <w:i w:val="0"/>
          <w:sz w:val="20"/>
          <w:lang w:eastAsia="en-US"/>
        </w:rPr>
        <w:t>Bosch, España, 2022.</w:t>
      </w:r>
    </w:p>
    <w:p w14:paraId="7F392B4E" w14:textId="77777777" w:rsidR="00044E13" w:rsidRPr="008A5173" w:rsidRDefault="00044E13" w:rsidP="00151CAC">
      <w:pPr>
        <w:pStyle w:val="04Notas"/>
        <w:ind w:left="0" w:firstLine="0"/>
        <w:rPr>
          <w:rFonts w:ascii="PT Serif" w:hAnsi="PT Serif" w:cs="Arial"/>
          <w:sz w:val="20"/>
        </w:rPr>
      </w:pPr>
    </w:p>
    <w:p w14:paraId="01AD641C" w14:textId="6D862497" w:rsidR="00286576" w:rsidRPr="008A5173" w:rsidRDefault="005D0E82" w:rsidP="00DF3094">
      <w:pPr>
        <w:pStyle w:val="Textdenotaapeudepgina"/>
        <w:spacing w:lineRule="auto" w:line="264" w:after="120"/>
        <w:ind w:firstLine="0"/>
        <w:jc w:val="both"/>
        <w:rPr>
          <w:color w:val="EE0000"/>
        </w:rPr>
      </w:pPr>
      <w:r w:rsidRPr="00780510">
        <w:rPr>
          <w:rFonts w:ascii="PT Serif" w:hAnsi="PT Serif" w:cs="PT Serif"/>
          <w:b w:val="0"/>
          <w:i w:val="0"/>
          <w:sz w:val="20"/>
          <w:smallCaps w:val="1"/>
        </w:rPr>
        <w:t>Vélez,</w:t>
      </w:r>
      <w:r w:rsidR="00780510" w:rsidRPr="00780510">
        <w:rPr>
          <w:rFonts w:ascii="PT Serif" w:hAnsi="PT Serif" w:cs="PT Serif"/>
          <w:b w:val="0"/>
          <w:i w:val="0"/>
          <w:sz w:val="20"/>
        </w:rPr>
        <w:t xml:space="preserve"> José Miguel,</w:t>
      </w:r>
      <w:r w:rsidRPr="00780510">
        <w:rPr>
          <w:rFonts w:ascii="PT Serif" w:hAnsi="PT Serif" w:cs="PT Serif"/>
          <w:b w:val="0"/>
          <w:i w:val="0"/>
          <w:sz w:val="20"/>
        </w:rPr>
        <w:t xml:space="preserve"> </w:t>
      </w:r>
      <w:r w:rsidR="00F363E0" w:rsidRPr="00780510">
        <w:rPr>
          <w:rFonts w:ascii="PT Serif" w:hAnsi="PT Serif" w:cs="PT Serif"/>
          <w:b w:val="0"/>
          <w:i w:val="0"/>
          <w:sz w:val="20"/>
        </w:rPr>
        <w:t>«</w:t>
      </w:r>
      <w:r w:rsidR="00286576" w:rsidRPr="00780510">
        <w:rPr>
          <w:rFonts w:ascii="PT Serif" w:hAnsi="PT Serif" w:cs="PT Serif"/>
          <w:b w:val="0"/>
          <w:i w:val="0"/>
          <w:sz w:val="20"/>
        </w:rPr>
        <w:t>El control concreto de constitucionalidad</w:t>
      </w:r>
      <w:r w:rsidR="00EC2A7F" w:rsidRPr="00780510">
        <w:rPr>
          <w:rFonts w:ascii="PT Serif" w:hAnsi="PT Serif" w:cs="PT Serif"/>
          <w:b w:val="0"/>
          <w:i w:val="0"/>
          <w:sz w:val="20"/>
        </w:rPr>
        <w:t>»</w:t>
      </w:r>
      <w:r w:rsidR="000E605A" w:rsidRPr="00780510">
        <w:rPr>
          <w:rFonts w:ascii="PT Serif" w:hAnsi="PT Serif" w:cs="PT Serif"/>
          <w:b w:val="0"/>
          <w:i w:val="0"/>
          <w:sz w:val="20"/>
        </w:rPr>
        <w:t xml:space="preserve">, </w:t>
      </w:r>
      <w:r w:rsidR="00286576" w:rsidRPr="00780510">
        <w:rPr>
          <w:rFonts w:ascii="PT Serif" w:hAnsi="PT Serif" w:cs="PT Serif"/>
          <w:b w:val="0"/>
          <w:i/>
          <w:iCs/>
          <w:sz w:val="20"/>
        </w:rPr>
        <w:t>Revista Jurídica de Derecho Público,</w:t>
      </w:r>
      <w:r w:rsidR="00286576" w:rsidRPr="00780510">
        <w:rPr>
          <w:rFonts w:ascii="PT Serif" w:hAnsi="PT Serif" w:cs="PT Serif"/>
          <w:b w:val="0"/>
          <w:i w:val="0"/>
          <w:sz w:val="20"/>
        </w:rPr>
        <w:t xml:space="preserve"> tomo 5, Universidad Católica de Santiago de Guayaquil</w:t>
      </w:r>
      <w:r w:rsidR="00286576" w:rsidRPr="000E605A">
        <w:rPr>
          <w:rFonts w:ascii="PT Serif" w:hAnsi="PT Serif" w:cs="PT Serif"/>
          <w:b w:val="0"/>
          <w:i w:val="0"/>
          <w:sz w:val="20"/>
        </w:rPr>
        <w:t xml:space="preserve">, </w:t>
      </w:r>
      <w:r w:rsidR="000E605A">
        <w:rPr>
          <w:rFonts w:ascii="PT Serif" w:hAnsi="PT Serif" w:cs="PT Serif"/>
          <w:b w:val="0"/>
          <w:i w:val="0"/>
          <w:sz w:val="20"/>
        </w:rPr>
        <w:t xml:space="preserve">2011, </w:t>
      </w:r>
      <w:r w:rsidR="00286576" w:rsidRPr="000E605A">
        <w:rPr>
          <w:rFonts w:ascii="PT Serif" w:hAnsi="PT Serif" w:cs="PT Serif"/>
          <w:b w:val="0"/>
          <w:i w:val="0"/>
          <w:sz w:val="20"/>
        </w:rPr>
        <w:t>pp</w:t>
      </w:r>
      <w:r w:rsidR="00780510">
        <w:rPr>
          <w:rFonts w:ascii="PT Serif" w:hAnsi="PT Serif" w:cs="PT Serif"/>
          <w:b w:val="0"/>
          <w:i w:val="0"/>
          <w:sz w:val="20"/>
        </w:rPr>
        <w:t>s</w:t>
      </w:r>
      <w:r w:rsidR="00286576" w:rsidRPr="000E605A">
        <w:rPr>
          <w:rFonts w:ascii="PT Serif" w:hAnsi="PT Serif" w:cs="PT Serif"/>
          <w:b w:val="0"/>
          <w:i w:val="0"/>
          <w:sz w:val="20"/>
        </w:rPr>
        <w:t>. 19-75.</w:t>
      </w:r>
    </w:p>
    <w:p w14:paraId="5ACE2B77" w14:textId="77777777" w:rsidR="000351DA" w:rsidRPr="008A5173" w:rsidRDefault="000351DA" w:rsidP="00151CAC">
      <w:pPr>
        <w:pStyle w:val="04Notas"/>
        <w:ind w:left="0" w:firstLine="0"/>
        <w:rPr>
          <w:rFonts w:ascii="PT Serif" w:hAnsi="PT Serif" w:cs="Arial"/>
          <w:sz w:val="20"/>
        </w:rPr>
      </w:pPr>
    </w:p>
    <w:p w14:paraId="1C8E1A87" w14:textId="77777777" w:rsidR="000351DA" w:rsidRPr="008A5173" w:rsidRDefault="000351DA" w:rsidP="00151CAC">
      <w:pPr>
        <w:pStyle w:val="04Notas"/>
        <w:ind w:left="0" w:firstLine="0"/>
        <w:rPr>
          <w:rFonts w:ascii="PT Serif" w:hAnsi="PT Serif" w:cs="Arial"/>
          <w:sz w:val="20"/>
        </w:rPr>
      </w:pPr>
    </w:p>
    <w:p w14:paraId="39C81D4C" w14:textId="77777777" w:rsidR="002A7278" w:rsidRPr="008A5173" w:rsidRDefault="002A7278" w:rsidP="00151CAC">
      <w:pPr>
        <w:pStyle w:val="04Notas"/>
        <w:ind w:left="0" w:firstLine="0"/>
        <w:rPr>
          <w:rFonts w:ascii="PT Serif" w:hAnsi="PT Serif" w:cs="Arial"/>
          <w:sz w:val="20"/>
        </w:rPr>
      </w:pPr>
    </w:p>
    <w:p w14:paraId="5C753A98" w14:textId="77777777" w:rsidR="00044E13" w:rsidRPr="008A5173" w:rsidRDefault="00044E13" w:rsidP="00151CAC">
      <w:pPr>
        <w:pStyle w:val="04Notas"/>
        <w:ind w:left="0" w:firstLine="0"/>
        <w:rPr>
          <w:rFonts w:ascii="PT Serif" w:hAnsi="PT Serif" w:cs="Arial"/>
          <w:sz w:val="20"/>
        </w:rPr>
      </w:pPr>
    </w:p>
    <w:p w14:paraId="2AC8D7DD" w14:textId="77777777" w:rsidR="00044E13" w:rsidRPr="008A5173" w:rsidRDefault="00044E13" w:rsidP="00151CAC">
      <w:pPr>
        <w:pStyle w:val="04Notas"/>
        <w:ind w:left="0" w:firstLine="0"/>
        <w:rPr>
          <w:rFonts w:ascii="PT Serif" w:hAnsi="PT Serif" w:cs="Arial"/>
          <w:sz w:val="20"/>
        </w:rPr>
      </w:pPr>
    </w:p>
    <w:p w14:paraId="1B8E7CB9" w14:textId="77777777" w:rsidR="00DE5069" w:rsidRPr="008A5173" w:rsidRDefault="00DE5069" w:rsidP="00151CAC">
      <w:pPr>
        <w:pStyle w:val="04Notas"/>
        <w:ind w:left="0" w:firstLine="0"/>
        <w:rPr>
          <w:rFonts w:ascii="PT Serif" w:hAnsi="PT Serif" w:cs="Arial"/>
          <w:sz w:val="20"/>
        </w:rPr>
      </w:pPr>
    </w:p>
    <w:sectPr>
      <w:headerReference w:type="even" r:id="rId19"/>
      <w:headerReference w:type="default" r:id="rId20"/>
      <w:headerReference w:type="first" r:id="rId21"/>
      <w:footerReference w:type="default" r:id="rId30"/>
      <w:footnotePr>
        <w:numFmt w:val="decimal"/>
      </w:footnotePr>
      <w:type w:val="nextPage"/>
      <w:pgSz w:w="11906" w:h="16838"/>
      <w:pgMar w:left="1701" w:right="1701" w:gutter="0" w:header="709" w:top="1418" w:footer="567" w:bottom="1418"/>
      <w:pgNumType w:fmt="decimal" w:start="1"/>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Book Antiqua">
    <w:charset w:val="01"/>
    <w:family w:val="roman"/>
    <w:pitch w:val="variable"/>
  </w:font>
  <w:font w:name="Liberation Sans">
    <w:altName w:val="Arial"/>
    <w:charset w:val="01"/>
    <w:family w:val="swiss"/>
    <w:pitch w:val="variable"/>
  </w:font>
  <w:font w:name="Open Sans">
    <w:charset w:val="01"/>
    <w:family w:val="swiss"/>
    <w:pitch w:val="variable"/>
  </w:font>
  <w:font w:name="PT Serif">
    <w:charset w:val="01"/>
    <w:family w:val="roman"/>
    <w:pitch w:val="variable"/>
  </w:font>
  <w:font w:name="Symbol">
    <w:charset w:val="0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cs="Open Sans"/>
        <w:sz w:val="20"/>
        <w:szCs w:val="20"/>
      </w:rPr>
      <w:fldChar w:fldCharType="begin"/>
    </w:r>
    <w:r>
      <w:rPr>
        <w:rFonts w:ascii="Open Sans" w:hAnsi="Open Sans" w:cs="Open Sans"/>
        <w:sz w:val="20"/>
        <w:szCs w:val="20"/>
      </w:rPr>
      <w:instrText xml:space="preserve"> PAGE </w:instrText>
    </w:r>
    <w:r>
      <w:rPr>
        <w:rFonts w:ascii="Open Sans" w:hAnsi="Open Sans" w:cs="Open Sans"/>
        <w:sz w:val="20"/>
        <w:szCs w:val="20"/>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p w14:paraId="0875B882" w14:textId="77777777" w:rsidR="007F1B88" w:rsidRPr="003F174C" w:rsidRDefault="007F1B88" w:rsidP="00DF3094">
      <w:pPr>
        <w:pStyle w:val="FootnoteText"/>
        <w:rPr>
          <w:smallCaps/>
          <w:sz w:val="17"/>
          <w:szCs w:val="17"/>
        </w:rPr>
        <w:spacing w:line="212" w:lineRule="auto" w:before="0" w:after="100"/>
      </w:pPr>
      <w:r w:rsidRPr="003F174C">
        <w:rPr>
          <w:rFonts w:ascii="PT Serif" w:hAnsi="PT Serif" w:cs="PT Serif"/>
          <w:sz w:val="17"/>
          <w:szCs w:val="17"/>
        </w:rPr>
        <w:sym w:font="Symbol" w:char="F02A"/>
      </w:r>
      <w:r w:rsidRPr="003F174C">
        <w:rPr>
          <w:rFonts w:ascii="PT Serif" w:hAnsi="PT Serif" w:cs="PT Serif"/>
          <w:sz w:val="17"/>
          <w:szCs w:val="17"/>
        </w:rPr>
        <w:t xml:space="preserve"> Luis Andrés Cucarella Galiana: </w:t>
      </w:r>
      <w:hyperlink r:id="rId1" w:history="1">
        <w:r w:rsidRPr="003F174C">
          <w:rPr>
            <w:rFonts w:ascii="PT Serif" w:hAnsi="PT Serif" w:cs="PT Serif"/>
            <w:sz w:val="17"/>
            <w:szCs w:val="17"/>
          </w:rPr>
          <w:t>Luis.a.cucarella@uv.es</w:t>
        </w:r>
      </w:hyperlink>
      <w:r w:rsidRPr="003F174C">
        <w:rPr>
          <w:rFonts w:ascii="PT Serif" w:hAnsi="PT Serif" w:cs="PT Serif"/>
          <w:sz w:val="17"/>
          <w:szCs w:val="17"/>
        </w:rPr>
        <w:t xml:space="preserve"> Trabajo realizado en el marco del Proyecto de Investigación “Aportes del Derecho procesal a la consecución y consolidación de la cultura de paz” (PID 2024-160932NB -I00). IP (1) Agustín-Jesús Pérez-Cruz Martín. IP (2): Marcos Loredo Colunga. </w:t>
      </w:r>
    </w:p>
  </w:footnote>
  <w:footnote w:id="2">
    <w:p w14:paraId="7E20A7E8" w14:textId="77777777" w:rsidR="00D707EC" w:rsidRPr="003F174C" w:rsidRDefault="00D707EC" w:rsidP="00DF3094">
      <w:pPr>
        <w:pStyle w:val="FootnoteText"/>
        <w:rPr>
          <w:smallCaps/>
          <w:sz w:val="17"/>
          <w:szCs w:val="17"/>
        </w:rPr>
        <w:spacing w:line="212" w:lineRule="auto" w:before="0" w:after="100"/>
      </w:pPr>
      <w:r w:rsidRPr="003F174C">
        <w:rPr>
          <w:i w:val="0"/>
          <w:iCs w:val="0"/>
          <w:vertAlign w:val="superscript"/>
        </w:rPr>
        <w:footnoteRef/>
      </w:r>
      <w:r w:rsidRPr="003F174C">
        <w:rPr>
          <w:rFonts w:ascii="PT Serif" w:hAnsi="PT Serif" w:cs="PT Serif"/>
          <w:sz w:val="17"/>
          <w:szCs w:val="17"/>
        </w:rPr>
        <w:t xml:space="preserve"> Sobre la Jurisdicción en general, ORTELLS RAMOS, et al, </w:t>
      </w:r>
      <w:r w:rsidRPr="003F174C">
        <w:rPr>
          <w:rFonts w:ascii="PT Serif" w:hAnsi="PT Serif" w:cs="PT Serif"/>
          <w:i/>
          <w:iCs/>
          <w:sz w:val="17"/>
          <w:szCs w:val="17"/>
        </w:rPr>
        <w:t>Introducción al Derecho Procesal</w:t>
      </w:r>
      <w:r w:rsidRPr="003F174C">
        <w:rPr>
          <w:rFonts w:ascii="PT Serif" w:hAnsi="PT Serif" w:cs="PT Serif"/>
          <w:sz w:val="17"/>
          <w:szCs w:val="17"/>
        </w:rPr>
        <w:t xml:space="preserve">, op. cit., pp. 47-52. Sobre las diferentes teorías, SERRA DOMÍNGUEZ, “Jurisdicción”. </w:t>
      </w:r>
      <w:r w:rsidRPr="003F174C">
        <w:rPr>
          <w:rFonts w:ascii="PT Serif" w:hAnsi="PT Serif" w:cs="PT Serif"/>
          <w:i/>
          <w:iCs/>
          <w:sz w:val="17"/>
          <w:szCs w:val="17"/>
        </w:rPr>
        <w:t>Estudios de Derecho Procesal</w:t>
      </w:r>
      <w:r w:rsidRPr="003F174C">
        <w:rPr>
          <w:rFonts w:ascii="PT Serif" w:hAnsi="PT Serif" w:cs="PT Serif"/>
          <w:sz w:val="17"/>
          <w:szCs w:val="17"/>
        </w:rPr>
        <w:t xml:space="preserve">. Ariel, España, 1969, pp. 23-51; ALCALÁ ZAMORA Y CASTILLO, «Notas relativas al concepto de Jurisdicción». </w:t>
      </w:r>
      <w:r w:rsidRPr="003F174C">
        <w:rPr>
          <w:rFonts w:ascii="PT Serif" w:hAnsi="PT Serif" w:cs="PT Serif"/>
          <w:i/>
          <w:iCs/>
          <w:sz w:val="17"/>
          <w:szCs w:val="17"/>
        </w:rPr>
        <w:t>Estudios de teoría general</w:t>
      </w:r>
      <w:r w:rsidRPr="003F174C">
        <w:rPr>
          <w:rFonts w:ascii="PT Serif" w:hAnsi="PT Serif" w:cs="PT Serif"/>
          <w:sz w:val="17"/>
          <w:szCs w:val="17"/>
        </w:rPr>
        <w:t>. México 1974, pp. 29-60.</w:t>
      </w:r>
    </w:p>
  </w:footnote>
  <w:footnote w:id="3">
    <w:p w14:paraId="45D65E7A" w14:textId="77777777" w:rsidR="00D707EC" w:rsidRPr="003F174C" w:rsidRDefault="00D707EC" w:rsidP="00DF3094">
      <w:pPr>
        <w:pStyle w:val="FootnoteText"/>
        <w:rPr>
          <w:smallCaps/>
          <w:sz w:val="17"/>
          <w:szCs w:val="17"/>
        </w:rPr>
        <w:spacing w:line="212" w:lineRule="auto" w:before="0" w:after="100"/>
      </w:pPr>
      <w:r w:rsidRPr="003F174C">
        <w:rPr>
          <w:i w:val="0"/>
          <w:iCs w:val="0"/>
          <w:vertAlign w:val="superscript"/>
        </w:rPr>
        <w:footnoteRef/>
      </w:r>
      <w:r w:rsidRPr="003F174C">
        <w:rPr>
          <w:rFonts w:ascii="PT Serif" w:hAnsi="PT Serif" w:cs="PT Serif"/>
          <w:sz w:val="17"/>
          <w:szCs w:val="17"/>
        </w:rPr>
        <w:t xml:space="preserve"> Sobre estas teorías, SERRA DOMÍNGUEZ, op. cit., p. 24.</w:t>
      </w:r>
    </w:p>
  </w:footnote>
  <w:footnote w:id="4">
    <w:p w14:paraId="4BF33713" w14:textId="77777777" w:rsidR="00D707EC" w:rsidRPr="003F174C" w:rsidRDefault="00D707EC" w:rsidP="00DF3094">
      <w:pPr>
        <w:pStyle w:val="FootnoteText"/>
        <w:rPr>
          <w:sz w:val="17"/>
          <w:szCs w:val="17"/>
        </w:rPr>
        <w:spacing w:line="212" w:lineRule="auto" w:before="0" w:after="100"/>
      </w:pPr>
      <w:r w:rsidRPr="003F174C">
        <w:rPr>
          <w:i w:val="0"/>
          <w:iCs w:val="0"/>
          <w:vertAlign w:val="superscript"/>
        </w:rPr>
        <w:footnoteRef/>
      </w:r>
      <w:r w:rsidRPr="003F174C">
        <w:rPr>
          <w:rFonts w:ascii="PT Serif" w:hAnsi="PT Serif" w:cs="PT Serif"/>
          <w:sz w:val="17"/>
          <w:szCs w:val="17"/>
        </w:rPr>
        <w:t xml:space="preserve"> Véase sobre esta teoría y su crítica, Ibídem, pp. 24-28</w:t>
      </w:r>
    </w:p>
  </w:footnote>
  <w:footnote w:id="5">
    <w:p w14:paraId="4C94BC0D" w14:textId="77777777" w:rsidR="00D707EC" w:rsidRPr="003F174C" w:rsidRDefault="00D707EC" w:rsidP="00DF3094">
      <w:pPr>
        <w:pStyle w:val="FootnoteText"/>
        <w:rPr>
          <w:sz w:val="17"/>
          <w:szCs w:val="17"/>
        </w:rPr>
        <w:spacing w:line="212" w:lineRule="auto" w:before="0" w:after="100"/>
      </w:pPr>
      <w:r w:rsidRPr="003F174C">
        <w:rPr>
          <w:i w:val="0"/>
          <w:iCs w:val="0"/>
          <w:vertAlign w:val="superscript"/>
        </w:rPr>
        <w:footnoteRef/>
      </w:r>
      <w:r w:rsidRPr="003F174C">
        <w:rPr>
          <w:rFonts w:ascii="PT Serif" w:hAnsi="PT Serif" w:cs="PT Serif"/>
          <w:sz w:val="17"/>
          <w:szCs w:val="17"/>
        </w:rPr>
        <w:t xml:space="preserve"> Sobre las distintas orientaciones de las teorías objetivas, Ibídem pp. 28-43.</w:t>
      </w:r>
    </w:p>
  </w:footnote>
  <w:footnote w:id="6">
    <w:p w14:paraId="00FF2B00" w14:textId="77777777" w:rsidR="00D707EC" w:rsidRPr="00DC626B" w:rsidRDefault="00D707EC" w:rsidP="00DF3094">
      <w:pPr>
        <w:pStyle w:val="FootnoteText"/>
        <w:rPr>
          <w:smallCaps/>
          <w:sz w:val="17"/>
          <w:szCs w:val="17"/>
        </w:rPr>
        <w:spacing w:line="212" w:lineRule="auto" w:before="0" w:after="100"/>
      </w:pPr>
      <w:r w:rsidRPr="003F174C">
        <w:rPr>
          <w:i w:val="0"/>
          <w:iCs w:val="0"/>
          <w:vertAlign w:val="superscript"/>
        </w:rPr>
        <w:footnoteRef/>
      </w:r>
      <w:r w:rsidRPr="003F174C">
        <w:rPr>
          <w:rFonts w:ascii="PT Serif" w:hAnsi="PT Serif" w:cs="PT Serif"/>
          <w:sz w:val="17"/>
          <w:szCs w:val="17"/>
        </w:rPr>
        <w:t xml:space="preserve"> En este sentido, CORDÓN MORENO, </w:t>
      </w:r>
      <w:r w:rsidRPr="003F174C">
        <w:rPr>
          <w:rFonts w:ascii="PT Serif" w:hAnsi="PT Serif" w:cs="PT Serif"/>
          <w:i/>
          <w:iCs/>
          <w:sz w:val="17"/>
          <w:szCs w:val="17"/>
        </w:rPr>
        <w:t>La legitimación en el proceso contencioso-administrativo</w:t>
      </w:r>
      <w:r w:rsidRPr="003F174C">
        <w:rPr>
          <w:rFonts w:ascii="PT Serif" w:hAnsi="PT Serif" w:cs="PT Serif"/>
          <w:sz w:val="17"/>
          <w:szCs w:val="17"/>
        </w:rPr>
        <w:t xml:space="preserve">. Pamplona 1979, pp. 59-60, afirma que «en un sentido genérico, fin primario de la jurisdicción es, por tanto, el lograr la efectividad del </w:t>
      </w:r>
      <w:r w:rsidRPr="00DC626B">
        <w:rPr>
          <w:rFonts w:ascii="PT Serif" w:hAnsi="PT Serif" w:cs="PT Serif"/>
          <w:sz w:val="17"/>
          <w:szCs w:val="17"/>
        </w:rPr>
        <w:t>derecho objetivo y, sólo como consecuencia, la efectividad de las situaciones jurídicas individuales. Sólo desde este punto de vista es posible un concepto unitario de jurisdicción como poder y como función del Estado aplicable a cada una de sus manifestaciones (civil, penal, administrativa, etc.)».</w:t>
      </w:r>
    </w:p>
  </w:footnote>
  <w:footnote w:id="7">
    <w:p w14:paraId="7A9DB047" w14:textId="77777777" w:rsidR="00D95264" w:rsidRPr="00DC626B" w:rsidRDefault="00D95264" w:rsidP="00DF3094">
      <w:pPr>
        <w:pStyle w:val="FootnoteText"/>
        <w:rPr>
          <w:smallCaps/>
          <w:sz w:val="17"/>
          <w:szCs w:val="17"/>
        </w:rPr>
        <w:spacing w:line="212" w:lineRule="auto" w:before="0" w:after="0"/>
      </w:pPr>
      <w:r w:rsidRPr="00DC626B">
        <w:rPr>
          <w:i w:val="0"/>
          <w:iCs w:val="0"/>
          <w:vertAlign w:val="superscript"/>
        </w:rPr>
        <w:footnoteRef/>
      </w:r>
      <w:r w:rsidRPr="00DC626B">
        <w:rPr>
          <w:rFonts w:ascii="PT Serif" w:hAnsi="PT Serif" w:cs="PT Serif"/>
          <w:sz w:val="17"/>
          <w:szCs w:val="17"/>
        </w:rPr>
        <w:t xml:space="preserve"> Es por ello que no podemos limitarnos a sostener que el papel que desempeñan los jueces y juezas es sin más, aplicar el Derecho al caso concreto. La razón es evidente. También la Administración pública desempeña esa función (art. 103 CE). Sobre este artículo y el papel que tiene encomendada la Administración pública en la CE, MARTÍN REBOLLO, , «La Administración en la Constitución (Arts. 103 a 107)». </w:t>
      </w:r>
      <w:r w:rsidRPr="00DC626B">
        <w:rPr>
          <w:rFonts w:ascii="PT Serif" w:hAnsi="PT Serif" w:cs="PT Serif"/>
          <w:i/>
          <w:iCs/>
          <w:sz w:val="17"/>
          <w:szCs w:val="17"/>
        </w:rPr>
        <w:t>Revista de Derecho Político</w:t>
      </w:r>
      <w:r w:rsidRPr="00DC626B">
        <w:rPr>
          <w:rFonts w:ascii="PT Serif" w:hAnsi="PT Serif" w:cs="PT Serif"/>
          <w:sz w:val="17"/>
          <w:szCs w:val="17"/>
        </w:rPr>
        <w:t>, núm. 37, 1992, pp. 51-82.</w:t>
      </w:r>
    </w:p>
    <w:p w14:paraId="5C0DE205" w14:textId="77777777" w:rsidR="00D95264" w:rsidRPr="00DC626B" w:rsidRDefault="00D95264" w:rsidP="00DF3094">
      <w:pPr>
        <w:pStyle w:val="FootnoteText"/>
        <w:rPr>
          <w:smallCaps/>
          <w:sz w:val="17"/>
          <w:szCs w:val="17"/>
        </w:rPr>
        <w:spacing w:line="212" w:lineRule="auto" w:before="0" w:after="0"/>
      </w:pPr>
      <w:r w:rsidRPr="00DC626B">
        <w:rPr>
          <w:rFonts w:ascii="PT Serif" w:hAnsi="PT Serif" w:cs="PT Serif"/>
          <w:sz w:val="17"/>
          <w:szCs w:val="17"/>
        </w:rPr>
        <w:t xml:space="preserve">Respecto al control jurisdiccional de la actuación administrativa, el artículo 106.1 CE dispone que «los tribunales controlan la potestad reglamentaria y la legalidad de la actuación administrativa, así como el sometimiento de ésta a los fines que la justifican». Sobre este control, VANOSSI, Jorge Reinaldo, «La revisión de los abusos de derecho en el derecho público y la justiciabilidad de las desviaciones de poder (homenaje al artículo 106 de la Constitución española)». </w:t>
      </w:r>
      <w:hyperlink r:id="rId2" w:history="1">
        <w:r w:rsidRPr="00DC626B">
          <w:rPr>
            <w:rFonts w:ascii="PT Serif" w:hAnsi="PT Serif" w:cs="PT Serif"/>
            <w:sz w:val="17"/>
            <w:szCs w:val="17"/>
          </w:rPr>
          <w:t>La Constitución de 1978 y el constitucionalismo iberoamericano</w:t>
        </w:r>
      </w:hyperlink>
      <w:r w:rsidRPr="00DC626B">
        <w:rPr>
          <w:rFonts w:ascii="PT Serif" w:hAnsi="PT Serif" w:cs="PT Serif"/>
          <w:sz w:val="17"/>
          <w:szCs w:val="17"/>
        </w:rPr>
        <w:t xml:space="preserve"> (coord. FERNÁNDEZ SEGADO, Francisco), 2003, pp. 127-158. </w:t>
      </w:r>
    </w:p>
    <w:p w14:paraId="1BA4D00E" w14:textId="77777777" w:rsidR="00D95264" w:rsidRPr="005C256B" w:rsidRDefault="00D95264" w:rsidP="00D95264">
      <w:pPr>
        <w:pStyle w:val="FootnoteText"/>
        <w:spacing w:before="0" w:line="212" w:lineRule="auto" w:after="100"/>
        <w:ind w:firstLine="0"/>
        <w:rPr>
          <w:rFonts w:ascii="PT Serif" w:eastAsiaTheme="minorHAnsi" w:hAnsi="PT Serif" w:cstheme="minorBidi"/>
          <w:sz w:val="17"/>
          <w:szCs w:val="17"/>
          <w:lang w:eastAsia="en-US"/>
        </w:rPr>
      </w:pPr>
      <w:r w:rsidRPr="00DC626B">
        <w:rPr>
          <w:rFonts w:ascii="PT Serif" w:hAnsi="PT Serif" w:cs="PT Serif"/>
          <w:sz w:val="17"/>
          <w:szCs w:val="17"/>
          <w:lang w:eastAsia="en-US"/>
        </w:rPr>
        <w:t>De este modo, como la Administración pública debe servir a los intereses colectivos en los términos del artículo 103.1 CE, la actividad administrativa es controlable a los efectos de comprobar si se han respetado los derechos de los administrados. Por el contrario, la aplicación jurisdiccional del Derecho, sin perjuicio del sistema de recursos que se establezca, es irrevocable, en tanto que no es controlada por instancia posterior.</w:t>
      </w:r>
    </w:p>
  </w:footnote>
  <w:footnote w:id="8">
    <w:p w14:paraId="4F326BB4" w14:textId="6CD585E3" w:rsidR="00D95264" w:rsidRPr="00DC626B" w:rsidRDefault="00D95264" w:rsidP="00DF3094">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sidRPr="00DC626B">
        <w:rPr>
          <w:rFonts w:ascii="PT Serif" w:hAnsi="PT Serif" w:cs="PT Serif"/>
          <w:sz w:val="17"/>
          <w:szCs w:val="17"/>
        </w:rPr>
        <w:t xml:space="preserve">Observada la identidad funcional entre la potestad jurisdiccional y algunas potestades administrativas, se ha querido encontrar en la diferente eficacia jurídica que produce el ejercicio de una y otra potestad, un criterio para distinguirlas. Véase en este sentido, BONET NAVARRO, Ángel, «Derecho y Derecho Jurisdiccional». </w:t>
      </w:r>
      <w:r w:rsidRPr="00DC626B">
        <w:rPr>
          <w:rFonts w:ascii="PT Serif" w:hAnsi="PT Serif" w:cs="PT Serif"/>
          <w:i/>
          <w:iCs/>
          <w:sz w:val="17"/>
          <w:szCs w:val="17"/>
        </w:rPr>
        <w:t>Escritos sobre la Jurisdicción y su actividad.</w:t>
      </w:r>
      <w:r w:rsidRPr="00DC626B">
        <w:rPr>
          <w:rFonts w:ascii="PT Serif" w:hAnsi="PT Serif" w:cs="PT Serif"/>
          <w:sz w:val="17"/>
          <w:szCs w:val="17"/>
        </w:rPr>
        <w:t xml:space="preserve"> Zaragoza 1981, pp. 57-58; SERRA DOMÍNGUEZ, , op. cit., pp. 51-52; CASTILLO RIGABERT, </w:t>
      </w:r>
      <w:r w:rsidRPr="00DC626B">
        <w:rPr>
          <w:rFonts w:ascii="PT Serif" w:hAnsi="PT Serif" w:cs="PT Serif"/>
          <w:i/>
          <w:iCs/>
          <w:sz w:val="17"/>
          <w:szCs w:val="17"/>
        </w:rPr>
        <w:t>La admisión del recurso de amparo</w:t>
      </w:r>
      <w:r w:rsidRPr="00DC626B">
        <w:rPr>
          <w:rFonts w:ascii="PT Serif" w:hAnsi="PT Serif" w:cs="PT Serif"/>
          <w:sz w:val="17"/>
          <w:szCs w:val="17"/>
        </w:rPr>
        <w:t xml:space="preserve">. Universidad de Murcia, 1991, p. 26; ORTELLS RAMOS, et al, </w:t>
      </w:r>
      <w:r w:rsidRPr="00DC626B">
        <w:rPr>
          <w:rFonts w:ascii="PT Serif" w:hAnsi="PT Serif" w:cs="PT Serif"/>
          <w:i/>
          <w:iCs/>
          <w:sz w:val="17"/>
          <w:szCs w:val="17"/>
        </w:rPr>
        <w:t>Introducción al Derecho Procesal</w:t>
      </w:r>
      <w:r w:rsidRPr="00DC626B">
        <w:rPr>
          <w:rFonts w:ascii="PT Serif" w:hAnsi="PT Serif" w:cs="PT Serif"/>
          <w:sz w:val="17"/>
          <w:szCs w:val="17"/>
        </w:rPr>
        <w:t>, op. cit., pp. 127-130.</w:t>
      </w:r>
    </w:p>
  </w:footnote>
  <w:footnote w:id="9">
    <w:p w14:paraId="4C93C586" w14:textId="77777777" w:rsidR="00D95264" w:rsidRPr="00DC626B" w:rsidRDefault="00D95264" w:rsidP="00DF3094">
      <w:pPr>
        <w:pStyle w:val="FootnoteText"/>
        <w:rPr>
          <w:smallCaps/>
          <w:sz w:val="17"/>
          <w:szCs w:val="17"/>
        </w:rPr>
        <w:spacing w:line="212" w:lineRule="auto" w:before="0" w:after="0"/>
      </w:pPr>
      <w:r w:rsidRPr="00DC626B">
        <w:rPr>
          <w:i w:val="0"/>
          <w:iCs w:val="0"/>
          <w:vertAlign w:val="superscript"/>
        </w:rPr>
        <w:footnoteRef/>
      </w:r>
      <w:r w:rsidRPr="00DC626B">
        <w:rPr>
          <w:rFonts w:ascii="PT Serif" w:hAnsi="PT Serif" w:cs="PT Serif"/>
          <w:sz w:val="17"/>
          <w:szCs w:val="17"/>
        </w:rPr>
        <w:t xml:space="preserve"> Sobre el efecto de cosa juzgada de las resoluciones judiciales, DE LA OLIVA SANTOS, Andrés, </w:t>
      </w:r>
      <w:r w:rsidRPr="00DC626B">
        <w:rPr>
          <w:rFonts w:ascii="PT Serif" w:hAnsi="PT Serif" w:cs="PT Serif"/>
          <w:i/>
          <w:iCs/>
          <w:sz w:val="17"/>
          <w:szCs w:val="17"/>
        </w:rPr>
        <w:t>Sobre la cosa juzgada civil, contencioso-administrativa y penal, con examen de la jurisprudencia del Tribunal Constitucional</w:t>
      </w:r>
      <w:r w:rsidRPr="00DC626B">
        <w:rPr>
          <w:rFonts w:ascii="PT Serif" w:hAnsi="PT Serif" w:cs="PT Serif"/>
          <w:sz w:val="17"/>
          <w:szCs w:val="17"/>
        </w:rPr>
        <w:t xml:space="preserve">. Ed. Ramón Areces 1991; TAPIA FERNÁNDEZ, </w:t>
      </w:r>
      <w:r w:rsidRPr="00DC626B">
        <w:rPr>
          <w:rFonts w:ascii="PT Serif" w:hAnsi="PT Serif" w:cs="PT Serif"/>
          <w:i/>
          <w:iCs/>
          <w:sz w:val="17"/>
          <w:szCs w:val="17"/>
        </w:rPr>
        <w:t>El objeto del proceso: alegaciones, sentencia, cosa juzgada</w:t>
      </w:r>
      <w:r w:rsidRPr="00DC626B">
        <w:rPr>
          <w:rFonts w:ascii="PT Serif" w:hAnsi="PT Serif" w:cs="PT Serif"/>
          <w:sz w:val="17"/>
          <w:szCs w:val="17"/>
        </w:rPr>
        <w:t xml:space="preserve">. La Ley-Actualidad 2000; DE PADURA BALLESTEROS, </w:t>
      </w:r>
      <w:r w:rsidRPr="00DC626B">
        <w:rPr>
          <w:rFonts w:ascii="PT Serif" w:hAnsi="PT Serif" w:cs="PT Serif"/>
          <w:i/>
          <w:iCs/>
          <w:sz w:val="17"/>
          <w:szCs w:val="17"/>
        </w:rPr>
        <w:t>Fundamentación de la sentencia, preclusión y cosa juzgada: su régimen en la LEC 1/2000</w:t>
      </w:r>
      <w:r w:rsidRPr="00DC626B">
        <w:rPr>
          <w:rFonts w:ascii="PT Serif" w:hAnsi="PT Serif" w:cs="PT Serif"/>
          <w:sz w:val="17"/>
          <w:szCs w:val="17"/>
        </w:rPr>
        <w:t xml:space="preserve">. Tirant lo Blanch 2002; DE LA OLIVA SANTOS, </w:t>
      </w:r>
      <w:r w:rsidRPr="00DC626B">
        <w:rPr>
          <w:rFonts w:ascii="PT Serif" w:hAnsi="PT Serif" w:cs="PT Serif"/>
          <w:i/>
          <w:iCs/>
          <w:sz w:val="17"/>
          <w:szCs w:val="17"/>
        </w:rPr>
        <w:t>Objeto del Proceso y Cosa Juzgada en el Proceso Civil</w:t>
      </w:r>
      <w:r w:rsidRPr="00DC626B">
        <w:rPr>
          <w:rFonts w:ascii="PT Serif" w:hAnsi="PT Serif" w:cs="PT Serif"/>
          <w:sz w:val="17"/>
          <w:szCs w:val="17"/>
        </w:rPr>
        <w:t xml:space="preserve">. Aranzadi 2006; NIEVA FENOLL, </w:t>
      </w:r>
      <w:r w:rsidRPr="00DC626B">
        <w:rPr>
          <w:rFonts w:ascii="PT Serif" w:hAnsi="PT Serif" w:cs="PT Serif"/>
          <w:i/>
          <w:iCs/>
          <w:sz w:val="17"/>
          <w:szCs w:val="17"/>
        </w:rPr>
        <w:t>La cosa juzgada</w:t>
      </w:r>
      <w:r w:rsidRPr="00DC626B">
        <w:rPr>
          <w:rFonts w:ascii="PT Serif" w:hAnsi="PT Serif" w:cs="PT Serif"/>
          <w:sz w:val="17"/>
          <w:szCs w:val="17"/>
        </w:rPr>
        <w:t xml:space="preserve">. Atelier 2006. Por el contrario, la actuación del Derecho mediante potestades administrativas carece de la eficacia de producir cosa juzgada y el acto jurídico que se realiza con esa actuación se halla esencialmente expuesto a ser revisado y, en su caso, anulado, mediante el ejercicio de la potestad jurisdiccional por los órganos (jurisdiccionales) que la tienen exclusivamente atribuida” (ORTELLS RAMOS, et al, </w:t>
      </w:r>
      <w:r w:rsidRPr="00DC626B">
        <w:rPr>
          <w:rFonts w:ascii="PT Serif" w:hAnsi="PT Serif" w:cs="PT Serif"/>
          <w:i/>
          <w:iCs/>
          <w:sz w:val="17"/>
          <w:szCs w:val="17"/>
        </w:rPr>
        <w:t>Introducción al Derecho Procesal</w:t>
      </w:r>
      <w:r w:rsidRPr="00DC626B">
        <w:rPr>
          <w:rFonts w:ascii="PT Serif" w:hAnsi="PT Serif" w:cs="PT Serif"/>
          <w:sz w:val="17"/>
          <w:szCs w:val="17"/>
        </w:rPr>
        <w:t>, op. cit., p. 128).</w:t>
      </w:r>
    </w:p>
    <w:p w14:paraId="5C0D910D" w14:textId="77777777" w:rsidR="00D95264" w:rsidRPr="00DC626B" w:rsidRDefault="00D95264" w:rsidP="00D95264">
      <w:pPr>
        <w:pStyle w:val="FootnoteText"/>
        <w:spacing w:after="0" w:line="212" w:lineRule="auto" w:before="0"/>
        <w:ind w:left="0"/>
        <w:jc w:val="both"/>
        <w:rPr>
          <w:rFonts w:ascii="PT Serif" w:eastAsiaTheme="minorHAnsi" w:hAnsi="PT Serif" w:cstheme="minorBidi"/>
          <w:sz w:val="17"/>
          <w:szCs w:val="17"/>
          <w:lang w:eastAsia="en-US"/>
        </w:rPr>
      </w:pPr>
      <w:r w:rsidRPr="00DC626B">
        <w:rPr>
          <w:rFonts w:ascii="PT Serif" w:hAnsi="PT Serif" w:cs="PT Serif"/>
          <w:sz w:val="17"/>
          <w:szCs w:val="17"/>
          <w:lang w:eastAsia="en-US"/>
        </w:rPr>
        <w:t xml:space="preserve">Referencias al valor de cosa juzgada en las decisiones jurisdiccionales, podemos encontrar en algunos preceptos de la CE. Así, el artículo 161.1 a) CE que indica que la </w:t>
      </w:r>
      <w:r w:rsidRPr="00DC626B">
        <w:rPr>
          <w:rFonts w:ascii="PT Serif" w:hAnsi="PT Serif" w:cs="PT Serif"/>
          <w:smallCaps/>
          <w:sz w:val="17"/>
          <w:szCs w:val="17"/>
        </w:rPr>
        <w:t>«</w:t>
      </w:r>
      <w:r w:rsidRPr="00DC626B">
        <w:rPr>
          <w:rFonts w:ascii="PT Serif" w:hAnsi="PT Serif" w:cs="PT Serif"/>
          <w:sz w:val="17"/>
          <w:szCs w:val="17"/>
          <w:lang w:eastAsia="en-US"/>
        </w:rPr>
        <w:t>declaración de inconstitucionalidad de una norma jurídica con rango de ley, interpretada por la jurisprudencia, afectará a ésta, si bien la sentencia o sentencias recaídas no perderán el valor de cosa juzgada</w:t>
      </w:r>
      <w:r w:rsidRPr="00DC626B">
        <w:rPr>
          <w:rFonts w:ascii="PT Serif" w:hAnsi="PT Serif" w:cs="PT Serif"/>
          <w:smallCaps/>
          <w:sz w:val="17"/>
          <w:szCs w:val="17"/>
        </w:rPr>
        <w:t>»</w:t>
      </w:r>
      <w:r w:rsidRPr="00DC626B">
        <w:rPr>
          <w:rFonts w:ascii="PT Serif" w:hAnsi="PT Serif" w:cs="PT Serif"/>
          <w:sz w:val="17"/>
          <w:szCs w:val="17"/>
          <w:lang w:eastAsia="en-US"/>
        </w:rPr>
        <w:t>. También debe citarse el artículo 164.1 CE, que predica la eficacia de cosa juzgada de las sentencias del TC a partir del día siguiente de su publicación en el BOE.</w:t>
      </w:r>
    </w:p>
    <w:p w14:paraId="0F8284BB" w14:textId="77777777" w:rsidR="00D95264" w:rsidRPr="00DC626B" w:rsidRDefault="00D95264" w:rsidP="00DF3094">
      <w:pPr>
        <w:pStyle w:val="FootnoteText"/>
        <w:rPr>
          <w:smallCaps/>
          <w:sz w:val="17"/>
          <w:szCs w:val="17"/>
        </w:rPr>
        <w:spacing w:line="212" w:lineRule="auto" w:before="0" w:after="0"/>
      </w:pPr>
      <w:r w:rsidRPr="00DC626B">
        <w:rPr>
          <w:rFonts w:ascii="PT Serif" w:hAnsi="PT Serif" w:cs="PT Serif"/>
          <w:sz w:val="17"/>
          <w:szCs w:val="17"/>
        </w:rPr>
        <w:t xml:space="preserve">Respecto al control jurisdiccional de la actuación administrativa, el artículo 106.1 CE dispone que «los tribunales controlan la potestad reglamentaria y la legalidad de la actuación administrativa, así como el sometimiento de ésta a los fines que la justifican». Sobre este control, VANOSSI, Jorge Reinaldo, «La revisión de los abusos de derecho en el derecho público y la justiciabilidad de las desviaciones de poder (homenaje al artículo 106 de la Constitución española)». </w:t>
      </w:r>
      <w:hyperlink r:id="rId3" w:history="1">
        <w:r w:rsidRPr="00DC626B">
          <w:rPr>
            <w:rFonts w:ascii="PT Serif" w:hAnsi="PT Serif" w:cs="PT Serif"/>
            <w:sz w:val="17"/>
            <w:szCs w:val="17"/>
          </w:rPr>
          <w:t>La Constitución de 1978 y el constitucionalismo iberoamericano</w:t>
        </w:r>
      </w:hyperlink>
      <w:r w:rsidRPr="00DC626B">
        <w:rPr>
          <w:rFonts w:ascii="PT Serif" w:hAnsi="PT Serif" w:cs="PT Serif"/>
          <w:sz w:val="17"/>
          <w:szCs w:val="17"/>
        </w:rPr>
        <w:t xml:space="preserve"> (coord. FERNÁNDEZ SEGADO, Francisco), 2003, pp. 127-158. </w:t>
      </w:r>
    </w:p>
    <w:p w14:paraId="1D2AA7B8" w14:textId="77777777" w:rsidR="00D95264" w:rsidRPr="00DC626B" w:rsidRDefault="00D95264" w:rsidP="00D95264">
      <w:pPr>
        <w:pStyle w:val="FootnoteText"/>
        <w:spacing w:before="0" w:line="212" w:lineRule="auto" w:after="0"/>
        <w:ind w:firstLine="0"/>
        <w:rPr>
          <w:rFonts w:ascii="PT Serif" w:eastAsiaTheme="minorHAnsi" w:hAnsi="PT Serif" w:cstheme="minorBidi"/>
          <w:sz w:val="17"/>
          <w:szCs w:val="17"/>
          <w:lang w:eastAsia="en-US"/>
        </w:rPr>
      </w:pPr>
      <w:r w:rsidRPr="00DC626B">
        <w:rPr>
          <w:rFonts w:ascii="PT Serif" w:hAnsi="PT Serif" w:cs="PT Serif"/>
          <w:sz w:val="17"/>
          <w:szCs w:val="17"/>
          <w:lang w:eastAsia="en-US"/>
        </w:rPr>
        <w:t>De este modo, como la Administración pública debe servir a los intereses colectivos en los términos del artículo 103.1 CE, la actividad administrativa es controlable a los efectos de comprobar si se han respetado los derechos de los administrados. Por el contrario, la aplicación jurisdiccional del Derecho, sin perjuicio del sistema de recursos que se establezca, es irrevocable, en tanto que no es controlada por instancia posterior.</w:t>
      </w:r>
    </w:p>
    <w:p w14:paraId="3D2B5731" w14:textId="1E5FD73E" w:rsidR="00D95264" w:rsidRPr="00DC626B" w:rsidRDefault="00D95264" w:rsidP="00DF3094">
      <w:pPr>
        <w:pStyle w:val="FootnoteText"/>
        <w:rPr>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Observada la identidad funcional entre la potestad jurisdiccional y algunas potestades administrativas, se ha querido encontrar en la diferente eficacia jurídica que produce el ejercicio de una y otra potestad, un criterio para distinguirlas. Véase en este sentido, BONET NAVARRO, Ángel, «Derecho y Derecho Jurisdiccional». </w:t>
      </w:r>
      <w:r w:rsidRPr="00DC626B">
        <w:rPr>
          <w:rFonts w:ascii="PT Serif" w:hAnsi="PT Serif" w:cs="PT Serif"/>
          <w:i/>
          <w:iCs/>
          <w:sz w:val="17"/>
          <w:szCs w:val="17"/>
        </w:rPr>
        <w:t>Escritos sobre la Jurisdicción y su actividad.</w:t>
      </w:r>
      <w:r w:rsidRPr="00DC626B">
        <w:rPr>
          <w:rFonts w:ascii="PT Serif" w:hAnsi="PT Serif" w:cs="PT Serif"/>
          <w:sz w:val="17"/>
          <w:szCs w:val="17"/>
        </w:rPr>
        <w:t xml:space="preserve"> Zaragoza 1981, pp. 57-58; SERRA DOMÍNGUEZ, , op. cit., pp. 51-52; CASTILLO RIGABERT, </w:t>
      </w:r>
      <w:r w:rsidRPr="00DC626B">
        <w:rPr>
          <w:rFonts w:ascii="PT Serif" w:hAnsi="PT Serif" w:cs="PT Serif"/>
          <w:i/>
          <w:iCs/>
          <w:sz w:val="17"/>
          <w:szCs w:val="17"/>
        </w:rPr>
        <w:t>La admisión del recurso de amparo</w:t>
      </w:r>
      <w:r w:rsidRPr="00DC626B">
        <w:rPr>
          <w:rFonts w:ascii="PT Serif" w:hAnsi="PT Serif" w:cs="PT Serif"/>
          <w:sz w:val="17"/>
          <w:szCs w:val="17"/>
        </w:rPr>
        <w:t xml:space="preserve">. Universidad de Murcia, 1991, p. 26; ORTELLS RAMOS, et al, </w:t>
      </w:r>
      <w:r w:rsidRPr="00DC626B">
        <w:rPr>
          <w:rFonts w:ascii="PT Serif" w:hAnsi="PT Serif" w:cs="PT Serif"/>
          <w:i/>
          <w:iCs/>
          <w:sz w:val="17"/>
          <w:szCs w:val="17"/>
        </w:rPr>
        <w:t>Introducción al Derecho Procesal</w:t>
      </w:r>
      <w:r w:rsidRPr="00DC626B">
        <w:rPr>
          <w:rFonts w:ascii="PT Serif" w:hAnsi="PT Serif" w:cs="PT Serif"/>
          <w:sz w:val="17"/>
          <w:szCs w:val="17"/>
        </w:rPr>
        <w:t>, op. cit., pp. 127-130.</w:t>
      </w:r>
    </w:p>
  </w:footnote>
  <w:footnote w:id="10">
    <w:p w14:paraId="73A585EF" w14:textId="77777777" w:rsidR="00D707EC" w:rsidRPr="00DC626B" w:rsidRDefault="00D707EC" w:rsidP="00D707EC">
      <w:pPr>
        <w:pStyle w:val="FootnoteText"/>
        <w:ind w:left="0" w:firstLine="0"/>
        <w:rPr>
          <w:rFonts w:ascii="PT Serif" w:eastAsiaTheme="minorHAnsi" w:hAnsi="PT Serif" w:cstheme="minorBidi"/>
          <w:szCs w:val="17"/>
          <w:lang w:eastAsia="en-US"/>
        </w:rPr>
        <w:spacing w:line="212" w:lineRule="auto" w:before="0" w:after="100"/>
      </w:pPr>
      <w:r w:rsidRPr="00DC626B">
        <w:rPr>
          <w:i w:val="0"/>
          <w:iCs w:val="0"/>
          <w:vertAlign w:val="superscript"/>
        </w:rPr>
        <w:footnoteRef/>
      </w:r>
      <w:r w:rsidRPr="00DC626B">
        <w:rPr>
          <w:rFonts w:ascii="PT Serif" w:hAnsi="PT Serif" w:cs="PT Serif"/>
          <w:szCs w:val="17"/>
          <w:sz w:val="17"/>
        </w:rPr>
        <w:t xml:space="preserve"> </w:t>
      </w:r>
      <w:r w:rsidRPr="00DC626B">
        <w:rPr>
          <w:rFonts w:ascii="PT Serif" w:hAnsi="PT Serif" w:cs="PT Serif"/>
          <w:szCs w:val="17"/>
          <w:lang w:eastAsia="en-US"/>
          <w:sz w:val="17"/>
        </w:rPr>
        <w:t xml:space="preserve">En este punto, seguimos a GIMENO SENDRA, (con DÍAZ MARTÍNEZ, /CALAZA LÓPEZ, </w:t>
      </w:r>
      <w:r w:rsidRPr="00DC626B">
        <w:rPr>
          <w:rFonts w:ascii="PT Serif" w:hAnsi="PT Serif" w:cs="PT Serif"/>
          <w:i/>
          <w:iCs/>
          <w:szCs w:val="17"/>
          <w:lang w:eastAsia="en-US"/>
          <w:sz w:val="17"/>
        </w:rPr>
        <w:t>Introducción al Derecho Procesal</w:t>
      </w:r>
      <w:r w:rsidRPr="00DC626B">
        <w:rPr>
          <w:rFonts w:ascii="PT Serif" w:hAnsi="PT Serif" w:cs="PT Serif"/>
          <w:szCs w:val="17"/>
          <w:lang w:eastAsia="en-US"/>
          <w:sz w:val="17"/>
        </w:rPr>
        <w:t>. Tirant lo Blanch, España. 2020, p. 46.</w:t>
      </w:r>
    </w:p>
  </w:footnote>
  <w:footnote w:id="11">
    <w:p w14:paraId="76CAEEB7" w14:textId="77353DDB" w:rsidR="00D707EC" w:rsidRPr="00DC626B" w:rsidRDefault="00D707EC" w:rsidP="00313B51">
      <w:pPr>
        <w:pStyle w:val="FootnoteText"/>
        <w:ind w:left="0" w:firstLine="0"/>
        <w:rPr>
          <w:szCs w:val="17"/>
        </w:rPr>
        <w:spacing w:line="212" w:lineRule="auto" w:before="0" w:after="100"/>
      </w:pPr>
      <w:r w:rsidRPr="00DC626B">
        <w:rPr>
          <w:i w:val="0"/>
          <w:iCs w:val="0"/>
          <w:vertAlign w:val="superscript"/>
        </w:rPr>
        <w:footnoteRef/>
      </w:r>
      <w:r w:rsidRPr="00DC626B">
        <w:rPr>
          <w:rFonts w:ascii="PT Serif" w:hAnsi="PT Serif" w:cs="PT Serif"/>
          <w:szCs w:val="17"/>
          <w:sz w:val="17"/>
        </w:rPr>
        <w:t xml:space="preserve"> </w:t>
      </w:r>
      <w:r w:rsidRPr="00DC626B">
        <w:rPr>
          <w:rFonts w:ascii="PT Serif" w:hAnsi="PT Serif" w:cs="PT Serif"/>
          <w:szCs w:val="17"/>
          <w:lang w:eastAsia="en-US"/>
          <w:sz w:val="17"/>
        </w:rPr>
        <w:t xml:space="preserve">En relación con este examen, Ibídem, p. 46, afirma que a través de este examen </w:t>
      </w:r>
      <w:r w:rsidRPr="00DC626B">
        <w:rPr>
          <w:rFonts w:ascii="PT Serif" w:hAnsi="PT Serif" w:cs="PT Serif"/>
          <w:smallCaps/>
          <w:szCs w:val="17"/>
          <w:sz w:val="17"/>
        </w:rPr>
        <w:t>«</w:t>
      </w:r>
      <w:r w:rsidRPr="00DC626B">
        <w:rPr>
          <w:rFonts w:ascii="PT Serif" w:hAnsi="PT Serif" w:cs="PT Serif"/>
          <w:szCs w:val="17"/>
          <w:lang w:eastAsia="en-US"/>
          <w:sz w:val="17"/>
        </w:rPr>
        <w:t>debe constar la legitimidad de la norma, es decir, si se conforma o contradice otras de rango superior</w:t>
      </w:r>
      <w:r w:rsidRPr="00DC626B">
        <w:rPr>
          <w:rFonts w:ascii="PT Serif" w:hAnsi="PT Serif" w:cs="PT Serif"/>
          <w:smallCaps/>
          <w:szCs w:val="17"/>
          <w:sz w:val="17"/>
        </w:rPr>
        <w:t>»</w:t>
      </w:r>
      <w:r w:rsidRPr="00DC626B">
        <w:rPr>
          <w:rFonts w:ascii="PT Serif" w:hAnsi="PT Serif" w:cs="PT Serif"/>
          <w:szCs w:val="17"/>
          <w:lang w:eastAsia="en-US"/>
          <w:sz w:val="17"/>
        </w:rPr>
        <w:t>.</w:t>
      </w:r>
    </w:p>
  </w:footnote>
  <w:footnote w:id="12">
    <w:p w14:paraId="0B07CAAF" w14:textId="078E4844" w:rsidR="00A14108" w:rsidRPr="00DC626B" w:rsidRDefault="00A14108" w:rsidP="00DF3094">
      <w:pPr>
        <w:pStyle w:val="FootnoteText"/>
        <w:rPr>
          <w:color w:val="EE0000"/>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Sobre el modelo de control en concreto de constitucionalidad de una norma puede verse, V</w:t>
      </w:r>
      <w:r w:rsidR="00CF55F1" w:rsidRPr="00DC626B">
        <w:rPr>
          <w:rFonts w:ascii="PT Serif" w:hAnsi="PT Serif" w:cs="PT Serif"/>
          <w:sz w:val="17"/>
          <w:szCs w:val="17"/>
        </w:rPr>
        <w:t>ÉLEZ, José Miguel</w:t>
      </w:r>
      <w:r w:rsidRPr="00DC626B">
        <w:rPr>
          <w:rFonts w:ascii="PT Serif" w:hAnsi="PT Serif" w:cs="PT Serif"/>
          <w:sz w:val="17"/>
          <w:szCs w:val="17"/>
        </w:rPr>
        <w:t xml:space="preserve">, </w:t>
      </w:r>
      <w:r w:rsidR="00A223C1" w:rsidRPr="00DC626B">
        <w:rPr>
          <w:rFonts w:ascii="PT Serif" w:hAnsi="PT Serif" w:cs="PT Serif"/>
          <w:sz w:val="17"/>
          <w:szCs w:val="17"/>
        </w:rPr>
        <w:t>«</w:t>
      </w:r>
      <w:r w:rsidR="00724AB4" w:rsidRPr="00DC626B">
        <w:rPr>
          <w:rFonts w:ascii="PT Serif" w:hAnsi="PT Serif" w:cs="PT Serif"/>
          <w:sz w:val="17"/>
          <w:szCs w:val="17"/>
        </w:rPr>
        <w:t>El control concreto de constitucionalidad</w:t>
      </w:r>
      <w:r w:rsidR="009E06A1" w:rsidRPr="00DC626B">
        <w:rPr>
          <w:rFonts w:ascii="PT Serif" w:hAnsi="PT Serif" w:cs="PT Serif"/>
          <w:sz w:val="17"/>
          <w:szCs w:val="17"/>
        </w:rPr>
        <w:t xml:space="preserve">», </w:t>
      </w:r>
      <w:r w:rsidRPr="00DC626B">
        <w:rPr>
          <w:rFonts w:ascii="PT Serif" w:hAnsi="PT Serif" w:cs="PT Serif"/>
          <w:sz w:val="17"/>
          <w:szCs w:val="17"/>
        </w:rPr>
        <w:t xml:space="preserve"> </w:t>
      </w:r>
      <w:r w:rsidR="00724AB4" w:rsidRPr="00DC626B">
        <w:rPr>
          <w:rFonts w:ascii="PT Serif" w:hAnsi="PT Serif" w:cs="PT Serif"/>
          <w:i/>
          <w:iCs/>
          <w:sz w:val="17"/>
          <w:szCs w:val="17"/>
        </w:rPr>
        <w:t xml:space="preserve">Revista Jurídica de Derecho </w:t>
      </w:r>
      <w:r w:rsidR="00724AB4" w:rsidRPr="00DC626B">
        <w:rPr>
          <w:rFonts w:ascii="PT Serif" w:hAnsi="PT Serif" w:cs="PT Serif"/>
          <w:sz w:val="17"/>
          <w:szCs w:val="17"/>
        </w:rPr>
        <w:t xml:space="preserve">Público, tomo 5, Universidad Católica de Santiago de Guayaquil, </w:t>
      </w:r>
      <w:r w:rsidR="006000B6" w:rsidRPr="00DC626B">
        <w:rPr>
          <w:rFonts w:ascii="PT Serif" w:hAnsi="PT Serif" w:cs="PT Serif"/>
          <w:smallCaps/>
          <w:sz w:val="17"/>
          <w:szCs w:val="17"/>
        </w:rPr>
        <w:t xml:space="preserve">2011, </w:t>
      </w:r>
      <w:r w:rsidR="00724AB4" w:rsidRPr="00DC626B">
        <w:rPr>
          <w:rFonts w:ascii="PT Serif" w:hAnsi="PT Serif" w:cs="PT Serif"/>
          <w:sz w:val="17"/>
          <w:szCs w:val="17"/>
        </w:rPr>
        <w:t xml:space="preserve">pp. </w:t>
      </w:r>
      <w:r w:rsidRPr="00DC626B">
        <w:rPr>
          <w:rFonts w:ascii="PT Serif" w:hAnsi="PT Serif" w:cs="PT Serif"/>
          <w:sz w:val="17"/>
          <w:szCs w:val="17"/>
        </w:rPr>
        <w:t>19-75.</w:t>
      </w:r>
    </w:p>
  </w:footnote>
  <w:footnote w:id="13">
    <w:p w14:paraId="6234EB26" w14:textId="77777777" w:rsidR="00D707EC" w:rsidRPr="00DC626B" w:rsidRDefault="00D707EC"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Ibídem, p. 46 afirma si el juez «observara la quiebra de alguno de estos dos exámenes, habrá de determinar su naturaleza, bien para dejarla inaplicada (caso de los Reglamentos ilegales o de Leyes inconstitucionales anteriores de la Constitución: vide art. 6 LOPJ y Disposición Derogatoria 3ª de la CE), bien para promover de oficio la “cuestión de inconstitucionalidad” (cuando se trate de disposiciones con rango de ley contrarias y posteriores a la Constitución: vide art. 5.2 y 3 LOPJ)».</w:t>
      </w:r>
    </w:p>
  </w:footnote>
  <w:footnote w:id="14">
    <w:p w14:paraId="0AA8A122" w14:textId="770CD716" w:rsidR="002A7278" w:rsidRPr="00DC626B" w:rsidRDefault="002A7278"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Base de datos Aranzadi Westlaw RTC\2023\301 AUTO.</w:t>
      </w:r>
    </w:p>
  </w:footnote>
  <w:footnote w:id="15">
    <w:p w14:paraId="76910F2B" w14:textId="71B43829" w:rsidR="005D4494" w:rsidRPr="00DC626B" w:rsidRDefault="007173BB" w:rsidP="00DF3094">
      <w:pPr>
        <w:pStyle w:val="FootnoteText"/>
        <w:rPr>
          <w:smallCaps/>
          <w:sz w:val="17"/>
          <w:szCs w:val="17"/>
        </w:rPr>
        <w:spacing w:line="212" w:lineRule="auto" w:before="0" w:after="0"/>
      </w:pPr>
      <w:r w:rsidRPr="00DC626B">
        <w:rPr>
          <w:i w:val="0"/>
          <w:iCs w:val="0"/>
          <w:vertAlign w:val="superscript"/>
        </w:rPr>
        <w:footnoteRef/>
      </w:r>
      <w:r w:rsidRPr="00DC626B">
        <w:rPr>
          <w:rFonts w:ascii="PT Serif" w:hAnsi="PT Serif" w:cs="PT Serif"/>
          <w:sz w:val="17"/>
          <w:szCs w:val="17"/>
        </w:rPr>
        <w:t xml:space="preserve"> Sobre la dimensión civil de la violencia de género,</w:t>
      </w:r>
      <w:r w:rsidR="005D4494" w:rsidRPr="00DC626B">
        <w:rPr>
          <w:rFonts w:ascii="PT Serif" w:hAnsi="PT Serif" w:cs="PT Serif"/>
          <w:sz w:val="17"/>
          <w:szCs w:val="17"/>
        </w:rPr>
        <w:t xml:space="preserve"> ÁLVAREZ OLALLA, </w:t>
      </w:r>
      <w:r w:rsidR="00044E13" w:rsidRPr="00DC626B">
        <w:rPr>
          <w:rFonts w:ascii="PT Serif" w:hAnsi="PT Serif" w:cs="PT Serif"/>
          <w:sz w:val="17"/>
          <w:szCs w:val="17"/>
        </w:rPr>
        <w:t>María</w:t>
      </w:r>
      <w:r w:rsidR="005D4494" w:rsidRPr="00DC626B">
        <w:rPr>
          <w:rFonts w:ascii="PT Serif" w:hAnsi="PT Serif" w:cs="PT Serif"/>
          <w:sz w:val="17"/>
          <w:szCs w:val="17"/>
        </w:rPr>
        <w:t xml:space="preserve"> del Pilar, </w:t>
      </w:r>
      <w:r w:rsidR="00044E13" w:rsidRPr="00DC626B">
        <w:rPr>
          <w:rFonts w:ascii="PT Serif" w:hAnsi="PT Serif" w:cs="PT Serif"/>
          <w:i/>
          <w:iCs/>
          <w:sz w:val="17"/>
          <w:szCs w:val="17"/>
        </w:rPr>
        <w:t>Violencia</w:t>
      </w:r>
      <w:r w:rsidR="005D4494" w:rsidRPr="00DC626B">
        <w:rPr>
          <w:rFonts w:ascii="PT Serif" w:hAnsi="PT Serif" w:cs="PT Serif"/>
          <w:i/>
          <w:iCs/>
          <w:sz w:val="17"/>
          <w:szCs w:val="17"/>
        </w:rPr>
        <w:t xml:space="preserve"> de género y </w:t>
      </w:r>
      <w:r w:rsidR="00044E13" w:rsidRPr="00DC626B">
        <w:rPr>
          <w:rFonts w:ascii="PT Serif" w:hAnsi="PT Serif" w:cs="PT Serif"/>
          <w:i/>
          <w:iCs/>
          <w:sz w:val="17"/>
          <w:szCs w:val="17"/>
        </w:rPr>
        <w:t>responsabilidad</w:t>
      </w:r>
      <w:r w:rsidR="005D4494" w:rsidRPr="00DC626B">
        <w:rPr>
          <w:rFonts w:ascii="PT Serif" w:hAnsi="PT Serif" w:cs="PT Serif"/>
          <w:i/>
          <w:iCs/>
          <w:sz w:val="17"/>
          <w:szCs w:val="17"/>
        </w:rPr>
        <w:t xml:space="preserve"> civil</w:t>
      </w:r>
      <w:r w:rsidR="00B0391B" w:rsidRPr="00DC626B">
        <w:rPr>
          <w:rFonts w:ascii="PT Serif" w:hAnsi="PT Serif" w:cs="PT Serif"/>
          <w:smallCaps/>
          <w:sz w:val="17"/>
          <w:szCs w:val="17"/>
        </w:rPr>
        <w:t xml:space="preserve">, </w:t>
      </w:r>
      <w:r w:rsidR="005D4494" w:rsidRPr="00DC626B">
        <w:rPr>
          <w:rFonts w:ascii="PT Serif" w:hAnsi="PT Serif" w:cs="PT Serif"/>
          <w:sz w:val="17"/>
          <w:szCs w:val="17"/>
        </w:rPr>
        <w:t xml:space="preserve">Reus, España, 2020; BELLO JANEIRO, Domingo, </w:t>
      </w:r>
      <w:r w:rsidR="00B0391B" w:rsidRPr="00DC626B">
        <w:rPr>
          <w:rFonts w:ascii="PT Serif" w:hAnsi="PT Serif" w:cs="PT Serif"/>
          <w:sz w:val="17"/>
          <w:szCs w:val="17"/>
        </w:rPr>
        <w:t>«</w:t>
      </w:r>
      <w:r w:rsidR="005D4494" w:rsidRPr="00DC626B">
        <w:rPr>
          <w:rFonts w:ascii="PT Serif" w:hAnsi="PT Serif" w:cs="PT Serif"/>
          <w:sz w:val="17"/>
          <w:szCs w:val="17"/>
        </w:rPr>
        <w:t>Aspectos civiles de la violencia de género</w:t>
      </w:r>
      <w:r w:rsidR="00B0391B" w:rsidRPr="00DC626B">
        <w:rPr>
          <w:rFonts w:ascii="PT Serif" w:hAnsi="PT Serif" w:cs="PT Serif"/>
          <w:sz w:val="17"/>
          <w:szCs w:val="17"/>
        </w:rPr>
        <w:t>»</w:t>
      </w:r>
      <w:r w:rsidR="005D4494" w:rsidRPr="00DC626B">
        <w:rPr>
          <w:rFonts w:ascii="PT Serif" w:hAnsi="PT Serif" w:cs="PT Serif"/>
          <w:sz w:val="17"/>
          <w:szCs w:val="17"/>
        </w:rPr>
        <w:t xml:space="preserve"> </w:t>
      </w:r>
      <w:r w:rsidR="005D4494" w:rsidRPr="00DC626B">
        <w:rPr>
          <w:rFonts w:ascii="PT Serif" w:hAnsi="PT Serif" w:cs="PT Serif"/>
          <w:i/>
          <w:iCs/>
          <w:sz w:val="17"/>
          <w:szCs w:val="17"/>
        </w:rPr>
        <w:t xml:space="preserve">Familia y Derecho en la </w:t>
      </w:r>
      <w:r w:rsidR="00044E13" w:rsidRPr="00DC626B">
        <w:rPr>
          <w:rFonts w:ascii="PT Serif" w:hAnsi="PT Serif" w:cs="PT Serif"/>
          <w:i/>
          <w:iCs/>
          <w:sz w:val="17"/>
          <w:szCs w:val="17"/>
        </w:rPr>
        <w:t>España</w:t>
      </w:r>
      <w:r w:rsidR="005D4494" w:rsidRPr="00DC626B">
        <w:rPr>
          <w:rFonts w:ascii="PT Serif" w:hAnsi="PT Serif" w:cs="PT Serif"/>
          <w:i/>
          <w:iCs/>
          <w:sz w:val="17"/>
          <w:szCs w:val="17"/>
        </w:rPr>
        <w:t xml:space="preserve"> del siglo XXI: libro homenaje al profesor Luis Humberto Clavería Gonsálbez</w:t>
      </w:r>
      <w:r w:rsidR="005D4494" w:rsidRPr="00DC626B">
        <w:rPr>
          <w:rFonts w:ascii="PT Serif" w:hAnsi="PT Serif" w:cs="PT Serif"/>
          <w:sz w:val="17"/>
          <w:szCs w:val="17"/>
        </w:rPr>
        <w:t xml:space="preserve"> (MARÍN VELLADRE, </w:t>
      </w:r>
      <w:r w:rsidR="00044E13" w:rsidRPr="00DC626B">
        <w:rPr>
          <w:rFonts w:ascii="PT Serif" w:hAnsi="PT Serif" w:cs="PT Serif"/>
          <w:sz w:val="17"/>
          <w:szCs w:val="17"/>
        </w:rPr>
        <w:t>Asunción</w:t>
      </w:r>
      <w:r w:rsidR="005D4494" w:rsidRPr="00DC626B">
        <w:rPr>
          <w:rFonts w:ascii="PT Serif" w:hAnsi="PT Serif" w:cs="PT Serif"/>
          <w:sz w:val="17"/>
          <w:szCs w:val="17"/>
        </w:rPr>
        <w:t xml:space="preserve">; CABEZUELO ARENAS, Ana Laura; MORENO MOZO, Fernadno, dirs.), 2021, pp. 271-290;  </w:t>
      </w:r>
    </w:p>
    <w:p w14:paraId="515B75A4" w14:textId="5A6A61A9" w:rsidR="005D4494" w:rsidRPr="00DC626B" w:rsidRDefault="005D4494" w:rsidP="00DF3094">
      <w:pPr>
        <w:pStyle w:val="FootnoteText"/>
        <w:rPr>
          <w:color w:val="EE0000"/>
          <w:sz w:val="17"/>
          <w:szCs w:val="17"/>
        </w:rPr>
        <w:spacing w:line="212" w:lineRule="auto" w:before="0" w:after="100"/>
      </w:pPr>
      <w:r w:rsidRPr="00DC626B">
        <w:rPr>
          <w:rFonts w:ascii="PT Serif" w:hAnsi="PT Serif" w:cs="PT Serif"/>
          <w:sz w:val="17"/>
          <w:szCs w:val="17"/>
        </w:rPr>
        <w:t xml:space="preserve"> FEBLES YANES, </w:t>
      </w:r>
      <w:r w:rsidR="00044E13" w:rsidRPr="00DC626B">
        <w:rPr>
          <w:rFonts w:ascii="PT Serif" w:hAnsi="PT Serif" w:cs="PT Serif"/>
          <w:sz w:val="17"/>
          <w:szCs w:val="17"/>
        </w:rPr>
        <w:t>Eloísa</w:t>
      </w:r>
      <w:r w:rsidRPr="00DC626B">
        <w:rPr>
          <w:rFonts w:ascii="PT Serif" w:hAnsi="PT Serif" w:cs="PT Serif"/>
          <w:sz w:val="17"/>
          <w:szCs w:val="17"/>
        </w:rPr>
        <w:t xml:space="preserve">, </w:t>
      </w:r>
      <w:r w:rsidR="00B0391B" w:rsidRPr="00DC626B">
        <w:rPr>
          <w:rFonts w:ascii="PT Serif" w:hAnsi="PT Serif" w:cs="PT Serif"/>
          <w:sz w:val="17"/>
          <w:szCs w:val="17"/>
        </w:rPr>
        <w:t>«</w:t>
      </w:r>
      <w:r w:rsidR="00044E13" w:rsidRPr="00DC626B">
        <w:rPr>
          <w:rFonts w:ascii="PT Serif" w:hAnsi="PT Serif" w:cs="PT Serif"/>
          <w:sz w:val="17"/>
          <w:szCs w:val="17"/>
        </w:rPr>
        <w:t>La responsabilidad</w:t>
      </w:r>
      <w:r w:rsidRPr="00DC626B">
        <w:rPr>
          <w:rFonts w:ascii="PT Serif" w:hAnsi="PT Serif" w:cs="PT Serif"/>
          <w:sz w:val="17"/>
          <w:szCs w:val="17"/>
        </w:rPr>
        <w:t xml:space="preserve"> civil en los delitos de violencia de género y en la violencia doméstica</w:t>
      </w:r>
      <w:r w:rsidR="00B0391B" w:rsidRPr="00DC626B">
        <w:rPr>
          <w:rFonts w:ascii="PT Serif" w:hAnsi="PT Serif" w:cs="PT Serif"/>
          <w:sz w:val="17"/>
          <w:szCs w:val="17"/>
        </w:rPr>
        <w:t xml:space="preserve">» </w:t>
      </w:r>
      <w:r w:rsidRPr="00DC626B">
        <w:rPr>
          <w:rFonts w:ascii="PT Serif" w:hAnsi="PT Serif" w:cs="PT Serif"/>
          <w:sz w:val="17"/>
          <w:szCs w:val="17"/>
        </w:rPr>
        <w:t xml:space="preserve">La Ley núm. 7786, 2012; </w:t>
      </w:r>
      <w:r w:rsidR="00044E13" w:rsidRPr="00DC626B">
        <w:rPr>
          <w:rFonts w:ascii="PT Serif" w:hAnsi="PT Serif" w:cs="PT Serif"/>
          <w:sz w:val="17"/>
          <w:szCs w:val="17"/>
        </w:rPr>
        <w:t xml:space="preserve">HERAS HERNÁNDEZ, María del Mar, </w:t>
      </w:r>
      <w:r w:rsidR="00044E13" w:rsidRPr="00DC626B">
        <w:rPr>
          <w:rFonts w:ascii="PT Serif" w:hAnsi="PT Serif" w:cs="PT Serif"/>
          <w:i/>
          <w:iCs/>
          <w:sz w:val="17"/>
          <w:szCs w:val="17"/>
        </w:rPr>
        <w:t>Implicaciones jurídico civiles de la violencia de género</w:t>
      </w:r>
      <w:r w:rsidR="00B0391B" w:rsidRPr="00DC626B">
        <w:rPr>
          <w:rFonts w:ascii="PT Serif" w:hAnsi="PT Serif" w:cs="PT Serif"/>
          <w:smallCaps/>
          <w:sz w:val="17"/>
          <w:szCs w:val="17"/>
        </w:rPr>
        <w:t xml:space="preserve">, </w:t>
      </w:r>
      <w:r w:rsidR="00044E13" w:rsidRPr="00DC626B">
        <w:rPr>
          <w:rFonts w:ascii="PT Serif" w:hAnsi="PT Serif" w:cs="PT Serif"/>
          <w:sz w:val="17"/>
          <w:szCs w:val="17"/>
        </w:rPr>
        <w:t xml:space="preserve">Dykinson 2025; </w:t>
      </w:r>
      <w:r w:rsidRPr="00DC626B">
        <w:rPr>
          <w:rFonts w:ascii="PT Serif" w:hAnsi="PT Serif" w:cs="PT Serif"/>
          <w:sz w:val="17"/>
          <w:szCs w:val="17"/>
        </w:rPr>
        <w:t xml:space="preserve">TONNA PRUENCE, Lucía, </w:t>
      </w:r>
      <w:r w:rsidR="00B0391B" w:rsidRPr="00DC626B">
        <w:rPr>
          <w:rFonts w:ascii="PT Serif" w:hAnsi="PT Serif" w:cs="PT Serif"/>
          <w:sz w:val="17"/>
          <w:szCs w:val="17"/>
        </w:rPr>
        <w:t>«</w:t>
      </w:r>
      <w:r w:rsidRPr="00DC626B">
        <w:rPr>
          <w:rFonts w:ascii="PT Serif" w:hAnsi="PT Serif" w:cs="PT Serif"/>
          <w:sz w:val="17"/>
          <w:szCs w:val="17"/>
        </w:rPr>
        <w:t xml:space="preserve">La responsabilidad civil derivada de la violencia basada en </w:t>
      </w:r>
      <w:r w:rsidR="00044E13" w:rsidRPr="00DC626B">
        <w:rPr>
          <w:rFonts w:ascii="PT Serif" w:hAnsi="PT Serif" w:cs="PT Serif"/>
          <w:sz w:val="17"/>
          <w:szCs w:val="17"/>
        </w:rPr>
        <w:t>género</w:t>
      </w:r>
      <w:r w:rsidR="00B0391B" w:rsidRPr="00DC626B">
        <w:rPr>
          <w:rFonts w:ascii="PT Serif" w:hAnsi="PT Serif" w:cs="PT Serif"/>
          <w:sz w:val="17"/>
          <w:szCs w:val="17"/>
        </w:rPr>
        <w:t>»</w:t>
      </w:r>
      <w:r w:rsidRPr="00DC626B">
        <w:rPr>
          <w:rFonts w:ascii="PT Serif" w:hAnsi="PT Serif" w:cs="PT Serif"/>
          <w:sz w:val="17"/>
          <w:szCs w:val="17"/>
        </w:rPr>
        <w:t xml:space="preserve"> </w:t>
      </w:r>
      <w:r w:rsidRPr="00DC626B">
        <w:rPr>
          <w:rFonts w:ascii="PT Serif" w:hAnsi="PT Serif" w:cs="PT Serif"/>
          <w:i/>
          <w:iCs/>
          <w:sz w:val="17"/>
          <w:szCs w:val="17"/>
        </w:rPr>
        <w:t xml:space="preserve">Revista </w:t>
      </w:r>
      <w:r w:rsidR="00044E13" w:rsidRPr="00DC626B">
        <w:rPr>
          <w:rFonts w:ascii="PT Serif" w:hAnsi="PT Serif" w:cs="PT Serif"/>
          <w:i/>
          <w:iCs/>
          <w:sz w:val="17"/>
          <w:szCs w:val="17"/>
        </w:rPr>
        <w:t>critica</w:t>
      </w:r>
      <w:r w:rsidRPr="00DC626B">
        <w:rPr>
          <w:rFonts w:ascii="PT Serif" w:hAnsi="PT Serif" w:cs="PT Serif"/>
          <w:i/>
          <w:iCs/>
          <w:sz w:val="17"/>
          <w:szCs w:val="17"/>
        </w:rPr>
        <w:t xml:space="preserve"> de Derecho Privado</w:t>
      </w:r>
      <w:r w:rsidRPr="00DC626B">
        <w:rPr>
          <w:rFonts w:ascii="PT Serif" w:hAnsi="PT Serif" w:cs="PT Serif"/>
          <w:sz w:val="17"/>
          <w:szCs w:val="17"/>
        </w:rPr>
        <w:t>, núm. 17, 2020, pp. 1115-</w:t>
      </w:r>
      <w:r w:rsidR="00044E13" w:rsidRPr="00DC626B">
        <w:rPr>
          <w:rFonts w:ascii="PT Serif" w:hAnsi="PT Serif" w:cs="PT Serif"/>
          <w:sz w:val="17"/>
          <w:szCs w:val="17"/>
        </w:rPr>
        <w:t>1125; MÚRTULA</w:t>
      </w:r>
      <w:r w:rsidRPr="00DC626B">
        <w:rPr>
          <w:rFonts w:ascii="PT Serif" w:hAnsi="PT Serif" w:cs="PT Serif"/>
          <w:sz w:val="17"/>
          <w:szCs w:val="17"/>
        </w:rPr>
        <w:t xml:space="preserve"> LAFUENTE, Virginia, </w:t>
      </w:r>
      <w:r w:rsidRPr="00DC626B">
        <w:rPr>
          <w:rFonts w:ascii="PT Serif" w:hAnsi="PT Serif" w:cs="PT Serif"/>
          <w:i/>
          <w:iCs/>
          <w:sz w:val="17"/>
          <w:szCs w:val="17"/>
        </w:rPr>
        <w:t xml:space="preserve">Mujeres mayores </w:t>
      </w:r>
      <w:r w:rsidR="00044E13" w:rsidRPr="00DC626B">
        <w:rPr>
          <w:rFonts w:ascii="PT Serif" w:hAnsi="PT Serif" w:cs="PT Serif"/>
          <w:i/>
          <w:iCs/>
          <w:sz w:val="17"/>
          <w:szCs w:val="17"/>
        </w:rPr>
        <w:t xml:space="preserve">víctimas </w:t>
      </w:r>
      <w:r w:rsidRPr="00DC626B">
        <w:rPr>
          <w:rFonts w:ascii="PT Serif" w:hAnsi="PT Serif" w:cs="PT Serif"/>
          <w:i/>
          <w:iCs/>
          <w:sz w:val="17"/>
          <w:szCs w:val="17"/>
        </w:rPr>
        <w:t xml:space="preserve">de </w:t>
      </w:r>
      <w:r w:rsidR="00044E13" w:rsidRPr="00DC626B">
        <w:rPr>
          <w:rFonts w:ascii="PT Serif" w:hAnsi="PT Serif" w:cs="PT Serif"/>
          <w:i/>
          <w:iCs/>
          <w:sz w:val="17"/>
          <w:szCs w:val="17"/>
        </w:rPr>
        <w:t>violencia</w:t>
      </w:r>
      <w:r w:rsidRPr="00DC626B">
        <w:rPr>
          <w:rFonts w:ascii="PT Serif" w:hAnsi="PT Serif" w:cs="PT Serif"/>
          <w:i/>
          <w:iCs/>
          <w:sz w:val="17"/>
          <w:szCs w:val="17"/>
        </w:rPr>
        <w:t xml:space="preserve"> de gé</w:t>
      </w:r>
      <w:r w:rsidR="00044E13" w:rsidRPr="00DC626B">
        <w:rPr>
          <w:rFonts w:ascii="PT Serif" w:hAnsi="PT Serif" w:cs="PT Serif"/>
          <w:i/>
          <w:iCs/>
          <w:sz w:val="17"/>
          <w:szCs w:val="17"/>
        </w:rPr>
        <w:t>nero</w:t>
      </w:r>
      <w:r w:rsidRPr="00DC626B">
        <w:rPr>
          <w:rFonts w:ascii="PT Serif" w:hAnsi="PT Serif" w:cs="PT Serif"/>
          <w:i/>
          <w:iCs/>
          <w:sz w:val="17"/>
          <w:szCs w:val="17"/>
        </w:rPr>
        <w:t xml:space="preserve"> y tutela civil de sus derechos fundamentales</w:t>
      </w:r>
      <w:r w:rsidRPr="00DC626B">
        <w:rPr>
          <w:rFonts w:ascii="PT Serif" w:hAnsi="PT Serif" w:cs="PT Serif"/>
          <w:sz w:val="17"/>
          <w:szCs w:val="17"/>
        </w:rPr>
        <w:t xml:space="preserve">. Tirant lo Blanch, España, 2024; </w:t>
      </w:r>
      <w:r w:rsidR="001566DD" w:rsidRPr="00DC626B">
        <w:rPr>
          <w:rFonts w:ascii="PT Serif" w:hAnsi="PT Serif" w:cs="PT Serif"/>
          <w:sz w:val="17"/>
          <w:szCs w:val="17"/>
        </w:rPr>
        <w:t xml:space="preserve">SOLÉ RESINA, Judith, </w:t>
      </w:r>
      <w:r w:rsidR="00B0391B" w:rsidRPr="00DC626B">
        <w:rPr>
          <w:rFonts w:ascii="PT Serif" w:hAnsi="PT Serif" w:cs="PT Serif"/>
          <w:sz w:val="17"/>
          <w:szCs w:val="17"/>
        </w:rPr>
        <w:t>«</w:t>
      </w:r>
      <w:r w:rsidR="001566DD" w:rsidRPr="00DC626B">
        <w:rPr>
          <w:rFonts w:ascii="PT Serif" w:hAnsi="PT Serif" w:cs="PT Serif"/>
          <w:sz w:val="17"/>
          <w:szCs w:val="17"/>
        </w:rPr>
        <w:t>El papel del Derecho Civil en lucha contra la violencia de género</w:t>
      </w:r>
      <w:r w:rsidR="00B0391B" w:rsidRPr="00DC626B">
        <w:rPr>
          <w:rFonts w:ascii="PT Serif" w:hAnsi="PT Serif" w:cs="PT Serif"/>
          <w:sz w:val="17"/>
          <w:szCs w:val="17"/>
        </w:rPr>
        <w:t>»,</w:t>
      </w:r>
      <w:r w:rsidR="001566DD" w:rsidRPr="00DC626B">
        <w:rPr>
          <w:rFonts w:ascii="PT Serif" w:hAnsi="PT Serif" w:cs="PT Serif"/>
          <w:sz w:val="17"/>
          <w:szCs w:val="17"/>
        </w:rPr>
        <w:t xml:space="preserve"> Libro Homenaje al </w:t>
      </w:r>
      <w:r w:rsidR="00044E13" w:rsidRPr="00DC626B">
        <w:rPr>
          <w:rFonts w:ascii="PT Serif" w:hAnsi="PT Serif" w:cs="PT Serif"/>
          <w:sz w:val="17"/>
          <w:szCs w:val="17"/>
        </w:rPr>
        <w:t>Profesor</w:t>
      </w:r>
      <w:r w:rsidR="001566DD" w:rsidRPr="00DC626B">
        <w:rPr>
          <w:rFonts w:ascii="PT Serif" w:hAnsi="PT Serif" w:cs="PT Serif"/>
          <w:sz w:val="17"/>
          <w:szCs w:val="17"/>
        </w:rPr>
        <w:t xml:space="preserve"> Manuel Amorós Guardiola, vol. 1, 2006, pp. 1797-1816; </w:t>
      </w:r>
      <w:r w:rsidR="00044E13" w:rsidRPr="00DC626B">
        <w:rPr>
          <w:rFonts w:ascii="PT Serif" w:hAnsi="PT Serif" w:cs="PT Serif"/>
          <w:sz w:val="17"/>
          <w:szCs w:val="17"/>
        </w:rPr>
        <w:t xml:space="preserve">VELA SÁNCHEZ, Antonio, </w:t>
      </w:r>
      <w:r w:rsidR="00044E13" w:rsidRPr="00DC626B">
        <w:rPr>
          <w:rFonts w:ascii="PT Serif" w:hAnsi="PT Serif" w:cs="PT Serif"/>
          <w:i/>
          <w:iCs/>
          <w:sz w:val="17"/>
          <w:szCs w:val="17"/>
        </w:rPr>
        <w:t>Las consecuencias civiles de la violencia de género. Estudio doctrinal y jurisprudencial</w:t>
      </w:r>
      <w:r w:rsidR="00044E13" w:rsidRPr="00DC626B">
        <w:rPr>
          <w:rFonts w:ascii="PT Serif" w:hAnsi="PT Serif" w:cs="PT Serif"/>
          <w:sz w:val="17"/>
          <w:szCs w:val="17"/>
        </w:rPr>
        <w:t>. Bosch, España, 2022.</w:t>
      </w:r>
    </w:p>
  </w:footnote>
  <w:footnote w:id="16">
    <w:p w14:paraId="329B1D62" w14:textId="77777777" w:rsidR="00F23687" w:rsidRPr="00DC626B" w:rsidRDefault="00F2368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Véase al respecto, JIMENA QUESADA, «La consagración del control de convencionalidad por la Jurisdicción Constitucional en España y su impacto en materia de derechos socio-laborales. Comentario a la STC 140/2018, de 20 de diciembre», </w:t>
      </w:r>
      <w:r w:rsidRPr="00DC626B">
        <w:rPr>
          <w:rFonts w:ascii="PT Serif" w:hAnsi="PT Serif" w:cs="PT Serif"/>
          <w:i/>
          <w:iCs/>
          <w:sz w:val="17"/>
          <w:szCs w:val="17"/>
        </w:rPr>
        <w:t>Revista General de Derecho del Trabajo y de la Seguridad Social</w:t>
      </w:r>
      <w:r w:rsidRPr="00DC626B">
        <w:rPr>
          <w:rFonts w:ascii="PT Serif" w:hAnsi="PT Serif" w:cs="PT Serif"/>
          <w:sz w:val="17"/>
          <w:szCs w:val="17"/>
        </w:rPr>
        <w:t>, núm. 53, 2019, p. 441.</w:t>
      </w:r>
    </w:p>
  </w:footnote>
  <w:footnote w:id="17">
    <w:p w14:paraId="060100D5" w14:textId="285E1974" w:rsidR="002264B7" w:rsidRPr="00DC626B" w:rsidRDefault="002264B7" w:rsidP="00DF3094">
      <w:pPr>
        <w:pStyle w:val="FootnoteText"/>
        <w:rPr>
          <w:color w:val="EE0000"/>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w:t>
      </w:r>
      <w:r w:rsidR="00724AB4" w:rsidRPr="00DC626B">
        <w:rPr>
          <w:rFonts w:ascii="PT Serif" w:hAnsi="PT Serif" w:cs="PT Serif"/>
          <w:sz w:val="17"/>
          <w:szCs w:val="17"/>
        </w:rPr>
        <w:t>Boletín Oficial del Estado 6 junio 2014, núm. 137.</w:t>
      </w:r>
    </w:p>
  </w:footnote>
  <w:footnote w:id="18">
    <w:p w14:paraId="21CB8837" w14:textId="7C4D283E" w:rsidR="00B44CE4" w:rsidRPr="00DC626B" w:rsidRDefault="00B44CE4"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En ese contexto, es evidente que el proceso penal juega un elemento esencial a través del cual se impongan las correspondientes penas por haber realizado alguna de las conductas penalmente punibles y que pueden englobarse en el ámbito de la violencia de género. Obviamente, con esto no estamos sosteniendo que el proceso sea el único instrumento para la erradicación de la lacra. Existen otras muchas medidas o instrumentos que los poderes públicos tienen en sus manos para conseguir ese objetivo y de las que debe hacerse uso. </w:t>
      </w:r>
    </w:p>
  </w:footnote>
  <w:footnote w:id="19">
    <w:p w14:paraId="27FB1FA9" w14:textId="20DF2119" w:rsidR="00B44CE4" w:rsidRPr="00DC626B" w:rsidRDefault="00B44CE4"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En relación con esta Ley, y sin ánimo de exhaustividad, CASTILLEJO MANZANARES, </w:t>
      </w:r>
      <w:r w:rsidR="007E4877" w:rsidRPr="00DC626B">
        <w:rPr>
          <w:rFonts w:ascii="PT Serif" w:hAnsi="PT Serif" w:cs="PT Serif"/>
          <w:sz w:val="17"/>
          <w:szCs w:val="17"/>
        </w:rPr>
        <w:t>«</w:t>
      </w:r>
      <w:r w:rsidRPr="00DC626B">
        <w:rPr>
          <w:rFonts w:ascii="PT Serif" w:hAnsi="PT Serif" w:cs="PT Serif"/>
          <w:sz w:val="17"/>
          <w:szCs w:val="17"/>
        </w:rPr>
        <w:t>Cuestiones que suscita la Ley Orgánica de medidas de protección integral contra la violencia de género</w:t>
      </w:r>
      <w:bookmarkStart w:id="1" w:name="_Hlk215138924"/>
      <w:r w:rsidR="007E4877" w:rsidRPr="00DC626B">
        <w:rPr>
          <w:rFonts w:ascii="PT Serif" w:hAnsi="PT Serif" w:cs="PT Serif"/>
          <w:sz w:val="17"/>
          <w:szCs w:val="17"/>
        </w:rPr>
        <w:t>»</w:t>
      </w:r>
      <w:bookmarkEnd w:id="1"/>
      <w:r w:rsidRPr="00DC626B">
        <w:rPr>
          <w:rFonts w:ascii="PT Serif" w:hAnsi="PT Serif" w:cs="PT Serif"/>
          <w:sz w:val="17"/>
          <w:szCs w:val="17"/>
        </w:rPr>
        <w:t xml:space="preserve">. </w:t>
      </w:r>
      <w:r w:rsidRPr="00DC626B">
        <w:rPr>
          <w:rFonts w:ascii="PT Serif" w:hAnsi="PT Serif" w:cs="PT Serif"/>
          <w:i/>
          <w:iCs/>
          <w:sz w:val="17"/>
          <w:szCs w:val="17"/>
        </w:rPr>
        <w:t>Revista de Derecho y proceso penal</w:t>
      </w:r>
      <w:r w:rsidRPr="00DC626B">
        <w:rPr>
          <w:rFonts w:ascii="PT Serif" w:hAnsi="PT Serif" w:cs="PT Serif"/>
          <w:sz w:val="17"/>
          <w:szCs w:val="17"/>
        </w:rPr>
        <w:t xml:space="preserve">, núm. 14, 2005, pp. 13-24; FUENTES SORIANO, </w:t>
      </w:r>
      <w:r w:rsidR="007E4877" w:rsidRPr="00DC626B">
        <w:rPr>
          <w:rFonts w:ascii="PT Serif" w:hAnsi="PT Serif" w:cs="PT Serif"/>
          <w:sz w:val="17"/>
          <w:szCs w:val="17"/>
        </w:rPr>
        <w:t>«</w:t>
      </w:r>
      <w:r w:rsidRPr="00DC626B">
        <w:rPr>
          <w:rFonts w:ascii="PT Serif" w:hAnsi="PT Serif" w:cs="PT Serif"/>
          <w:sz w:val="17"/>
          <w:szCs w:val="17"/>
        </w:rPr>
        <w:t>La constitucionalidad de la Ley Orgánica de medidas de protección integral contra la violencia de género</w:t>
      </w:r>
      <w:r w:rsidR="00DB3917" w:rsidRPr="00DC626B">
        <w:rPr>
          <w:rFonts w:ascii="PT Serif" w:hAnsi="PT Serif" w:cs="PT Serif"/>
          <w:sz w:val="17"/>
          <w:szCs w:val="17"/>
        </w:rPr>
        <w:t>».</w:t>
      </w:r>
      <w:r w:rsidRPr="00DC626B">
        <w:rPr>
          <w:rFonts w:ascii="PT Serif" w:hAnsi="PT Serif" w:cs="PT Serif"/>
          <w:sz w:val="17"/>
          <w:szCs w:val="17"/>
        </w:rPr>
        <w:t xml:space="preserve"> La Ley núm. 5, 2005, pp. 1153-1170; GÓMEZ COLOMER, </w:t>
      </w:r>
      <w:r w:rsidR="00DB3917" w:rsidRPr="00DC626B">
        <w:rPr>
          <w:rFonts w:ascii="PT Serif" w:hAnsi="PT Serif" w:cs="PT Serif"/>
          <w:sz w:val="17"/>
          <w:szCs w:val="17"/>
        </w:rPr>
        <w:t>«</w:t>
      </w:r>
      <w:r w:rsidRPr="00DC626B">
        <w:rPr>
          <w:rFonts w:ascii="PT Serif" w:hAnsi="PT Serif" w:cs="PT Serif"/>
          <w:sz w:val="17"/>
          <w:szCs w:val="17"/>
        </w:rPr>
        <w:t>La nueva ley española de medidas de protección integral contra la violencia de género</w:t>
      </w:r>
      <w:r w:rsidR="00DB3917" w:rsidRPr="00DC626B">
        <w:rPr>
          <w:rFonts w:ascii="PT Serif" w:hAnsi="PT Serif" w:cs="PT Serif"/>
          <w:sz w:val="17"/>
          <w:szCs w:val="17"/>
        </w:rPr>
        <w:t>»</w:t>
      </w:r>
      <w:r w:rsidRPr="00DC626B">
        <w:rPr>
          <w:rFonts w:ascii="PT Serif" w:hAnsi="PT Serif" w:cs="PT Serif"/>
          <w:sz w:val="17"/>
          <w:szCs w:val="17"/>
        </w:rPr>
        <w:t xml:space="preserve">, en </w:t>
      </w:r>
      <w:hyperlink r:id="rId4" w:history="1">
        <w:r w:rsidRPr="00DC626B">
          <w:rPr>
            <w:rFonts w:ascii="PT Serif" w:hAnsi="PT Serif" w:cs="PT Serif"/>
            <w:i/>
            <w:iCs/>
            <w:sz w:val="17"/>
            <w:szCs w:val="17"/>
          </w:rPr>
          <w:t>Derecho penal liberal y dignidad humana: libro homenaje al Doctor Hernando Londoño Jiménez</w:t>
        </w:r>
      </w:hyperlink>
      <w:r w:rsidRPr="00DC626B">
        <w:rPr>
          <w:rFonts w:ascii="PT Serif" w:hAnsi="PT Serif" w:cs="PT Serif"/>
          <w:sz w:val="17"/>
          <w:szCs w:val="17"/>
        </w:rPr>
        <w:t xml:space="preserve"> (VELÁSQUES VELÁSQUES,</w:t>
      </w:r>
      <w:r w:rsidR="00024B3F" w:rsidRPr="00DC626B">
        <w:rPr>
          <w:rFonts w:ascii="PT Serif" w:hAnsi="PT Serif" w:cs="PT Serif"/>
          <w:sz w:val="17"/>
          <w:szCs w:val="17"/>
        </w:rPr>
        <w:t>/</w:t>
      </w:r>
      <w:r w:rsidRPr="00DC626B">
        <w:rPr>
          <w:rFonts w:ascii="PT Serif" w:hAnsi="PT Serif" w:cs="PT Serif"/>
          <w:sz w:val="17"/>
          <w:szCs w:val="17"/>
        </w:rPr>
        <w:t>AMBOS) autores varios (a partir de ahora AAVV). Editorial Temis. Colombia 2005, pp. 273-302; GÓMEZ COLOMER, J</w:t>
      </w:r>
      <w:r w:rsidR="00DB3917" w:rsidRPr="00DC626B">
        <w:rPr>
          <w:rFonts w:ascii="PT Serif" w:hAnsi="PT Serif" w:cs="PT Serif"/>
          <w:sz w:val="17"/>
          <w:szCs w:val="17"/>
        </w:rPr>
        <w:t>uan Luis</w:t>
      </w:r>
      <w:r w:rsidRPr="00DC626B">
        <w:rPr>
          <w:rFonts w:ascii="PT Serif" w:hAnsi="PT Serif" w:cs="PT Serif"/>
          <w:sz w:val="17"/>
          <w:szCs w:val="17"/>
        </w:rPr>
        <w:t xml:space="preserve">, </w:t>
      </w:r>
      <w:r w:rsidRPr="00DC626B">
        <w:rPr>
          <w:rFonts w:ascii="PT Serif" w:hAnsi="PT Serif" w:cs="PT Serif"/>
          <w:i/>
          <w:iCs/>
          <w:sz w:val="17"/>
          <w:szCs w:val="17"/>
        </w:rPr>
        <w:t>Violencia de género y proceso</w:t>
      </w:r>
      <w:r w:rsidRPr="00DC626B">
        <w:rPr>
          <w:rFonts w:ascii="PT Serif" w:hAnsi="PT Serif" w:cs="PT Serif"/>
          <w:sz w:val="17"/>
          <w:szCs w:val="17"/>
        </w:rPr>
        <w:t xml:space="preserve">. Valencia. Tirant lo Blanch 2007. </w:t>
      </w:r>
    </w:p>
  </w:footnote>
  <w:footnote w:id="20">
    <w:p w14:paraId="3F705884" w14:textId="5D286326" w:rsidR="002264B7" w:rsidRPr="00DC626B" w:rsidRDefault="002264B7" w:rsidP="00DF3094">
      <w:pPr>
        <w:pStyle w:val="FootnoteText"/>
        <w:rPr>
          <w:smallCaps/>
          <w:sz w:val="17"/>
          <w:szCs w:val="17"/>
        </w:rPr>
        <w:spacing w:line="212" w:lineRule="auto" w:before="0" w:after="0"/>
      </w:pPr>
      <w:r w:rsidRPr="00DC626B">
        <w:rPr>
          <w:i w:val="0"/>
          <w:iCs w:val="0"/>
          <w:vertAlign w:val="superscript"/>
        </w:rPr>
        <w:footnoteRef/>
      </w:r>
      <w:r w:rsidRPr="00DC626B">
        <w:rPr>
          <w:rFonts w:ascii="PT Serif" w:hAnsi="PT Serif" w:cs="PT Serif"/>
          <w:sz w:val="17"/>
          <w:szCs w:val="17"/>
        </w:rPr>
        <w:t xml:space="preserve"> </w:t>
      </w:r>
      <w:r w:rsidR="00093533" w:rsidRPr="00DC626B">
        <w:rPr>
          <w:rFonts w:ascii="PT Serif" w:hAnsi="PT Serif" w:cs="PT Serif"/>
          <w:sz w:val="17"/>
          <w:szCs w:val="17"/>
        </w:rPr>
        <w:t>Hasta tal punto se confía ese papel a jueces y juezas, que el legislador, a pesar de las reformas realizadas tendentes a generalizar los medios adecuados de solución de controversias, mantiene la prohibición de estos medios en los supuestos de violencia contra la mujer. En</w:t>
      </w:r>
      <w:r w:rsidRPr="00DC626B">
        <w:rPr>
          <w:rFonts w:ascii="PT Serif" w:hAnsi="PT Serif" w:cs="PT Serif"/>
          <w:color w:val="EE0000"/>
          <w:sz w:val="17"/>
          <w:szCs w:val="17"/>
        </w:rPr>
        <w:t xml:space="preserve"> </w:t>
      </w:r>
      <w:r w:rsidRPr="00DC626B">
        <w:rPr>
          <w:rFonts w:ascii="PT Serif" w:hAnsi="PT Serif" w:cs="PT Serif"/>
          <w:sz w:val="17"/>
          <w:szCs w:val="17"/>
        </w:rPr>
        <w:t>general sobre esta cuestión, CASTILLEJO MANZANARES, «Mediación en violencia de género: una solución o un problema, en Mediación: un método de conflictos: estudio interdisciplinar» (GONZÁLEZ-CUÉLLAR SERRANO, dir.; SANZ HERMIDA/ORTIZ PRADILLO, coords.). Colex, 2010, pp. 193-204.</w:t>
      </w:r>
      <w:r w:rsidR="00093533" w:rsidRPr="00DC626B">
        <w:rPr>
          <w:rFonts w:ascii="PT Serif" w:hAnsi="PT Serif" w:cs="PT Serif"/>
          <w:sz w:val="17"/>
          <w:szCs w:val="17"/>
        </w:rPr>
        <w:t xml:space="preserve"> </w:t>
      </w:r>
    </w:p>
    <w:p w14:paraId="136B65A8" w14:textId="3978B3E2" w:rsidR="002264B7" w:rsidRPr="00DC626B" w:rsidRDefault="00093533" w:rsidP="002264B7">
      <w:pPr>
        <w:pStyle w:val="FootnoteText"/>
        <w:spacing w:after="100" w:line="212" w:lineRule="auto" w:before="0"/>
        <w:jc w:val="both"/>
        <w:rPr>
          <w:smallCaps/>
          <w:sz w:val="17"/>
          <w:szCs w:val="17"/>
        </w:rPr>
      </w:pPr>
      <w:r w:rsidRPr="00DC626B">
        <w:rPr>
          <w:rFonts w:ascii="PT Serif" w:hAnsi="PT Serif" w:cs="PT Serif"/>
          <w:sz w:val="17"/>
          <w:szCs w:val="17"/>
        </w:rPr>
        <w:t>Debemos señalar que en</w:t>
      </w:r>
      <w:r w:rsidR="002264B7" w:rsidRPr="00DC626B">
        <w:rPr>
          <w:rFonts w:ascii="PT Serif" w:hAnsi="PT Serif" w:cs="PT Serif"/>
          <w:sz w:val="17"/>
          <w:szCs w:val="17"/>
        </w:rPr>
        <w:t xml:space="preserve"> este contexto, el artículo 89 de la Ley Orgánica 6/1985, de 1 de julio, del Poder Judicial, con la redacción dada por la Ley Orgánica 1/2025, de 2 de enero, de medidas en materia de eficiencia del Servicio Público de Justicia, al regular la competencia de las Secciones de Violencia sobre la Mujer de los Tribunales de Instancia, dispone de manera tajante en su apartado 9 que «en todos estos casos está vedada la utilización de los medios adecuados de solución de controversias».</w:t>
      </w:r>
    </w:p>
  </w:footnote>
  <w:footnote w:id="21">
    <w:p w14:paraId="150F9130" w14:textId="637FFEE5" w:rsidR="00525987" w:rsidRPr="00DC626B" w:rsidRDefault="0052598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El juicio de aplicabilidad se entiende que concurre tal y como se indica en el FJ 3º in fine: </w:t>
      </w:r>
      <w:r w:rsidR="006676FE" w:rsidRPr="00DC626B">
        <w:rPr>
          <w:rFonts w:ascii="PT Serif" w:hAnsi="PT Serif" w:cs="PT Serif"/>
          <w:sz w:val="17"/>
          <w:szCs w:val="17"/>
        </w:rPr>
        <w:t>«</w:t>
      </w:r>
      <w:r w:rsidRPr="00DC626B">
        <w:rPr>
          <w:rFonts w:ascii="PT Serif" w:hAnsi="PT Serif" w:cs="PT Serif"/>
          <w:sz w:val="17"/>
          <w:szCs w:val="17"/>
        </w:rPr>
        <w:t>Cabe considerar cumplidas las anteriores exigencias respecto al juicio de aplicabilidad, si bien, dadas las circunstancias concurrentes en el proceso a quo, la duda de constitucionalidad debe quedar limitada al supuesto de exclusión del usufructo del tercio destinado a mejora en el caso de sucesión abintestato del cónyuge supérstite separado de hecho. Por tanto, únicamente a los términos “o de hecho” del </w:t>
      </w:r>
      <w:hyperlink r:id="rId5" w:anchor="I4181')" w:tooltip="enlace" w:history="1">
        <w:r w:rsidRPr="00DC626B">
          <w:rPr>
            <w:rFonts w:ascii="PT Serif" w:hAnsi="PT Serif" w:cs="PT Serif"/>
            <w:sz w:val="17"/>
            <w:szCs w:val="17"/>
          </w:rPr>
          <w:t>art. 834 CC</w:t>
        </w:r>
      </w:hyperlink>
      <w:r w:rsidR="006676FE" w:rsidRPr="00DC626B">
        <w:rPr>
          <w:rFonts w:ascii="PT Serif" w:hAnsi="PT Serif" w:cs="PT Serif"/>
          <w:sz w:val="17"/>
          <w:szCs w:val="17"/>
        </w:rPr>
        <w:t>»</w:t>
      </w:r>
      <w:r w:rsidRPr="00DC626B">
        <w:rPr>
          <w:rFonts w:ascii="PT Serif" w:hAnsi="PT Serif" w:cs="PT Serif"/>
          <w:sz w:val="17"/>
          <w:szCs w:val="17"/>
        </w:rPr>
        <w:t>.</w:t>
      </w:r>
    </w:p>
  </w:footnote>
  <w:footnote w:id="22">
    <w:p w14:paraId="049F4965" w14:textId="7EB469A8" w:rsidR="00525987" w:rsidRPr="00DC626B" w:rsidRDefault="0052598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A efectos informativos destacamos que el ATC 301/2023 presenta un voto particular concurrente formulado por la magistrada Dña. Inmaculada Montalbán Huertas en el que se indica que la discrepancia no se da en relación con la inadmisión de la cuestión de inconstitucionalidad ya que </w:t>
      </w:r>
      <w:r w:rsidR="00514CC9" w:rsidRPr="00DC626B">
        <w:rPr>
          <w:rFonts w:ascii="PT Serif" w:hAnsi="PT Serif" w:cs="PT Serif"/>
          <w:sz w:val="17"/>
          <w:szCs w:val="17"/>
        </w:rPr>
        <w:t>«</w:t>
      </w:r>
      <w:r w:rsidRPr="00DC626B">
        <w:rPr>
          <w:rFonts w:ascii="PT Serif" w:hAnsi="PT Serif" w:cs="PT Serif"/>
          <w:sz w:val="17"/>
          <w:szCs w:val="17"/>
        </w:rPr>
        <w:t>considero que es notoriamente infundada dado que, cuando el </w:t>
      </w:r>
      <w:hyperlink r:id="rId6" w:anchor="I4181')" w:tooltip="enlace" w:history="1">
        <w:r w:rsidRPr="00DC626B">
          <w:rPr>
            <w:rFonts w:ascii="PT Serif" w:hAnsi="PT Serif" w:cs="PT Serif"/>
            <w:sz w:val="17"/>
            <w:szCs w:val="17"/>
          </w:rPr>
          <w:t>art. 834 del Código Civil</w:t>
        </w:r>
      </w:hyperlink>
      <w:r w:rsidRPr="00DC626B">
        <w:rPr>
          <w:rFonts w:ascii="PT Serif" w:hAnsi="PT Serif" w:cs="PT Serif"/>
          <w:sz w:val="17"/>
          <w:szCs w:val="17"/>
        </w:rPr>
        <w:t> se refiere a la separación de hecho de los cónyuges, se circunscribe a lo que por esa expresión se entiende en el ámbito del Derecho Civil, sin que sea extensible o extrapolable a aquellas “separaciones”, de muy distinta naturaleza, que se producen en los contextos de violencia de género que dan lugar a la investigación criminal y, en su caso a órdenes judiciales de protección de las víctimas, como es el caso</w:t>
      </w:r>
      <w:r w:rsidR="00514CC9" w:rsidRPr="00DC626B">
        <w:rPr>
          <w:rFonts w:ascii="PT Serif" w:hAnsi="PT Serif" w:cs="PT Serif"/>
          <w:sz w:val="17"/>
          <w:szCs w:val="17"/>
        </w:rPr>
        <w:t>»</w:t>
      </w:r>
      <w:r w:rsidRPr="00DC626B">
        <w:rPr>
          <w:rFonts w:ascii="PT Serif" w:hAnsi="PT Serif" w:cs="PT Serif"/>
          <w:sz w:val="17"/>
          <w:szCs w:val="17"/>
        </w:rPr>
        <w:t>. Por el contrario, la discrepancia se da en relación con la argumentación seguida mayoritariamente en relación con los juicios de aplicabilidad y relevancia.</w:t>
      </w:r>
    </w:p>
  </w:footnote>
  <w:footnote w:id="23">
    <w:p w14:paraId="3D53BEFF" w14:textId="171C3752" w:rsidR="00C50C16" w:rsidRPr="00DC626B" w:rsidRDefault="00C50C16"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A efectos complementarios, indicados que la magistrada da. Inmaculada Montalbán Huertas en el voto particular concurrente que emitió, en relación con la referencia al Convenio de Estambul afirma que no era necesario recurrir a él para inadmitir la cuestión de inconstitucionalidad. En concreto, afirma: «mi discrepancia no lo es con la inadmisión de la cuestión de inconstitucionalidad. Considero que es notoriamente infundada dado que, cuando el </w:t>
      </w:r>
      <w:hyperlink r:id="rId7" w:anchor="I4181')" w:tooltip="enlace" w:history="1">
        <w:r w:rsidRPr="00DC626B">
          <w:rPr>
            <w:rFonts w:ascii="PT Serif" w:hAnsi="PT Serif" w:cs="PT Serif"/>
            <w:sz w:val="17"/>
            <w:szCs w:val="17"/>
          </w:rPr>
          <w:t>art. 834 del Código Civil</w:t>
        </w:r>
      </w:hyperlink>
      <w:r w:rsidRPr="00DC626B">
        <w:rPr>
          <w:rFonts w:ascii="PT Serif" w:hAnsi="PT Serif" w:cs="PT Serif"/>
          <w:sz w:val="17"/>
          <w:szCs w:val="17"/>
        </w:rPr>
        <w:t> se refiere a la separación de hecho de los cónyuges, se circunscribe a lo que por esa expresión se entiende en el ámbito del Derecho Civil, sin que sea extensible o extrapolable a aquellas “separaciones”, de muy distinta naturaleza, que se producen en los contextos de violencia de género que dan lugar a la investigación criminal y, en su caso a órdenes judiciales de protección de las víctimas, como es el caso. Hubiera bastado este razonamiento para inadmitir la cuestión de inconstitucionalidad, sin insistir, por otra parte, en la improcedencia por parte del órgano judicial de aludir al Convenio de Estambul; ya que lo cierto es que, tras la valida celebración del convenio y su publicación oficial, forma parte del ordenamiento interno (</w:t>
      </w:r>
      <w:hyperlink r:id="rId8" w:anchor="I235')" w:tooltip="enlace" w:history="1">
        <w:r w:rsidRPr="00DC626B">
          <w:rPr>
            <w:rFonts w:ascii="PT Serif" w:hAnsi="PT Serif" w:cs="PT Serif"/>
            <w:sz w:val="17"/>
            <w:szCs w:val="17"/>
          </w:rPr>
          <w:t>art. 96.1 CE</w:t>
        </w:r>
      </w:hyperlink>
      <w:r w:rsidRPr="00DC626B">
        <w:rPr>
          <w:rFonts w:ascii="PT Serif" w:hAnsi="PT Serif" w:cs="PT Serif"/>
          <w:sz w:val="17"/>
          <w:szCs w:val="17"/>
        </w:rPr>
        <w:t>)».</w:t>
      </w:r>
    </w:p>
  </w:footnote>
  <w:footnote w:id="24">
    <w:p w14:paraId="6E6CD6DC" w14:textId="3F6FECD6" w:rsidR="00AC3AA1" w:rsidRPr="00DC626B" w:rsidRDefault="00AC3AA1" w:rsidP="00DF3094">
      <w:pPr>
        <w:pStyle w:val="FootnoteText"/>
        <w:rPr>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Por otro lado, también la CE permite sostener que la limitación de los derechos fundamentales incumbe necesariamente a la Jurisdicción. Así, la lectura de los artículos 17.2, 18.2, 18.3, 20.5, 22.3 y 4 CE, evidencian que en los casos en que se pretenda la limitación de este tipo de derechos, la decisión solamente puede tomarla la Jurisdicción. Al respecto, ORTELLS RAMOS, </w:t>
      </w:r>
      <w:r w:rsidR="00EB19B8" w:rsidRPr="00DC626B">
        <w:rPr>
          <w:rFonts w:ascii="PT Serif" w:hAnsi="PT Serif" w:cs="PT Serif"/>
          <w:sz w:val="17"/>
          <w:szCs w:val="17"/>
        </w:rPr>
        <w:t>«</w:t>
      </w:r>
      <w:r w:rsidRPr="00DC626B">
        <w:rPr>
          <w:rFonts w:ascii="PT Serif" w:hAnsi="PT Serif" w:cs="PT Serif"/>
          <w:sz w:val="17"/>
          <w:szCs w:val="17"/>
        </w:rPr>
        <w:t>Exclusividad jurisdiccional para la restricción de derechos fundamentales y ámbitos vedados a la injerencia jurisdiccional. Medidas restrictivas de derechos fundamentales</w:t>
      </w:r>
      <w:r w:rsidR="00EB19B8" w:rsidRPr="00DC626B">
        <w:rPr>
          <w:rFonts w:ascii="PT Serif" w:hAnsi="PT Serif" w:cs="PT Serif"/>
          <w:sz w:val="17"/>
          <w:szCs w:val="17"/>
        </w:rPr>
        <w:t>»</w:t>
      </w:r>
      <w:r w:rsidRPr="00DC626B">
        <w:rPr>
          <w:rFonts w:ascii="PT Serif" w:hAnsi="PT Serif" w:cs="PT Serif"/>
          <w:sz w:val="17"/>
          <w:szCs w:val="17"/>
        </w:rPr>
        <w:t>. Cuadernos de Derecho Judicial 1996, pp. 13-66; ORTELLS RAMOS</w:t>
      </w:r>
      <w:r w:rsidR="00EB19B8" w:rsidRPr="00DC626B">
        <w:rPr>
          <w:rFonts w:ascii="PT Serif" w:hAnsi="PT Serif" w:cs="PT Serif"/>
          <w:sz w:val="17"/>
          <w:szCs w:val="17"/>
        </w:rPr>
        <w:t>,</w:t>
      </w:r>
      <w:r w:rsidRPr="00DC626B">
        <w:rPr>
          <w:rFonts w:ascii="PT Serif" w:hAnsi="PT Serif" w:cs="PT Serif"/>
          <w:sz w:val="17"/>
          <w:szCs w:val="17"/>
        </w:rPr>
        <w:t xml:space="preserve"> et al, </w:t>
      </w:r>
      <w:r w:rsidRPr="00DC626B">
        <w:rPr>
          <w:rFonts w:ascii="PT Serif" w:hAnsi="PT Serif" w:cs="PT Serif"/>
          <w:i/>
          <w:iCs/>
          <w:sz w:val="17"/>
          <w:szCs w:val="17"/>
        </w:rPr>
        <w:t>Introducción al Derecho Procesal</w:t>
      </w:r>
      <w:r w:rsidRPr="00DC626B">
        <w:rPr>
          <w:rFonts w:ascii="PT Serif" w:hAnsi="PT Serif" w:cs="PT Serif"/>
          <w:sz w:val="17"/>
          <w:szCs w:val="17"/>
        </w:rPr>
        <w:t>, 12 edición, Aranzadi, España, 2024, pp. 131-132</w:t>
      </w:r>
      <w:r w:rsidRPr="00DC626B">
        <w:rPr>
          <w:rFonts w:ascii="PT Serif" w:hAnsi="PT Serif" w:cs="PT Serif"/>
          <w:sz w:val="17"/>
          <w:szCs w:val="17"/>
        </w:rPr>
        <w:t>.</w:t>
      </w:r>
    </w:p>
  </w:footnote>
  <w:footnote w:id="25">
    <w:p w14:paraId="065BFA85" w14:textId="77777777" w:rsidR="0008223F" w:rsidRPr="00DC626B" w:rsidRDefault="0008223F"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TOL5.621.306, ponente Encarnación Roca Trías.</w:t>
      </w:r>
    </w:p>
  </w:footnote>
  <w:footnote w:id="26">
    <w:p w14:paraId="080DF650" w14:textId="356C0572" w:rsidR="00CA1F8C" w:rsidRPr="00DC626B" w:rsidRDefault="00CA1F8C"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Dicho Decreto adoptaba medidas urgentes para garantizar la estabilidad financiera del sistema eléctrico, introduciendo modificaciones del régimen retributivo de la producción de energía eléctrica a partir de fuentes de energía renovables, cogeneración y residuos.</w:t>
      </w:r>
    </w:p>
  </w:footnote>
  <w:footnote w:id="27">
    <w:p w14:paraId="6763BBB7" w14:textId="75B0BCF0" w:rsidR="00637BCD" w:rsidRPr="00DC626B" w:rsidRDefault="00637BCD"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w:t>
      </w:r>
      <w:r w:rsidRPr="00DC626B">
        <w:rPr>
          <w:rFonts w:ascii="PT Serif" w:hAnsi="PT Serif" w:cs="PT Serif"/>
          <w:sz w:val="17"/>
          <w:szCs w:val="17"/>
        </w:rPr>
        <w:t xml:space="preserve">Al respecto, el TC afirma que </w:t>
      </w:r>
      <w:r w:rsidR="00303363" w:rsidRPr="00DC626B">
        <w:rPr>
          <w:rFonts w:ascii="PT Serif" w:hAnsi="PT Serif" w:cs="PT Serif"/>
          <w:sz w:val="17"/>
          <w:szCs w:val="17"/>
        </w:rPr>
        <w:t>«</w:t>
      </w:r>
      <w:r w:rsidRPr="00DC626B">
        <w:rPr>
          <w:rFonts w:ascii="PT Serif" w:hAnsi="PT Serif" w:cs="PT Serif"/>
          <w:sz w:val="17"/>
          <w:szCs w:val="17"/>
        </w:rPr>
        <w:t xml:space="preserve">si bien es cierto que la Carta de la Energía contempla la necesidad de dotar de seguridad y permanencia a las inversiones en energías renovables y la prohibición de adoptar medidas que afecten a dichas inversiones con efectos equivalentes a la expropiación, lo que el recurrente pretende plantear en realidad es una cuestión relacionada con el sistema de fuentes, en particular con el principio de jerarquía normativa. En modo alguno se argumenta sobre el fondo del asunto, esto es, de qué forma las normas que cuestiona contravendrían las reglas del Tratado y, sobre todo, cuáles serían las consecuencias de dicha contravención, a efectos de su enjuiciamiento en sede constitucional. Por eso no se ha levantado la carga alegatoria que pesa sobre quien pretende la declaración de inconstitucionalidad de una norma con rango de ley, pues el recurso carece en este punto de la mínima fundamentación que permita a este Tribunal inferir las razones por las que el recurrente considera que la norma legal impugnada infringe la Constitución. La demanda se limita a hacer referencia al contenido de los arts. 10 y 13 del Tratado sobre la Carta de la Energía, afirmando posteriormente que </w:t>
      </w:r>
      <w:r w:rsidRPr="00DC626B">
        <w:rPr>
          <w:rFonts w:ascii="PT Serif" w:hAnsi="PT Serif" w:cs="PT Serif"/>
          <w:sz w:val="17"/>
          <w:szCs w:val="17"/>
        </w:rPr>
        <w:t>―</w:t>
      </w:r>
      <w:r w:rsidRPr="00DC626B">
        <w:rPr>
          <w:rFonts w:ascii="PT Serif" w:hAnsi="PT Serif" w:cs="PT Serif"/>
          <w:sz w:val="17"/>
          <w:szCs w:val="17"/>
        </w:rPr>
        <w:t>el Estado español, con la aprobación del  </w:t>
      </w:r>
      <w:hyperlink r:id="rId9" w:history="1">
        <w:r w:rsidRPr="00DC626B">
          <w:rPr>
            <w:rFonts w:ascii="PT Serif" w:hAnsi="PT Serif" w:cs="PT Serif"/>
            <w:sz w:val="17"/>
            <w:szCs w:val="17"/>
          </w:rPr>
          <w:t>Real Decreto-ley 9/2013</w:t>
        </w:r>
      </w:hyperlink>
      <w:r w:rsidRPr="00DC626B">
        <w:rPr>
          <w:rFonts w:ascii="PT Serif" w:hAnsi="PT Serif" w:cs="PT Serif"/>
          <w:sz w:val="17"/>
          <w:szCs w:val="17"/>
        </w:rPr>
        <w:t>, ha incumplido sus obligaciones contraídas con inversores extranjeros…—, decisión que, a su entender, implica un incumplimiento del mencionado Tratado que comportaría como consecuencia la infracción de los principios de jerarquía normativa y de seguridad jurídica. Esa infracción aparece únicamente mencionada, ya que la afirmación del recurrente no viene acompañada de la necesaria argumentación específica que permita conocer las razones por las cuales entienden que las disposiciones cuestionadas vulneran el orden constitucional, sin que esta insuficiencia deba ser salvada por este Tribunal</w:t>
      </w:r>
      <w:r w:rsidR="00303363" w:rsidRPr="00DC626B">
        <w:rPr>
          <w:rFonts w:ascii="PT Serif" w:hAnsi="PT Serif" w:cs="PT Serif"/>
          <w:sz w:val="17"/>
          <w:szCs w:val="17"/>
        </w:rPr>
        <w:t>»</w:t>
      </w:r>
      <w:r w:rsidRPr="00DC626B">
        <w:rPr>
          <w:rFonts w:ascii="PT Serif" w:hAnsi="PT Serif" w:cs="PT Serif"/>
          <w:sz w:val="17"/>
          <w:szCs w:val="17"/>
        </w:rPr>
        <w:t>.</w:t>
      </w:r>
    </w:p>
  </w:footnote>
  <w:footnote w:id="28">
    <w:p w14:paraId="2874718A" w14:textId="0A2CC471" w:rsidR="001E5777" w:rsidRPr="00DC626B" w:rsidRDefault="001E577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TOL6.978.681, ponente F. Valdés Dal-Re.</w:t>
      </w:r>
    </w:p>
  </w:footnote>
  <w:footnote w:id="29">
    <w:p w14:paraId="14A32A5B" w14:textId="46C76894" w:rsidR="001E5777" w:rsidRPr="00DC626B" w:rsidRDefault="001E577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Sobre esta reforma, BONET ESTEVA, </w:t>
      </w:r>
      <w:r w:rsidR="00CA3392" w:rsidRPr="00DC626B">
        <w:rPr>
          <w:rFonts w:ascii="PT Serif" w:hAnsi="PT Serif" w:cs="PT Serif"/>
          <w:sz w:val="17"/>
          <w:szCs w:val="17"/>
        </w:rPr>
        <w:t>«</w:t>
      </w:r>
      <w:r w:rsidRPr="00DC626B">
        <w:rPr>
          <w:rFonts w:ascii="PT Serif" w:hAnsi="PT Serif" w:cs="PT Serif"/>
          <w:sz w:val="17"/>
          <w:szCs w:val="17"/>
        </w:rPr>
        <w:t>Principio de Justicia universal, de modelo absoluto a modelo restrictivo, a propósito de sucesivas modificaciones del art. 23.4 LO Poder Judicial</w:t>
      </w:r>
      <w:r w:rsidR="00CA3392" w:rsidRPr="00DC626B">
        <w:rPr>
          <w:rFonts w:ascii="PT Serif" w:hAnsi="PT Serif" w:cs="PT Serif"/>
          <w:sz w:val="17"/>
          <w:szCs w:val="17"/>
        </w:rPr>
        <w:t>»</w:t>
      </w:r>
      <w:r w:rsidRPr="00DC626B">
        <w:rPr>
          <w:rFonts w:ascii="PT Serif" w:hAnsi="PT Serif" w:cs="PT Serif"/>
          <w:sz w:val="17"/>
          <w:szCs w:val="17"/>
        </w:rPr>
        <w:t xml:space="preserve">. Pre-bie3, núm. 6, 2015; BUJOSA VADELL, </w:t>
      </w:r>
      <w:r w:rsidR="00CA3392" w:rsidRPr="00DC626B">
        <w:rPr>
          <w:rFonts w:ascii="PT Serif" w:hAnsi="PT Serif" w:cs="PT Serif"/>
          <w:sz w:val="17"/>
          <w:szCs w:val="17"/>
        </w:rPr>
        <w:t>«</w:t>
      </w:r>
      <w:r w:rsidRPr="00DC626B">
        <w:rPr>
          <w:rFonts w:ascii="PT Serif" w:hAnsi="PT Serif" w:cs="PT Serif"/>
          <w:sz w:val="17"/>
          <w:szCs w:val="17"/>
        </w:rPr>
        <w:t>Ley Orgánica 1/2014, de 13 de marzo, de modificación de la Ley Orgánica 6/1985, de 1 de julio, del Poder Judicial, relativa a la justicia universal</w:t>
      </w:r>
      <w:r w:rsidR="00CA3392" w:rsidRPr="00DC626B">
        <w:rPr>
          <w:rFonts w:ascii="PT Serif" w:hAnsi="PT Serif" w:cs="PT Serif"/>
          <w:sz w:val="17"/>
          <w:szCs w:val="17"/>
        </w:rPr>
        <w:t>»</w:t>
      </w:r>
      <w:r w:rsidRPr="00DC626B">
        <w:rPr>
          <w:rFonts w:ascii="PT Serif" w:hAnsi="PT Serif" w:cs="PT Serif"/>
          <w:sz w:val="17"/>
          <w:szCs w:val="17"/>
        </w:rPr>
        <w:t xml:space="preserve">. </w:t>
      </w:r>
      <w:r w:rsidRPr="00DC626B">
        <w:rPr>
          <w:rFonts w:ascii="PT Serif" w:hAnsi="PT Serif" w:cs="PT Serif"/>
          <w:i/>
          <w:iCs/>
          <w:sz w:val="17"/>
          <w:szCs w:val="17"/>
        </w:rPr>
        <w:t>Ars Iuris Salmanticensis: revista europea e iberoamericana de pensamiento y análisis del derecho</w:t>
      </w:r>
      <w:r w:rsidRPr="00DC626B">
        <w:rPr>
          <w:rFonts w:ascii="PT Serif" w:hAnsi="PT Serif" w:cs="PT Serif"/>
          <w:sz w:val="17"/>
          <w:szCs w:val="17"/>
        </w:rPr>
        <w:t xml:space="preserve">, vol. 2, núm. 2, 2014, pp. 223-232; PÉREZ CEPEDA, </w:t>
      </w:r>
      <w:r w:rsidR="00B60615" w:rsidRPr="00DC626B">
        <w:rPr>
          <w:rFonts w:ascii="PT Serif" w:hAnsi="PT Serif" w:cs="PT Serif"/>
          <w:sz w:val="17"/>
          <w:szCs w:val="17"/>
        </w:rPr>
        <w:t>«</w:t>
      </w:r>
      <w:r w:rsidRPr="00DC626B">
        <w:rPr>
          <w:rFonts w:ascii="PT Serif" w:hAnsi="PT Serif" w:cs="PT Serif"/>
          <w:sz w:val="17"/>
          <w:szCs w:val="17"/>
        </w:rPr>
        <w:t>Ley Orgánica 1/2014, de 13 de marzo, ley de punto final del principio de justicia universal en España</w:t>
      </w:r>
      <w:r w:rsidR="00B60615" w:rsidRPr="00DC626B">
        <w:rPr>
          <w:rFonts w:ascii="PT Serif" w:hAnsi="PT Serif" w:cs="PT Serif"/>
          <w:sz w:val="17"/>
          <w:szCs w:val="17"/>
        </w:rPr>
        <w:t>»</w:t>
      </w:r>
      <w:r w:rsidRPr="00DC626B">
        <w:rPr>
          <w:rFonts w:ascii="PT Serif" w:hAnsi="PT Serif" w:cs="PT Serif"/>
          <w:sz w:val="17"/>
          <w:szCs w:val="17"/>
        </w:rPr>
        <w:t xml:space="preserve">. </w:t>
      </w:r>
      <w:r w:rsidRPr="00DC626B">
        <w:rPr>
          <w:rFonts w:ascii="PT Serif" w:hAnsi="PT Serif" w:cs="PT Serif"/>
          <w:i/>
          <w:iCs/>
          <w:sz w:val="17"/>
          <w:szCs w:val="17"/>
        </w:rPr>
        <w:t>Derecho penal para un Estado social y democrático de Derecho: estudios penales en homenaje al profesor Emilio Octavio de Toledo y Ubieto</w:t>
      </w:r>
      <w:r w:rsidRPr="00DC626B">
        <w:rPr>
          <w:rFonts w:ascii="PT Serif" w:hAnsi="PT Serif" w:cs="PT Serif"/>
          <w:sz w:val="17"/>
          <w:szCs w:val="17"/>
        </w:rPr>
        <w:t xml:space="preserve"> (MAQUEDA ABREU</w:t>
      </w:r>
      <w:r w:rsidR="000C5D98" w:rsidRPr="00DC626B">
        <w:rPr>
          <w:rFonts w:ascii="PT Serif" w:hAnsi="PT Serif" w:cs="PT Serif"/>
          <w:sz w:val="17"/>
          <w:szCs w:val="17"/>
        </w:rPr>
        <w:t>/</w:t>
      </w:r>
      <w:r w:rsidRPr="00DC626B">
        <w:rPr>
          <w:rFonts w:ascii="PT Serif" w:hAnsi="PT Serif" w:cs="PT Serif"/>
          <w:sz w:val="17"/>
          <w:szCs w:val="17"/>
        </w:rPr>
        <w:t>MARTÍN LORENZO</w:t>
      </w:r>
      <w:r w:rsidR="000C5D98" w:rsidRPr="00DC626B">
        <w:rPr>
          <w:rFonts w:ascii="PT Serif" w:hAnsi="PT Serif" w:cs="PT Serif"/>
          <w:sz w:val="17"/>
          <w:szCs w:val="17"/>
        </w:rPr>
        <w:t>/</w:t>
      </w:r>
      <w:r w:rsidRPr="00DC626B">
        <w:rPr>
          <w:rFonts w:ascii="PT Serif" w:hAnsi="PT Serif" w:cs="PT Serif"/>
          <w:sz w:val="17"/>
          <w:szCs w:val="17"/>
        </w:rPr>
        <w:t>VENTURA PÜSCHEL</w:t>
      </w:r>
      <w:r w:rsidR="000C5D98" w:rsidRPr="00DC626B">
        <w:rPr>
          <w:rFonts w:ascii="PT Serif" w:hAnsi="PT Serif" w:cs="PT Serif"/>
          <w:sz w:val="17"/>
          <w:szCs w:val="17"/>
        </w:rPr>
        <w:t>/</w:t>
      </w:r>
      <w:r w:rsidRPr="00DC626B">
        <w:rPr>
          <w:rFonts w:ascii="PT Serif" w:hAnsi="PT Serif" w:cs="PT Serif"/>
          <w:sz w:val="17"/>
          <w:szCs w:val="17"/>
        </w:rPr>
        <w:t xml:space="preserve">DE TOLEDO, coords.), 2016, pp. 247-267; ÍDEM, </w:t>
      </w:r>
      <w:r w:rsidR="00B60615" w:rsidRPr="00DC626B">
        <w:rPr>
          <w:rFonts w:ascii="PT Serif" w:hAnsi="PT Serif" w:cs="PT Serif"/>
          <w:sz w:val="17"/>
          <w:szCs w:val="17"/>
        </w:rPr>
        <w:t>«</w:t>
      </w:r>
      <w:r w:rsidRPr="00DC626B">
        <w:rPr>
          <w:rFonts w:ascii="PT Serif" w:hAnsi="PT Serif" w:cs="PT Serif"/>
          <w:sz w:val="17"/>
          <w:szCs w:val="17"/>
        </w:rPr>
        <w:t>El principio de justicia universal tras la reforma LO 1/2014</w:t>
      </w:r>
      <w:r w:rsidR="00B60615" w:rsidRPr="00DC626B">
        <w:rPr>
          <w:rFonts w:ascii="PT Serif" w:hAnsi="PT Serif" w:cs="PT Serif"/>
          <w:sz w:val="17"/>
          <w:szCs w:val="17"/>
        </w:rPr>
        <w:t>»</w:t>
      </w:r>
      <w:r w:rsidRPr="00DC626B">
        <w:rPr>
          <w:rFonts w:ascii="PT Serif" w:hAnsi="PT Serif" w:cs="PT Serif"/>
          <w:sz w:val="17"/>
          <w:szCs w:val="17"/>
        </w:rPr>
        <w:t>. Una década de reformas penales: análisis de diez años de cambios en el Código Penal (2010-2020) BUSTOS RUBIO</w:t>
      </w:r>
      <w:r w:rsidR="00525110" w:rsidRPr="00DC626B">
        <w:rPr>
          <w:rFonts w:ascii="PT Serif" w:hAnsi="PT Serif" w:cs="PT Serif"/>
          <w:sz w:val="17"/>
          <w:szCs w:val="17"/>
        </w:rPr>
        <w:t>/</w:t>
      </w:r>
      <w:r w:rsidRPr="00DC626B">
        <w:rPr>
          <w:rFonts w:ascii="PT Serif" w:hAnsi="PT Serif" w:cs="PT Serif"/>
          <w:sz w:val="17"/>
          <w:szCs w:val="17"/>
        </w:rPr>
        <w:t>ABADÍAS SELMA</w:t>
      </w:r>
      <w:r w:rsidR="00525110" w:rsidRPr="00DC626B">
        <w:rPr>
          <w:rFonts w:ascii="PT Serif" w:hAnsi="PT Serif" w:cs="PT Serif"/>
          <w:sz w:val="17"/>
          <w:szCs w:val="17"/>
        </w:rPr>
        <w:t>/</w:t>
      </w:r>
      <w:r w:rsidRPr="00DC626B">
        <w:rPr>
          <w:rFonts w:ascii="PT Serif" w:hAnsi="PT Serif" w:cs="PT Serif"/>
          <w:sz w:val="17"/>
          <w:szCs w:val="17"/>
        </w:rPr>
        <w:t>DEL MORAL GARCÍA, dirs., 2020, pp. 101-121.</w:t>
      </w:r>
    </w:p>
  </w:footnote>
  <w:footnote w:id="30">
    <w:p w14:paraId="3DD8EDD8" w14:textId="219CFE90" w:rsidR="001E5777" w:rsidRPr="00DC626B" w:rsidRDefault="001E5777" w:rsidP="00DF3094">
      <w:pPr>
        <w:pStyle w:val="FootnoteText"/>
        <w:rPr>
          <w:smallCaps/>
          <w:sz w:val="17"/>
          <w:szCs w:val="17"/>
        </w:rPr>
        <w:spacing w:line="212" w:lineRule="auto" w:before="0" w:after="0"/>
      </w:pPr>
      <w:r w:rsidRPr="00DC626B">
        <w:rPr>
          <w:i w:val="0"/>
          <w:iCs w:val="0"/>
          <w:vertAlign w:val="superscript"/>
        </w:rPr>
        <w:footnoteRef/>
      </w:r>
      <w:r w:rsidRPr="00DC626B">
        <w:rPr>
          <w:rFonts w:ascii="PT Serif" w:hAnsi="PT Serif" w:cs="PT Serif"/>
          <w:sz w:val="17"/>
          <w:szCs w:val="17"/>
        </w:rPr>
        <w:t xml:space="preserve"> Sobre estas cuestiones, consideramos interesante recoger el argumento de los demandantes de inconstitucionalidad, incluido en los antecedentes de la STC, apartado 2, letra B), f): </w:t>
      </w:r>
      <w:r w:rsidR="00361C43" w:rsidRPr="00DC626B">
        <w:rPr>
          <w:rFonts w:ascii="PT Serif" w:hAnsi="PT Serif" w:cs="PT Serif"/>
          <w:sz w:val="17"/>
          <w:szCs w:val="17"/>
        </w:rPr>
        <w:t>«</w:t>
      </w:r>
      <w:r w:rsidRPr="00DC626B">
        <w:rPr>
          <w:rFonts w:ascii="PT Serif" w:hAnsi="PT Serif" w:cs="PT Serif"/>
          <w:sz w:val="17"/>
          <w:szCs w:val="17"/>
        </w:rPr>
        <w:t>La Ley Orgánica 1/2014 vulnera el art. 10.2 CE, en relación con el art. 24 CE, al desnaturalizar el principio de jurisdicción universal en los términos configurados por el derecho internacional y por la doctrina constitucional (con cita de las SSTC 21/1997, 87/2000 y 237/2005. La demanda desarrolla esta idea invocando la Resolución de la Asamblea General de la ONU 60/147, de 16 de diciembre de 2005, que establece que los Estados “incorporarán, o aplicarán de otro modo, dentro de su derecho interno las disposiciones apropiadas relativas a la jurisdicción universal”, así como alguna sentencia del Tribunal Internacional de Justicia (Aplicación del Convenio para la prevención y la sanción del delito de genocidio, excepciones preliminares, Bosnia Herzegovina c. Yugoslavia, l.C.J. Reports 1996). Los recurrentes sitúan el fundamento de la jurisdicción universal en normas de derecho internacional que adquieren relevancia constitucional cuando se incluyen en convenios internacionales sobre derechos humanos, por lo que la demanda conecta las obligaciones derivadas del art. 10.2 CE con el respeto al principio de jurisdicción universal. De este modo, la obligación de que los tribunales españoles persigan los delitos que prevé el Derecho Internacional humanitario, de entre los que la demanda cita particularmente el delito de genocidio, independientemente de quién sea el autor o la víctima y el lugar en que se cometen, es norma de ius cogens para España por aplicación del artículo 10.2 CE. La regulación contenida en la LO 1/2014 restrictiva de tal obligación vulnera dicho precepto y el art. 24.1 CE.</w:t>
      </w:r>
      <w:r w:rsidR="00361C43" w:rsidRPr="00DC626B">
        <w:rPr>
          <w:rFonts w:ascii="PT Serif" w:hAnsi="PT Serif" w:cs="PT Serif"/>
          <w:sz w:val="17"/>
          <w:szCs w:val="17"/>
        </w:rPr>
        <w:t>»</w:t>
      </w:r>
    </w:p>
    <w:p w14:paraId="78306DB8" w14:textId="1EDEA94A" w:rsidR="001E5777" w:rsidRPr="00DC626B" w:rsidRDefault="001E5777" w:rsidP="00DF3094">
      <w:pPr>
        <w:pStyle w:val="FootnoteText"/>
        <w:rPr>
          <w:smallCaps/>
          <w:sz w:val="17"/>
          <w:szCs w:val="17"/>
        </w:rPr>
        <w:spacing w:line="212" w:lineRule="auto" w:before="0" w:after="100"/>
      </w:pPr>
      <w:r w:rsidRPr="00DC626B">
        <w:rPr>
          <w:rFonts w:ascii="PT Serif" w:hAnsi="PT Serif" w:cs="PT Serif"/>
          <w:sz w:val="17"/>
          <w:szCs w:val="17"/>
        </w:rPr>
        <w:t>Para concluir la argumentación relativa a este punto, la demanda se centra en la persecución del delito de genocidio [art. 24.3.a) LOPJ], afirmando que la interpretación de los arts. V y VI de la Convención para la Prevención y la Sanción del Delito de Genocidio (Nueva York, 9 de diciembre de 1948), de la que España es parte desde 1969, realizada por la STC 237/2005, niega el sometimiento de la competencia para enjuiciar estos crímenes internacionales a la concurrencia de intereses nacionales, ya que ello no resultaría conciliable con el fundamento de la jurisdicción universal como expresión de la voluntad de la comunidad internacional de evitar la impunidad en este tipo de crímenes. En este mismo sentido se cita también la STEDH J. C. Alemania, de 12 de julio de 2007, y las del Tribunal Penal Internacional para la Ex Yugoslavia en los casos P. v. K. (20 de enero de 2001) y P. v. Z.D. y otros (20 de febrero de 2001).</w:t>
      </w:r>
    </w:p>
  </w:footnote>
  <w:footnote w:id="31">
    <w:p w14:paraId="5A5B3422" w14:textId="177479BC" w:rsidR="001E5777" w:rsidRPr="00DC626B" w:rsidRDefault="001E577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De manera resumida, volvemos a encontrar referencias a la posición de los demandantes, en el párrafo 1 del FJ 5 de la STC. En concreto, se afirma: </w:t>
      </w:r>
      <w:r w:rsidR="00361C43" w:rsidRPr="00DC626B">
        <w:rPr>
          <w:rFonts w:ascii="PT Serif" w:hAnsi="PT Serif" w:cs="PT Serif"/>
          <w:sz w:val="17"/>
          <w:szCs w:val="17"/>
        </w:rPr>
        <w:t>«</w:t>
      </w:r>
      <w:r w:rsidRPr="00DC626B">
        <w:rPr>
          <w:rFonts w:ascii="PT Serif" w:hAnsi="PT Serif" w:cs="PT Serif"/>
          <w:sz w:val="17"/>
          <w:szCs w:val="17"/>
        </w:rPr>
        <w:t>la demanda imputa a la totalidad de la ley la vulneración del art. 10.2 CE en relación con el art. 24.1 CE, haciendo especial mención de la contradicción entre el art. 23.4.a) LOPJ y los pasajes constitucionales citados. Los recurrentes alegan que la nueva regulación del principio de jurisdicción universal hace irreconocible dicho principio tal y como ha sido definido por el derecho internacional, de modo que tal regulación contraviene el mandato del art. 10.2 CE de ajustar los derechos fundamentales contenidos en el texto constitucional a los dictados del derecho internacional de los derechos humanos</w:t>
      </w:r>
      <w:r w:rsidR="00361C43" w:rsidRPr="00DC626B">
        <w:rPr>
          <w:rFonts w:ascii="PT Serif" w:hAnsi="PT Serif" w:cs="PT Serif"/>
          <w:sz w:val="17"/>
          <w:szCs w:val="17"/>
        </w:rPr>
        <w:t>»</w:t>
      </w:r>
      <w:r w:rsidRPr="00DC626B">
        <w:rPr>
          <w:rFonts w:ascii="PT Serif" w:hAnsi="PT Serif" w:cs="PT Serif"/>
          <w:sz w:val="17"/>
          <w:szCs w:val="17"/>
        </w:rPr>
        <w:t>.</w:t>
      </w:r>
    </w:p>
  </w:footnote>
  <w:footnote w:id="32">
    <w:p w14:paraId="6952CF7D" w14:textId="6547B855" w:rsidR="001E5777" w:rsidRPr="00DC626B" w:rsidRDefault="001E5777"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En doctrina puede verse, ALONSO GARCÍA, </w:t>
      </w:r>
      <w:r w:rsidR="00805ADD" w:rsidRPr="00DC626B">
        <w:rPr>
          <w:rFonts w:ascii="PT Serif" w:hAnsi="PT Serif" w:cs="PT Serif"/>
          <w:sz w:val="17"/>
          <w:szCs w:val="17"/>
        </w:rPr>
        <w:t>«</w:t>
      </w:r>
      <w:r w:rsidRPr="00DC626B">
        <w:rPr>
          <w:rFonts w:ascii="PT Serif" w:hAnsi="PT Serif" w:cs="PT Serif"/>
          <w:sz w:val="17"/>
          <w:szCs w:val="17"/>
        </w:rPr>
        <w:t>El control de convencionalidad: cinco interrogantes</w:t>
      </w:r>
      <w:r w:rsidR="00805ADD" w:rsidRPr="00DC626B">
        <w:rPr>
          <w:rFonts w:ascii="PT Serif" w:hAnsi="PT Serif" w:cs="PT Serif"/>
          <w:sz w:val="17"/>
          <w:szCs w:val="17"/>
        </w:rPr>
        <w:t>»</w:t>
      </w:r>
      <w:r w:rsidRPr="00DC626B">
        <w:rPr>
          <w:rFonts w:ascii="PT Serif" w:hAnsi="PT Serif" w:cs="PT Serif"/>
          <w:sz w:val="17"/>
          <w:szCs w:val="17"/>
        </w:rPr>
        <w:t xml:space="preserve">. </w:t>
      </w:r>
      <w:r w:rsidRPr="00DC626B">
        <w:rPr>
          <w:rFonts w:ascii="PT Serif" w:hAnsi="PT Serif" w:cs="PT Serif"/>
          <w:i/>
          <w:iCs/>
          <w:sz w:val="17"/>
          <w:szCs w:val="17"/>
        </w:rPr>
        <w:t>Revista española de derecho constitucional</w:t>
      </w:r>
      <w:r w:rsidRPr="00DC626B">
        <w:rPr>
          <w:rFonts w:ascii="PT Serif" w:hAnsi="PT Serif" w:cs="PT Serif"/>
          <w:sz w:val="17"/>
          <w:szCs w:val="17"/>
        </w:rPr>
        <w:t xml:space="preserve">, año 40, núm. 119, 2020, pp. 13-51. </w:t>
      </w:r>
    </w:p>
  </w:footnote>
  <w:footnote w:id="33">
    <w:p w14:paraId="6B40AE28" w14:textId="6DACC5CB" w:rsidR="00B37D7F" w:rsidRPr="00DC626B" w:rsidRDefault="00B37D7F"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TOL7.059.613, ponente Antonio Narváez Rodríguez.</w:t>
      </w:r>
    </w:p>
  </w:footnote>
  <w:footnote w:id="34">
    <w:p w14:paraId="44A03675" w14:textId="77777777" w:rsidR="00507DA1" w:rsidRPr="00DC626B" w:rsidRDefault="00507DA1" w:rsidP="00DF3094">
      <w:pPr>
        <w:pStyle w:val="FootnoteText"/>
        <w:rPr>
          <w:smallCaps/>
          <w:sz w:val="17"/>
          <w:szCs w:val="17"/>
        </w:rPr>
        <w:spacing w:line="212" w:lineRule="auto" w:before="0" w:after="100"/>
      </w:pPr>
      <w:r w:rsidRPr="007C3D57">
        <w:rPr>
          <w:i w:val="0"/>
          <w:iCs w:val="0"/>
          <w:vertAlign w:val="superscript"/>
        </w:rPr>
        <w:footnoteRef/>
      </w:r>
      <w:r w:rsidRPr="007C3D57">
        <w:rPr>
          <w:rFonts w:ascii="PT Serif" w:hAnsi="PT Serif" w:cs="PT Serif"/>
          <w:sz w:val="17"/>
          <w:szCs w:val="17"/>
        </w:rPr>
        <w:t xml:space="preserve"> </w:t>
      </w:r>
      <w:r w:rsidRPr="00DC626B">
        <w:rPr>
          <w:rFonts w:ascii="PT Serif" w:hAnsi="PT Serif" w:cs="PT Serif"/>
          <w:sz w:val="17"/>
          <w:szCs w:val="17"/>
        </w:rPr>
        <w:t>Base datos Aranzadi Westlaw RTC\2019\80, ponente Juan José González Rivas.</w:t>
      </w:r>
    </w:p>
  </w:footnote>
  <w:footnote w:id="35">
    <w:p w14:paraId="5702DDC4" w14:textId="77777777" w:rsidR="00E163E8" w:rsidRPr="00DC626B" w:rsidRDefault="00E163E8" w:rsidP="00DF3094">
      <w:pPr>
        <w:pStyle w:val="FootnoteText"/>
        <w:rPr>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En este sentido, MORENO CATENA/CORTÉS DOMÍNGUEZ, </w:t>
      </w:r>
      <w:r w:rsidRPr="00DC626B">
        <w:rPr>
          <w:rFonts w:ascii="PT Serif" w:hAnsi="PT Serif" w:cs="PT Serif"/>
          <w:i/>
          <w:iCs/>
          <w:sz w:val="17"/>
          <w:szCs w:val="17"/>
        </w:rPr>
        <w:t>Introducción al Derecho Procesal</w:t>
      </w:r>
      <w:r w:rsidRPr="00DC626B">
        <w:rPr>
          <w:rFonts w:ascii="PT Serif" w:hAnsi="PT Serif" w:cs="PT Serif"/>
          <w:sz w:val="17"/>
          <w:szCs w:val="17"/>
        </w:rPr>
        <w:t>, 11ª ed, Tirant lo Blanch, España, 2021, p. 49, afirman que «(…) es evidente que el control de actuación del legislativo respecto del mandato constitucional escapa en nuestro país del Poder Judicial y se residencia exclusivamente en el Tribunal Constitucional».</w:t>
      </w:r>
    </w:p>
  </w:footnote>
  <w:footnote w:id="36">
    <w:p w14:paraId="24028AF6" w14:textId="77777777" w:rsidR="00E163E8" w:rsidRPr="00DC626B" w:rsidRDefault="00E163E8"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Así lo subraya JIMENA QUESADA, op. cit., p. 448, poniendo de manifiesto que el TC español acaba adoptando una interpretación parecida a la del Consejo Constitucional francés.</w:t>
      </w:r>
    </w:p>
  </w:footnote>
  <w:footnote w:id="37">
    <w:p w14:paraId="1099C248" w14:textId="77777777" w:rsidR="00E163E8" w:rsidRPr="00DC626B" w:rsidRDefault="00E163E8"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En doctrina, JIMENA QUESADA, p. 441 en la que afirma que «el carácter supra legal o prevalente supone discernir entre aplicación y validez, puesta que la potestad de jurisdiccional nacional ordinaria se concreta en una inaplicación inter partes de la norma nacional contraria al canon internacional, sin que esa potestad jurisdiccional comporte una consecuencia anulatoria erga omnes a través de una declaración de invalidez del cano nacional controvertido (lo cual configura una prerrogativa concentrada en manos de la jurisdicción constitucional)”.</w:t>
      </w:r>
    </w:p>
  </w:footnote>
  <w:footnote w:id="38">
    <w:p w14:paraId="75BEFF7F" w14:textId="14EB1A49" w:rsidR="00E163E8" w:rsidRPr="00DC626B" w:rsidRDefault="00E163E8" w:rsidP="00DF3094">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La doctrina señala que la nota básica del estatuto de jueces y magistrados es la independencia, entendida como sumisión exclusiva a la ley. Al respecto, ORTELLS </w:t>
      </w:r>
      <w:r w:rsidR="004F278B" w:rsidRPr="00DC626B">
        <w:rPr>
          <w:rFonts w:ascii="PT Serif" w:hAnsi="PT Serif" w:cs="PT Serif"/>
          <w:sz w:val="17"/>
          <w:szCs w:val="17"/>
        </w:rPr>
        <w:t>RAMOS, et</w:t>
      </w:r>
      <w:r w:rsidRPr="00DC626B">
        <w:rPr>
          <w:rFonts w:ascii="PT Serif" w:hAnsi="PT Serif" w:cs="PT Serif"/>
          <w:sz w:val="17"/>
          <w:szCs w:val="17"/>
        </w:rPr>
        <w:t xml:space="preserve">. al, </w:t>
      </w:r>
      <w:r w:rsidRPr="00DC626B">
        <w:rPr>
          <w:rFonts w:ascii="PT Serif" w:hAnsi="PT Serif" w:cs="PT Serif"/>
          <w:i/>
          <w:iCs/>
          <w:sz w:val="17"/>
          <w:szCs w:val="17"/>
        </w:rPr>
        <w:t>Introducción al Derecho Procesal</w:t>
      </w:r>
      <w:r w:rsidRPr="00DC626B">
        <w:rPr>
          <w:rFonts w:ascii="PT Serif" w:hAnsi="PT Serif" w:cs="PT Serif"/>
          <w:sz w:val="17"/>
          <w:szCs w:val="17"/>
        </w:rPr>
        <w:t>, op. cit., pp. 56-57. Pues bien, en esa sumisión a la ley, debe entenderse también que quedan sometidos a lo dispuesto en los tratados internacionales que integran el ordenamiento jurídico. Reiteramos la interpretación que hace el TC en el sentido de que cuando un juez aplica control de convencionalidad, no está actuando fuera de la ley, sino que está seleccionando la “norma” aplicable al caso concreto.</w:t>
      </w:r>
    </w:p>
  </w:footnote>
  <w:footnote w:id="39">
    <w:p w14:paraId="38A27D1C" w14:textId="77777777" w:rsidR="00C27ACD" w:rsidRPr="00DC626B" w:rsidRDefault="00C27ACD" w:rsidP="00C27ACD">
      <w:pPr>
        <w:pStyle w:val="FootnoteText"/>
        <w:ind w:left="0" w:firstLine="0"/>
        <w:rPr>
          <w:rFonts w:ascii="PT Serif" w:eastAsiaTheme="minorHAnsi" w:hAnsi="PT Serif" w:cstheme="minorBidi"/>
          <w:szCs w:val="17"/>
          <w:lang w:eastAsia="en-US"/>
        </w:rPr>
        <w:spacing w:line="212" w:lineRule="auto" w:before="0" w:after="100"/>
      </w:pPr>
      <w:r w:rsidRPr="00DC626B">
        <w:rPr>
          <w:i w:val="0"/>
          <w:iCs w:val="0"/>
          <w:vertAlign w:val="superscript"/>
        </w:rPr>
        <w:footnoteRef/>
      </w:r>
      <w:r w:rsidRPr="00DC626B">
        <w:rPr>
          <w:rFonts w:ascii="PT Serif" w:hAnsi="PT Serif" w:cs="PT Serif"/>
          <w:szCs w:val="17"/>
          <w:sz w:val="17"/>
        </w:rPr>
        <w:t xml:space="preserve"> </w:t>
      </w:r>
      <w:r w:rsidRPr="00DC626B">
        <w:rPr>
          <w:rFonts w:ascii="PT Serif" w:hAnsi="PT Serif" w:cs="PT Serif"/>
          <w:szCs w:val="17"/>
          <w:lang w:eastAsia="en-US"/>
          <w:sz w:val="17"/>
        </w:rPr>
        <w:t xml:space="preserve">En doctrina puede verse, FERNÁNDEZ TOMÁS, </w:t>
      </w:r>
      <w:r w:rsidRPr="00DC626B">
        <w:rPr>
          <w:rFonts w:ascii="PT Serif" w:hAnsi="PT Serif" w:cs="PT Serif"/>
          <w:smallCaps/>
          <w:szCs w:val="17"/>
          <w:sz w:val="17"/>
        </w:rPr>
        <w:t>«</w:t>
      </w:r>
      <w:r w:rsidRPr="00DC626B">
        <w:rPr>
          <w:rFonts w:ascii="PT Serif" w:hAnsi="PT Serif" w:cs="PT Serif"/>
          <w:szCs w:val="17"/>
          <w:lang w:eastAsia="en-US"/>
          <w:sz w:val="17"/>
        </w:rPr>
        <w:t>La valida celebración y la incorporación de los tratados en la jurisprudencia constitucional española</w:t>
      </w:r>
      <w:r w:rsidRPr="00DC626B">
        <w:rPr>
          <w:rFonts w:ascii="PT Serif" w:hAnsi="PT Serif" w:cs="PT Serif"/>
          <w:smallCaps/>
          <w:szCs w:val="17"/>
          <w:sz w:val="17"/>
        </w:rPr>
        <w:t>».</w:t>
      </w:r>
      <w:r w:rsidRPr="00DC626B">
        <w:rPr>
          <w:rFonts w:ascii="PT Serif" w:hAnsi="PT Serif" w:cs="PT Serif"/>
          <w:szCs w:val="17"/>
          <w:lang w:eastAsia="en-US"/>
          <w:sz w:val="17"/>
        </w:rPr>
        <w:t xml:space="preserve"> Hacia un nuevo orden internacional y europeo: estudios en homenaje al profesor don Manuel Díez de Velasco (PÉREZ GONZÁLEZ, coord.), 1993, pp. 341-360; SÁENZ DE SANTAMARÍA, Paz Andrés, “Artículo 96”. Comentarios a la Constitución española (PÉREZ MANZANO, /BORRAJO INIESTA, (coords.); RODRÍGUEZ-PIÑERO Y BRAVO FERRER, /CASAS BAAMONDE, dirs.), vol. 2, tomo II, 2018, pp. 355-373. </w:t>
      </w:r>
    </w:p>
  </w:footnote>
  <w:footnote w:id="40">
    <w:p w14:paraId="72CE7D00" w14:textId="6760EA2E" w:rsidR="007122BE" w:rsidRPr="00DC626B" w:rsidRDefault="007122BE" w:rsidP="007122BE">
      <w:pPr>
        <w:pStyle w:val="FootnoteText"/>
        <w:rPr>
          <w:smallCaps/>
          <w:sz w:val="17"/>
          <w:szCs w:val="17"/>
        </w:rPr>
        <w:spacing w:line="212" w:lineRule="auto" w:before="0" w:after="100"/>
      </w:pPr>
      <w:r w:rsidRPr="00DC626B">
        <w:rPr>
          <w:i w:val="0"/>
          <w:iCs w:val="0"/>
          <w:vertAlign w:val="superscript"/>
        </w:rPr>
        <w:footnoteRef/>
      </w:r>
      <w:r w:rsidRPr="00DC626B">
        <w:rPr>
          <w:rFonts w:ascii="PT Serif" w:hAnsi="PT Serif" w:cs="PT Serif"/>
          <w:sz w:val="17"/>
          <w:szCs w:val="17"/>
        </w:rPr>
        <w:t xml:space="preserve"> Sobre esta ley, AZNAR GÓMEZ, «Comentarios a la Ley de Tratados y otros acuerdos internacionales (Ley 25/2014, de 27 de noviembre)» </w:t>
      </w:r>
      <w:r w:rsidRPr="00DC626B">
        <w:rPr>
          <w:rFonts w:ascii="PT Serif" w:hAnsi="PT Serif" w:cs="PT Serif"/>
          <w:i/>
          <w:iCs/>
          <w:sz w:val="17"/>
          <w:szCs w:val="17"/>
        </w:rPr>
        <w:t>Revista española de derecho internacional</w:t>
      </w:r>
      <w:r w:rsidRPr="00DC626B">
        <w:rPr>
          <w:rFonts w:ascii="PT Serif" w:hAnsi="PT Serif" w:cs="PT Serif"/>
          <w:sz w:val="17"/>
          <w:szCs w:val="17"/>
        </w:rPr>
        <w:t xml:space="preserve">, vol. 69, núm. 1, 2017, pp. 303-305; GALLEGO HERNÁNDEZ, «La ley española de tratados de 2014». </w:t>
      </w:r>
      <w:r w:rsidRPr="00DC626B">
        <w:rPr>
          <w:rFonts w:ascii="PT Serif" w:hAnsi="PT Serif" w:cs="PT Serif"/>
          <w:i/>
          <w:iCs/>
          <w:sz w:val="17"/>
          <w:szCs w:val="17"/>
        </w:rPr>
        <w:t>Anuario español de derecho internacional</w:t>
      </w:r>
      <w:r w:rsidRPr="00DC626B">
        <w:rPr>
          <w:rFonts w:ascii="PT Serif" w:hAnsi="PT Serif" w:cs="PT Serif"/>
          <w:sz w:val="17"/>
          <w:szCs w:val="17"/>
        </w:rPr>
        <w:t xml:space="preserve">, núm. 31, 2015, pp. 193-240; MORENO BLESA, «Comentario a la Ley 25/2014, de 27 de noviembre, de tratados y otros acuerdos internacionales». </w:t>
      </w:r>
      <w:r w:rsidRPr="00DC626B">
        <w:rPr>
          <w:rFonts w:ascii="PT Serif" w:hAnsi="PT Serif" w:cs="PT Serif"/>
          <w:i/>
          <w:iCs/>
          <w:sz w:val="17"/>
          <w:szCs w:val="17"/>
        </w:rPr>
        <w:t>Actualidad civil</w:t>
      </w:r>
      <w:r w:rsidRPr="00DC626B">
        <w:rPr>
          <w:rFonts w:ascii="PT Serif" w:hAnsi="PT Serif" w:cs="PT Serif"/>
          <w:sz w:val="17"/>
          <w:szCs w:val="17"/>
        </w:rPr>
        <w:t xml:space="preserve">, núm. 2, 2015. </w:t>
      </w:r>
    </w:p>
  </w:footnote>
  <w:footnote w:id="41">
    <w:p w14:paraId="0A184726" w14:textId="6FCC2E67" w:rsidR="00413C0B" w:rsidRPr="00DC626B" w:rsidRDefault="00413C0B" w:rsidP="00DF3094">
      <w:pPr>
        <w:pStyle w:val="FootnoteText"/>
        <w:rPr>
          <w:sz w:val="17"/>
          <w:szCs w:val="17"/>
        </w:rPr>
        <w:spacing w:line="212" w:lineRule="auto" w:before="0" w:after="100"/>
      </w:pPr>
      <w:r w:rsidRPr="007122BE">
        <w:rPr>
          <w:i w:val="0"/>
          <w:iCs w:val="0"/>
          <w:vertAlign w:val="superscript"/>
        </w:rPr>
        <w:footnoteRef/>
      </w:r>
      <w:r w:rsidRPr="007122BE">
        <w:rPr>
          <w:rFonts w:ascii="PT Serif" w:hAnsi="PT Serif" w:cs="PT Serif"/>
          <w:sz w:val="17"/>
          <w:szCs w:val="17"/>
        </w:rPr>
        <w:t xml:space="preserve"> </w:t>
      </w:r>
      <w:r w:rsidR="00E85A0B" w:rsidRPr="007122BE">
        <w:rPr>
          <w:rFonts w:ascii="PT Serif" w:hAnsi="PT Serif" w:cs="PT Serif"/>
          <w:smallCaps/>
          <w:sz w:val="17"/>
          <w:szCs w:val="17"/>
        </w:rPr>
        <w:t>DÍ</w:t>
      </w:r>
      <w:r w:rsidR="00E85A0B" w:rsidRPr="0037548F">
        <w:rPr>
          <w:rFonts w:ascii="PT Serif" w:hAnsi="PT Serif" w:cs="PT Serif"/>
          <w:smallCaps/>
          <w:sz w:val="17"/>
          <w:szCs w:val="17"/>
        </w:rPr>
        <w:t>AZ GONZÁLEZ</w:t>
      </w:r>
      <w:r w:rsidR="004F278B" w:rsidRPr="0037548F">
        <w:rPr>
          <w:rFonts w:ascii="PT Serif" w:hAnsi="PT Serif" w:cs="PT Serif"/>
          <w:sz w:val="17"/>
          <w:szCs w:val="17"/>
        </w:rPr>
        <w:t xml:space="preserve">, Gustavo Manuel, </w:t>
      </w:r>
      <w:r w:rsidR="0087325C" w:rsidRPr="0037548F">
        <w:rPr>
          <w:rFonts w:ascii="PT Serif" w:hAnsi="PT Serif" w:cs="PT Serif"/>
          <w:sz w:val="17"/>
          <w:szCs w:val="17"/>
        </w:rPr>
        <w:t>«</w:t>
      </w:r>
      <w:r w:rsidR="004F278B" w:rsidRPr="0037548F">
        <w:rPr>
          <w:rFonts w:ascii="PT Serif" w:hAnsi="PT Serif" w:cs="PT Serif"/>
          <w:sz w:val="17"/>
          <w:szCs w:val="17"/>
        </w:rPr>
        <w:t>La prevalencia del tratado internacional: de una previsión constitucional imprecisa a una disposición legislativa incompleta</w:t>
      </w:r>
      <w:r w:rsidR="00BB7065" w:rsidRPr="0037548F">
        <w:rPr>
          <w:rFonts w:ascii="PT Serif" w:hAnsi="PT Serif" w:cs="PT Serif"/>
          <w:sz w:val="17"/>
          <w:szCs w:val="17"/>
        </w:rPr>
        <w:t>»</w:t>
      </w:r>
      <w:r w:rsidR="00BB7065" w:rsidRPr="0037548F">
        <w:rPr>
          <w:rFonts w:ascii="PT Serif" w:hAnsi="PT Serif" w:cs="PT Serif"/>
          <w:smallCaps/>
          <w:sz w:val="17"/>
          <w:szCs w:val="17"/>
        </w:rPr>
        <w:t>,</w:t>
      </w:r>
      <w:r w:rsidR="004F278B" w:rsidRPr="0037548F">
        <w:rPr>
          <w:rFonts w:ascii="PT Serif" w:hAnsi="PT Serif" w:cs="PT Serif"/>
          <w:sz w:val="17"/>
          <w:szCs w:val="17"/>
        </w:rPr>
        <w:t xml:space="preserve"> </w:t>
      </w:r>
      <w:r w:rsidR="004F278B" w:rsidRPr="0037548F">
        <w:rPr>
          <w:rFonts w:ascii="PT Serif" w:hAnsi="PT Serif" w:cs="PT Serif"/>
          <w:i/>
          <w:iCs/>
          <w:sz w:val="17"/>
          <w:szCs w:val="17"/>
        </w:rPr>
        <w:t>Cuatro décadas de una Constitución normativa (1978-2018)</w:t>
      </w:r>
      <w:r w:rsidR="004F278B" w:rsidRPr="0037548F">
        <w:rPr>
          <w:rFonts w:ascii="PT Serif" w:hAnsi="PT Serif" w:cs="PT Serif"/>
          <w:sz w:val="17"/>
          <w:szCs w:val="17"/>
        </w:rPr>
        <w:t xml:space="preserve">, </w:t>
      </w:r>
      <w:r w:rsidR="00E85A0B" w:rsidRPr="0037548F">
        <w:rPr>
          <w:rFonts w:ascii="PT Serif" w:hAnsi="PT Serif" w:cs="PT Serif"/>
          <w:smallCaps/>
          <w:sz w:val="17"/>
          <w:szCs w:val="17"/>
        </w:rPr>
        <w:t>PUNSET BLANCO</w:t>
      </w:r>
      <w:r w:rsidR="004F278B" w:rsidRPr="0037548F">
        <w:rPr>
          <w:rFonts w:ascii="PT Serif" w:hAnsi="PT Serif" w:cs="PT Serif"/>
          <w:sz w:val="17"/>
          <w:szCs w:val="17"/>
        </w:rPr>
        <w:t>, Ramón</w:t>
      </w:r>
      <w:r w:rsidR="00BB7065" w:rsidRPr="0037548F">
        <w:rPr>
          <w:rFonts w:ascii="PT Serif" w:hAnsi="PT Serif" w:cs="PT Serif"/>
          <w:smallCaps/>
          <w:sz w:val="17"/>
          <w:szCs w:val="17"/>
        </w:rPr>
        <w:t>/</w:t>
      </w:r>
      <w:r w:rsidR="00E85A0B" w:rsidRPr="0037548F">
        <w:rPr>
          <w:rFonts w:ascii="PT Serif" w:hAnsi="PT Serif" w:cs="PT Serif"/>
          <w:smallCaps/>
          <w:sz w:val="17"/>
          <w:szCs w:val="17"/>
        </w:rPr>
        <w:t>ÁLVAREZ ÁLVAREZ</w:t>
      </w:r>
      <w:r w:rsidR="004F278B" w:rsidRPr="0037548F">
        <w:rPr>
          <w:rFonts w:ascii="PT Serif" w:hAnsi="PT Serif" w:cs="PT Serif"/>
          <w:sz w:val="17"/>
          <w:szCs w:val="17"/>
        </w:rPr>
        <w:t>, Leonardo</w:t>
      </w:r>
      <w:r w:rsidR="00BB7065" w:rsidRPr="0037548F">
        <w:rPr>
          <w:rFonts w:ascii="PT Serif" w:hAnsi="PT Serif" w:cs="PT Serif"/>
          <w:smallCaps/>
          <w:sz w:val="17"/>
          <w:szCs w:val="17"/>
        </w:rPr>
        <w:t>/</w:t>
      </w:r>
      <w:r w:rsidR="00E85A0B" w:rsidRPr="0037548F">
        <w:rPr>
          <w:rFonts w:ascii="PT Serif" w:hAnsi="PT Serif" w:cs="PT Serif"/>
          <w:smallCaps/>
          <w:sz w:val="17"/>
          <w:szCs w:val="17"/>
        </w:rPr>
        <w:t>ROCA MARTÍNEZ</w:t>
      </w:r>
      <w:r w:rsidR="004F278B" w:rsidRPr="0037548F">
        <w:rPr>
          <w:rFonts w:ascii="PT Serif" w:hAnsi="PT Serif" w:cs="PT Serif"/>
          <w:sz w:val="17"/>
          <w:szCs w:val="17"/>
        </w:rPr>
        <w:t xml:space="preserve">, José María, (pr.), 2018, pp. 411-424; </w:t>
      </w:r>
      <w:r w:rsidR="00E85A0B" w:rsidRPr="0037548F">
        <w:rPr>
          <w:rFonts w:ascii="PT Serif" w:hAnsi="PT Serif" w:cs="PT Serif"/>
          <w:smallCaps/>
          <w:sz w:val="17"/>
          <w:szCs w:val="17"/>
        </w:rPr>
        <w:t>DÍEZ-HOCHLEITNER RODRÍGUEZ</w:t>
      </w:r>
      <w:r w:rsidR="004F278B" w:rsidRPr="0037548F">
        <w:rPr>
          <w:rFonts w:ascii="PT Serif" w:hAnsi="PT Serif" w:cs="PT Serif"/>
          <w:sz w:val="17"/>
          <w:szCs w:val="17"/>
        </w:rPr>
        <w:t xml:space="preserve">, Javier, “Artículo 31”. Comentarios a la Ley de Tratados y otros Acuerdos internacionales (Ley 25/2014, de 27 de noviembre), </w:t>
      </w:r>
      <w:r w:rsidR="00E85A0B" w:rsidRPr="0037548F">
        <w:rPr>
          <w:rFonts w:ascii="PT Serif" w:hAnsi="PT Serif" w:cs="PT Serif"/>
          <w:smallCaps/>
          <w:sz w:val="17"/>
          <w:szCs w:val="17"/>
        </w:rPr>
        <w:t>SÁENZ DE SANTAMARÍA</w:t>
      </w:r>
      <w:r w:rsidR="004F278B" w:rsidRPr="0037548F">
        <w:rPr>
          <w:rFonts w:ascii="PT Serif" w:hAnsi="PT Serif" w:cs="PT Serif"/>
          <w:sz w:val="17"/>
          <w:szCs w:val="17"/>
        </w:rPr>
        <w:t xml:space="preserve">, Paz Andrés; </w:t>
      </w:r>
      <w:r w:rsidR="00E85A0B" w:rsidRPr="0037548F">
        <w:rPr>
          <w:rFonts w:ascii="PT Serif" w:hAnsi="PT Serif" w:cs="PT Serif"/>
          <w:smallCaps/>
          <w:sz w:val="17"/>
          <w:szCs w:val="17"/>
        </w:rPr>
        <w:t>DÍEZ-HOCHLEITNER RODRÍGUEZ</w:t>
      </w:r>
      <w:r w:rsidR="004F278B" w:rsidRPr="0037548F">
        <w:rPr>
          <w:rFonts w:ascii="PT Serif" w:hAnsi="PT Serif" w:cs="PT Serif"/>
          <w:sz w:val="17"/>
          <w:szCs w:val="17"/>
        </w:rPr>
        <w:t xml:space="preserve">, Javier; </w:t>
      </w:r>
      <w:r w:rsidR="00E85A0B" w:rsidRPr="0037548F">
        <w:rPr>
          <w:rFonts w:ascii="PT Serif" w:hAnsi="PT Serif" w:cs="PT Serif"/>
          <w:smallCaps/>
          <w:sz w:val="17"/>
          <w:szCs w:val="17"/>
        </w:rPr>
        <w:t>MARTÍN PÉREZ DE NANCLARES</w:t>
      </w:r>
      <w:r w:rsidR="004F278B" w:rsidRPr="0037548F">
        <w:rPr>
          <w:rFonts w:ascii="PT Serif" w:hAnsi="PT Serif" w:cs="PT Serif"/>
          <w:sz w:val="17"/>
          <w:szCs w:val="17"/>
        </w:rPr>
        <w:t>, José, 2015, pp. 575-589.</w:t>
      </w:r>
    </w:p>
  </w:footnote>
  <w:footnote w:id="42">
    <w:p w14:paraId="44E5F69F" w14:textId="595C794C" w:rsidR="00994D50" w:rsidRDefault="00994D50" w:rsidP="00994D50">
      <w:pPr>
        <w:pStyle w:val="FootnoteText"/>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CAMARILLO</w:t>
      </w:r>
      <w:r w:rsidRPr="00DF3094">
        <w:rPr>
          <w:rFonts w:ascii="PT Serif" w:hAnsi="PT Serif" w:cs="PT Serif"/>
          <w:sz w:val="17"/>
          <w:szCs w:val="17"/>
        </w:rPr>
        <w:t>, J</w:t>
      </w:r>
      <w:r>
        <w:rPr>
          <w:rFonts w:ascii="PT Serif" w:hAnsi="PT Serif" w:cs="PT Serif"/>
          <w:sz w:val="17"/>
          <w:szCs w:val="17"/>
        </w:rPr>
        <w:t>esús</w:t>
      </w:r>
      <w:r w:rsidRPr="00DF3094">
        <w:rPr>
          <w:rFonts w:ascii="PT Serif" w:hAnsi="PT Serif" w:cs="PT Serif"/>
          <w:sz w:val="17"/>
          <w:szCs w:val="17"/>
        </w:rPr>
        <w:t xml:space="preserve"> </w:t>
      </w:r>
      <w:r>
        <w:rPr>
          <w:rFonts w:ascii="PT Serif" w:hAnsi="PT Serif" w:cs="PT Serif"/>
          <w:sz w:val="17"/>
          <w:szCs w:val="17"/>
        </w:rPr>
        <w:t>Antonio,</w:t>
      </w:r>
      <w:r w:rsidRPr="00DF3094">
        <w:rPr>
          <w:rFonts w:ascii="PT Serif" w:hAnsi="PT Serif" w:cs="PT Serif"/>
          <w:sz w:val="17"/>
          <w:szCs w:val="17"/>
        </w:rPr>
        <w:t xml:space="preserve"> </w:t>
      </w:r>
      <w:r w:rsidRPr="00DC626B">
        <w:rPr>
          <w:rFonts w:ascii="PT Serif" w:hAnsi="PT Serif" w:cs="PT Serif"/>
          <w:sz w:val="17"/>
          <w:szCs w:val="17"/>
        </w:rPr>
        <w:t>«</w:t>
      </w:r>
      <w:r w:rsidRPr="00DF3094">
        <w:rPr>
          <w:rFonts w:ascii="PT Serif" w:hAnsi="PT Serif" w:cs="PT Serif"/>
          <w:sz w:val="17"/>
          <w:szCs w:val="17"/>
        </w:rPr>
        <w:t>La disputa en torno al principio pro homine en el constitucionalismo mexicano</w:t>
      </w:r>
      <w:r w:rsidRPr="00F659B6">
        <w:rPr>
          <w:rFonts w:ascii="PT Serif" w:hAnsi="PT Serif" w:cs="PT Serif"/>
          <w:sz w:val="17"/>
          <w:szCs w:val="17"/>
        </w:rPr>
        <w:t>»</w:t>
      </w:r>
      <w:r>
        <w:rPr>
          <w:rFonts w:ascii="PT Serif" w:hAnsi="PT Serif" w:cs="PT Serif"/>
          <w:sz w:val="17"/>
          <w:szCs w:val="17"/>
        </w:rPr>
        <w:t>,</w:t>
      </w:r>
      <w:r w:rsidRPr="00DF3094">
        <w:rPr>
          <w:rFonts w:ascii="PT Serif" w:hAnsi="PT Serif" w:cs="PT Serif"/>
          <w:sz w:val="17"/>
          <w:szCs w:val="17"/>
        </w:rPr>
        <w:t xml:space="preserve"> </w:t>
      </w:r>
      <w:r w:rsidRPr="00DF3094">
        <w:rPr>
          <w:rFonts w:ascii="PT Serif" w:hAnsi="PT Serif" w:cs="PT Serif"/>
          <w:i/>
          <w:sz w:val="17"/>
          <w:szCs w:val="17"/>
        </w:rPr>
        <w:t>100 año de Constitución: estudios multidisciplinares</w:t>
      </w:r>
      <w:r w:rsidRPr="00DF3094">
        <w:rPr>
          <w:rFonts w:ascii="PT Serif" w:hAnsi="PT Serif" w:cs="PT Serif"/>
          <w:sz w:val="17"/>
          <w:szCs w:val="17"/>
        </w:rPr>
        <w:t xml:space="preserve"> (</w:t>
      </w:r>
      <w:r w:rsidRPr="0072496E">
        <w:rPr>
          <w:rFonts w:ascii="PT Serif" w:hAnsi="PT Serif" w:cs="PT Serif"/>
          <w:sz w:val="17"/>
          <w:szCs w:val="17"/>
        </w:rPr>
        <w:t>OROZCO TORRES, Luis Ernesto/VILLEGAS DELGADO, Carlos Albtero/LÓPEZ ULLOA, Ed LIT.), 2</w:t>
      </w:r>
      <w:r w:rsidRPr="00DF3094">
        <w:rPr>
          <w:rFonts w:ascii="PT Serif" w:hAnsi="PT Serif" w:cs="PT Serif"/>
          <w:sz w:val="17"/>
          <w:szCs w:val="17"/>
        </w:rPr>
        <w:t>019, págs. 158-173; COSSÍO DÍAZ, J</w:t>
      </w:r>
      <w:r>
        <w:rPr>
          <w:rFonts w:ascii="PT Serif" w:hAnsi="PT Serif" w:cs="PT Serif"/>
          <w:sz w:val="17"/>
          <w:szCs w:val="17"/>
        </w:rPr>
        <w:t>uan Ramón</w:t>
      </w:r>
      <w:r w:rsidRPr="00DF3094">
        <w:rPr>
          <w:rFonts w:ascii="PT Serif" w:hAnsi="PT Serif" w:cs="PT Serif"/>
          <w:sz w:val="17"/>
          <w:szCs w:val="17"/>
        </w:rPr>
        <w:t xml:space="preserve">, </w:t>
      </w:r>
      <w:r w:rsidRPr="00DC626B">
        <w:rPr>
          <w:rFonts w:ascii="PT Serif" w:hAnsi="PT Serif" w:cs="PT Serif"/>
          <w:sz w:val="17"/>
          <w:szCs w:val="17"/>
        </w:rPr>
        <w:t>«</w:t>
      </w:r>
      <w:r w:rsidRPr="00DF3094">
        <w:rPr>
          <w:rFonts w:ascii="PT Serif" w:hAnsi="PT Serif" w:cs="PT Serif"/>
          <w:sz w:val="17"/>
          <w:szCs w:val="17"/>
        </w:rPr>
        <w:t>Los instrumentos internacionales en materia de derechos fundamentales y el principio pro homine</w:t>
      </w:r>
      <w:r w:rsidRPr="00F659B6">
        <w:rPr>
          <w:rFonts w:ascii="PT Serif" w:hAnsi="PT Serif" w:cs="PT Serif"/>
          <w:sz w:val="17"/>
          <w:szCs w:val="17"/>
        </w:rPr>
        <w:t>»</w:t>
      </w:r>
      <w:r>
        <w:rPr>
          <w:rFonts w:ascii="PT Serif" w:hAnsi="PT Serif" w:cs="PT Serif"/>
          <w:sz w:val="17"/>
          <w:szCs w:val="17"/>
        </w:rPr>
        <w:t>,</w:t>
      </w:r>
      <w:r w:rsidRPr="00DF3094">
        <w:rPr>
          <w:rFonts w:ascii="PT Serif" w:hAnsi="PT Serif" w:cs="PT Serif"/>
          <w:sz w:val="17"/>
          <w:szCs w:val="17"/>
        </w:rPr>
        <w:t xml:space="preserve"> </w:t>
      </w:r>
      <w:r w:rsidRPr="00DF3094">
        <w:rPr>
          <w:rFonts w:ascii="PT Serif" w:hAnsi="PT Serif" w:cs="PT Serif"/>
          <w:i/>
          <w:sz w:val="17"/>
          <w:szCs w:val="17"/>
        </w:rPr>
        <w:t>Revista de la Facultad de Derecho de México</w:t>
      </w:r>
      <w:r w:rsidRPr="00DF3094">
        <w:rPr>
          <w:rFonts w:ascii="PT Serif" w:hAnsi="PT Serif" w:cs="PT Serif"/>
          <w:sz w:val="17"/>
          <w:szCs w:val="17"/>
        </w:rPr>
        <w:t>, vol. 57, núm. 247, 2007, págs. 377-383; DELIAZZO, C</w:t>
      </w:r>
      <w:r>
        <w:rPr>
          <w:rFonts w:ascii="PT Serif" w:hAnsi="PT Serif" w:cs="PT Serif"/>
          <w:sz w:val="17"/>
          <w:szCs w:val="17"/>
        </w:rPr>
        <w:t>arlos</w:t>
      </w:r>
      <w:r w:rsidRPr="00DF3094">
        <w:rPr>
          <w:rFonts w:ascii="PT Serif" w:hAnsi="PT Serif" w:cs="PT Serif"/>
          <w:sz w:val="17"/>
          <w:szCs w:val="17"/>
        </w:rPr>
        <w:t xml:space="preserve"> E., </w:t>
      </w:r>
      <w:r w:rsidRPr="00DC626B">
        <w:rPr>
          <w:rFonts w:ascii="PT Serif" w:hAnsi="PT Serif" w:cs="PT Serif"/>
          <w:sz w:val="17"/>
          <w:szCs w:val="17"/>
        </w:rPr>
        <w:t>«</w:t>
      </w:r>
      <w:r w:rsidRPr="00DF3094">
        <w:rPr>
          <w:rFonts w:ascii="PT Serif" w:hAnsi="PT Serif" w:cs="PT Serif"/>
          <w:sz w:val="17"/>
          <w:szCs w:val="17"/>
        </w:rPr>
        <w:t>Dignidad humana y principio &lt;pro homine&gt; en los litigios sobre derechos humanos</w:t>
      </w:r>
      <w:r w:rsidRPr="00F659B6">
        <w:rPr>
          <w:rFonts w:ascii="PT Serif" w:hAnsi="PT Serif" w:cs="PT Serif"/>
          <w:sz w:val="17"/>
          <w:szCs w:val="17"/>
        </w:rPr>
        <w:t>»</w:t>
      </w:r>
      <w:r>
        <w:rPr>
          <w:rFonts w:ascii="PT Serif" w:hAnsi="PT Serif" w:cs="PT Serif"/>
          <w:sz w:val="17"/>
          <w:szCs w:val="17"/>
        </w:rPr>
        <w:t xml:space="preserve">, </w:t>
      </w:r>
      <w:r w:rsidRPr="00DF3094">
        <w:rPr>
          <w:rFonts w:ascii="PT Serif" w:hAnsi="PT Serif" w:cs="PT Serif"/>
          <w:i/>
          <w:sz w:val="17"/>
          <w:szCs w:val="17"/>
        </w:rPr>
        <w:t>Revista de derecho público</w:t>
      </w:r>
      <w:r w:rsidRPr="00DF3094">
        <w:rPr>
          <w:rFonts w:ascii="PT Serif" w:hAnsi="PT Serif" w:cs="PT Serif"/>
          <w:sz w:val="17"/>
          <w:szCs w:val="17"/>
        </w:rPr>
        <w:t>, núm. 54, 2018, p</w:t>
      </w:r>
      <w:r>
        <w:rPr>
          <w:rFonts w:ascii="PT Serif" w:hAnsi="PT Serif" w:cs="PT Serif"/>
          <w:sz w:val="17"/>
          <w:szCs w:val="17"/>
        </w:rPr>
        <w:t>p</w:t>
      </w:r>
      <w:r w:rsidRPr="00DF3094">
        <w:rPr>
          <w:rFonts w:ascii="PT Serif" w:hAnsi="PT Serif" w:cs="PT Serif"/>
          <w:sz w:val="17"/>
          <w:szCs w:val="17"/>
        </w:rPr>
        <w:t>s. 35-46; MEDINA, G</w:t>
      </w:r>
      <w:r>
        <w:rPr>
          <w:rFonts w:ascii="PT Serif" w:hAnsi="PT Serif" w:cs="PT Serif"/>
          <w:sz w:val="17"/>
          <w:szCs w:val="17"/>
        </w:rPr>
        <w:t xml:space="preserve">astón </w:t>
      </w:r>
      <w:r w:rsidRPr="00DF3094">
        <w:rPr>
          <w:rFonts w:ascii="PT Serif" w:hAnsi="PT Serif" w:cs="PT Serif"/>
          <w:sz w:val="17"/>
          <w:szCs w:val="17"/>
        </w:rPr>
        <w:t>L</w:t>
      </w:r>
      <w:r>
        <w:rPr>
          <w:rFonts w:ascii="PT Serif" w:hAnsi="PT Serif" w:cs="PT Serif"/>
          <w:sz w:val="17"/>
          <w:szCs w:val="17"/>
        </w:rPr>
        <w:t>eandro</w:t>
      </w:r>
      <w:r w:rsidRPr="00DF3094">
        <w:rPr>
          <w:rFonts w:ascii="PT Serif" w:hAnsi="PT Serif" w:cs="PT Serif"/>
          <w:sz w:val="17"/>
          <w:szCs w:val="17"/>
        </w:rPr>
        <w:t xml:space="preserve">, </w:t>
      </w:r>
      <w:r w:rsidRPr="00DC626B">
        <w:rPr>
          <w:rFonts w:ascii="PT Serif" w:hAnsi="PT Serif" w:cs="PT Serif"/>
          <w:sz w:val="17"/>
          <w:szCs w:val="17"/>
        </w:rPr>
        <w:t>«</w:t>
      </w:r>
      <w:r w:rsidRPr="00DF3094">
        <w:rPr>
          <w:rFonts w:ascii="PT Serif" w:hAnsi="PT Serif" w:cs="PT Serif"/>
          <w:sz w:val="17"/>
          <w:szCs w:val="17"/>
        </w:rPr>
        <w:t>El precepto pro homine y la globalización jurídica</w:t>
      </w:r>
      <w:r w:rsidRPr="00F659B6">
        <w:rPr>
          <w:rFonts w:ascii="PT Serif" w:hAnsi="PT Serif" w:cs="PT Serif"/>
          <w:sz w:val="17"/>
          <w:szCs w:val="17"/>
        </w:rPr>
        <w:t>»</w:t>
      </w:r>
      <w:r>
        <w:rPr>
          <w:rFonts w:ascii="PT Serif" w:hAnsi="PT Serif" w:cs="PT Serif"/>
          <w:sz w:val="17"/>
          <w:szCs w:val="17"/>
        </w:rPr>
        <w:t>,</w:t>
      </w:r>
      <w:r w:rsidRPr="00DF3094">
        <w:rPr>
          <w:rFonts w:ascii="PT Serif" w:hAnsi="PT Serif" w:cs="PT Serif"/>
          <w:sz w:val="17"/>
          <w:szCs w:val="17"/>
        </w:rPr>
        <w:t xml:space="preserve"> </w:t>
      </w:r>
      <w:r w:rsidRPr="0039130E">
        <w:rPr>
          <w:rFonts w:ascii="PT Serif" w:hAnsi="PT Serif" w:cs="PT Serif"/>
          <w:i/>
          <w:iCs/>
          <w:sz w:val="17"/>
          <w:szCs w:val="17"/>
        </w:rPr>
        <w:t>Revista</w:t>
      </w:r>
      <w:r>
        <w:rPr>
          <w:rFonts w:ascii="PT Serif" w:hAnsi="PT Serif" w:cs="PT Serif"/>
          <w:sz w:val="17"/>
          <w:szCs w:val="17"/>
        </w:rPr>
        <w:t xml:space="preserve"> </w:t>
      </w:r>
      <w:r w:rsidRPr="00DF3094">
        <w:rPr>
          <w:rFonts w:ascii="PT Serif" w:hAnsi="PT Serif" w:cs="PT Serif"/>
          <w:i/>
          <w:sz w:val="17"/>
          <w:szCs w:val="17"/>
        </w:rPr>
        <w:t>anales de la Facultad de Ciencias Jurídicas y Sociales de la Universidad Nacional de La Plata</w:t>
      </w:r>
      <w:r w:rsidRPr="00DF3094">
        <w:rPr>
          <w:rFonts w:ascii="PT Serif" w:hAnsi="PT Serif" w:cs="PT Serif"/>
          <w:sz w:val="17"/>
          <w:szCs w:val="17"/>
        </w:rPr>
        <w:t>, vol. 13, núm. 46, 2016, p</w:t>
      </w:r>
      <w:r>
        <w:rPr>
          <w:rFonts w:ascii="PT Serif" w:hAnsi="PT Serif" w:cs="PT Serif"/>
          <w:sz w:val="17"/>
          <w:szCs w:val="17"/>
        </w:rPr>
        <w:t>p</w:t>
      </w:r>
      <w:r w:rsidRPr="00DF3094">
        <w:rPr>
          <w:rFonts w:ascii="PT Serif" w:hAnsi="PT Serif" w:cs="PT Serif"/>
          <w:sz w:val="17"/>
          <w:szCs w:val="17"/>
        </w:rPr>
        <w:t>s. 249-259; MELGAR RIMACHI, A</w:t>
      </w:r>
      <w:r>
        <w:rPr>
          <w:rFonts w:ascii="PT Serif" w:hAnsi="PT Serif" w:cs="PT Serif"/>
          <w:sz w:val="17"/>
          <w:szCs w:val="17"/>
        </w:rPr>
        <w:t>driana</w:t>
      </w:r>
      <w:r w:rsidRPr="00DF3094">
        <w:rPr>
          <w:rFonts w:ascii="PT Serif" w:hAnsi="PT Serif" w:cs="PT Serif"/>
          <w:sz w:val="17"/>
          <w:szCs w:val="17"/>
        </w:rPr>
        <w:t xml:space="preserve">, </w:t>
      </w:r>
      <w:r w:rsidRPr="00DF3094">
        <w:rPr>
          <w:rFonts w:ascii="PT Serif" w:hAnsi="PT Serif" w:cs="PT Serif"/>
          <w:i/>
          <w:sz w:val="17"/>
          <w:szCs w:val="17"/>
        </w:rPr>
        <w:t>El principio &lt;pro homine&gt; como clave hermenéutica de la</w:t>
      </w:r>
      <w:r w:rsidRPr="007173BB">
        <w:rPr>
          <w:rFonts w:ascii="PT Serif" w:hAnsi="PT Serif" w:cs="PT Serif"/>
          <w:i/>
          <w:sz w:val="17"/>
          <w:szCs w:val="17"/>
        </w:rPr>
        <w:t xml:space="preserve"> </w:t>
      </w:r>
      <w:r w:rsidRPr="00DF3094">
        <w:rPr>
          <w:rFonts w:ascii="PT Serif" w:hAnsi="PT Serif" w:cs="PT Serif"/>
          <w:i/>
          <w:sz w:val="17"/>
          <w:szCs w:val="17"/>
        </w:rPr>
        <w:t>interpretación de conformidad. El diálogo entre la Corte IDH y los tribunales peruanos</w:t>
      </w:r>
      <w:r w:rsidRPr="00DF3094">
        <w:rPr>
          <w:rFonts w:ascii="PT Serif" w:hAnsi="PT Serif" w:cs="PT Serif"/>
          <w:sz w:val="17"/>
          <w:szCs w:val="17"/>
        </w:rPr>
        <w:t>. Universidad Católica San Pablo, Arequipa, Perú, 2016; P</w:t>
      </w:r>
      <w:r>
        <w:rPr>
          <w:rFonts w:ascii="PT Serif" w:hAnsi="PT Serif" w:cs="PT Serif"/>
          <w:sz w:val="17"/>
          <w:szCs w:val="17"/>
        </w:rPr>
        <w:t>INTO</w:t>
      </w:r>
      <w:r w:rsidRPr="00DF3094">
        <w:rPr>
          <w:rFonts w:ascii="PT Serif" w:hAnsi="PT Serif" w:cs="PT Serif"/>
          <w:sz w:val="17"/>
          <w:szCs w:val="17"/>
        </w:rPr>
        <w:t>, M</w:t>
      </w:r>
      <w:r>
        <w:rPr>
          <w:rFonts w:ascii="PT Serif" w:hAnsi="PT Serif" w:cs="PT Serif"/>
          <w:sz w:val="17"/>
          <w:szCs w:val="17"/>
        </w:rPr>
        <w:t>ónica</w:t>
      </w:r>
      <w:r w:rsidRPr="00DF3094">
        <w:rPr>
          <w:rFonts w:ascii="PT Serif" w:hAnsi="PT Serif" w:cs="PT Serif"/>
          <w:sz w:val="17"/>
          <w:szCs w:val="17"/>
        </w:rPr>
        <w:t xml:space="preserve">., </w:t>
      </w:r>
      <w:r w:rsidRPr="00DC626B">
        <w:rPr>
          <w:rFonts w:ascii="PT Serif" w:hAnsi="PT Serif" w:cs="PT Serif"/>
          <w:sz w:val="17"/>
          <w:szCs w:val="17"/>
        </w:rPr>
        <w:t>«</w:t>
      </w:r>
      <w:r w:rsidRPr="00DF3094">
        <w:rPr>
          <w:rFonts w:ascii="PT Serif" w:hAnsi="PT Serif" w:cs="PT Serif"/>
          <w:sz w:val="17"/>
          <w:szCs w:val="17"/>
        </w:rPr>
        <w:t>El principio pro homine. Criterios de hermenéutica y pautas para la regulación de los derechos humanos</w:t>
      </w:r>
      <w:r w:rsidRPr="00F659B6">
        <w:rPr>
          <w:rFonts w:ascii="PT Serif" w:hAnsi="PT Serif" w:cs="PT Serif"/>
          <w:sz w:val="17"/>
          <w:szCs w:val="17"/>
        </w:rPr>
        <w:t>»</w:t>
      </w:r>
      <w:r w:rsidRPr="00DF3094">
        <w:rPr>
          <w:rFonts w:ascii="PT Serif" w:hAnsi="PT Serif" w:cs="PT Serif"/>
          <w:sz w:val="17"/>
          <w:szCs w:val="17"/>
        </w:rPr>
        <w:t xml:space="preserve">. </w:t>
      </w:r>
      <w:r w:rsidRPr="00DF3094">
        <w:rPr>
          <w:rFonts w:ascii="PT Serif" w:hAnsi="PT Serif" w:cs="PT Serif"/>
          <w:i/>
          <w:sz w:val="17"/>
          <w:szCs w:val="17"/>
        </w:rPr>
        <w:t>La aplicación de los tratados sobre derechos humanos por los tribunales locales</w:t>
      </w:r>
      <w:r w:rsidRPr="00DF3094">
        <w:rPr>
          <w:rFonts w:ascii="PT Serif" w:hAnsi="PT Serif" w:cs="PT Serif"/>
          <w:sz w:val="17"/>
          <w:szCs w:val="17"/>
        </w:rPr>
        <w:t>, 1997, págs. 163-172; TOLNAY, I</w:t>
      </w:r>
      <w:r>
        <w:rPr>
          <w:rFonts w:ascii="PT Serif" w:hAnsi="PT Serif" w:cs="PT Serif"/>
          <w:sz w:val="17"/>
          <w:szCs w:val="17"/>
        </w:rPr>
        <w:t>ván</w:t>
      </w:r>
      <w:r w:rsidRPr="00DF3094">
        <w:rPr>
          <w:rFonts w:ascii="PT Serif" w:hAnsi="PT Serif" w:cs="PT Serif"/>
          <w:sz w:val="17"/>
          <w:szCs w:val="17"/>
        </w:rPr>
        <w:t xml:space="preserve">., </w:t>
      </w:r>
      <w:r w:rsidRPr="00DC626B">
        <w:rPr>
          <w:rFonts w:ascii="PT Serif" w:hAnsi="PT Serif" w:cs="PT Serif"/>
          <w:sz w:val="17"/>
          <w:szCs w:val="17"/>
        </w:rPr>
        <w:t>«</w:t>
      </w:r>
      <w:r w:rsidRPr="00DF3094">
        <w:rPr>
          <w:rFonts w:ascii="PT Serif" w:hAnsi="PT Serif" w:cs="PT Serif"/>
          <w:sz w:val="17"/>
          <w:szCs w:val="17"/>
        </w:rPr>
        <w:t>La interpretación restrictiva de la ley penal en la Argentina de</w:t>
      </w:r>
      <w:r w:rsidRPr="007173BB">
        <w:rPr>
          <w:rFonts w:ascii="PT Serif" w:hAnsi="PT Serif" w:cs="PT Serif"/>
          <w:sz w:val="17"/>
          <w:szCs w:val="17"/>
        </w:rPr>
        <w:t xml:space="preserve"> </w:t>
      </w:r>
      <w:r w:rsidRPr="00DF3094">
        <w:rPr>
          <w:rFonts w:ascii="PT Serif" w:hAnsi="PT Serif" w:cs="PT Serif"/>
          <w:sz w:val="17"/>
          <w:szCs w:val="17"/>
        </w:rPr>
        <w:t>hoy. La relevancia de los principios de legalidad, pro homine y de ultima ratio del derecho penal</w:t>
      </w:r>
      <w:r w:rsidRPr="00F659B6">
        <w:rPr>
          <w:rFonts w:ascii="PT Serif" w:hAnsi="PT Serif" w:cs="PT Serif"/>
          <w:sz w:val="17"/>
          <w:szCs w:val="17"/>
        </w:rPr>
        <w:t>»</w:t>
      </w:r>
      <w:r w:rsidRPr="00DF3094">
        <w:rPr>
          <w:rFonts w:ascii="PT Serif" w:hAnsi="PT Serif" w:cs="PT Serif"/>
          <w:sz w:val="17"/>
          <w:szCs w:val="17"/>
        </w:rPr>
        <w:t xml:space="preserve">. </w:t>
      </w:r>
      <w:r w:rsidRPr="00DF3094">
        <w:rPr>
          <w:rFonts w:ascii="PT Serif" w:hAnsi="PT Serif" w:cs="PT Serif"/>
          <w:i/>
          <w:sz w:val="17"/>
          <w:szCs w:val="17"/>
        </w:rPr>
        <w:t>Revista de derecho penal y criminología</w:t>
      </w:r>
      <w:r w:rsidRPr="00DF3094">
        <w:rPr>
          <w:rFonts w:ascii="PT Serif" w:hAnsi="PT Serif" w:cs="PT Serif"/>
          <w:sz w:val="17"/>
          <w:szCs w:val="17"/>
        </w:rPr>
        <w:t xml:space="preserve">, núm. 10, 2014, </w:t>
      </w:r>
      <w:r>
        <w:rPr>
          <w:rFonts w:ascii="PT Serif" w:hAnsi="PT Serif" w:cs="PT Serif"/>
          <w:sz w:val="17"/>
          <w:szCs w:val="17"/>
        </w:rPr>
        <w:t>pp</w:t>
      </w:r>
      <w:r w:rsidRPr="00DF3094">
        <w:rPr>
          <w:rFonts w:ascii="PT Serif" w:hAnsi="PT Serif" w:cs="PT Serif"/>
          <w:sz w:val="17"/>
          <w:szCs w:val="17"/>
        </w:rPr>
        <w:t>s. 9-22.</w:t>
      </w:r>
      <w:r w:rsidRPr="007173BB">
        <w:rPr>
          <w:rFonts w:ascii="PT Serif" w:hAnsi="PT Serif" w:cs="PT Serif"/>
          <w:sz w:val="17"/>
          <w:szCs w:val="17"/>
        </w:rPr>
        <w:t xml:space="preserve"> </w:t>
      </w:r>
    </w:p>
  </w:footnote>
  <w:footnote w:id="43">
    <w:p w14:paraId="4A75710E" w14:textId="03819A47" w:rsidR="00994D50" w:rsidRDefault="00994D50">
      <w:pPr>
        <w:pStyle w:val="FootnoteText"/>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En este caso, la CIDH se pronuncia sobre la violación de derechos humanos cometida por el Estado mexicano motivada por la desaparición forzada de Rosendo Radilla Pacheco a manos del ejército.</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{{EDICIO}}                                                                                                                                                {{AUTOR}}</w:t>
    </w:r>
  </w:p>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s>
      <w:rPr>
        <w:rFonts w:ascii="Open Sans" w:hAnsi="Open Sans" w:cs="Open Sans"/>
        <w:b/>
        <w:bCs/>
        <w:sz w:val="16"/>
        <w:szCs w:val="18"/>
      </w:rPr>
    </w:pPr>
    <w:r>
      <w:rPr>
        <w:rFonts w:cs="Open Sans" w:ascii="Open Sans" w:hAnsi="Open Sans"/>
        <w:b/>
        <w:bCs/>
        <w:sz w:val="16"/>
        <w:szCs w:val="18"/>
      </w:rPr>
      <w:t>InDret 1.2025</w:t>
    </w:r>
    <w:r>
      <w:rPr>
        <w:rFonts w:cs="Open Sans" w:ascii="Open Sans" w:hAnsi="Open Sans"/>
        <w:b/>
        <w:bCs/>
        <w:sz w:val="16"/>
        <w:szCs w:val="18"/>
      </w:rPr>
      <w:tab/>
    </w:r>
    <w:r>
      <w:rPr>
        <w:rFonts w:cs="Open Sans" w:ascii="Open Sans" w:hAnsi="Open Sans"/>
        <w:b/>
        <w:bCs/>
        <w:sz w:val="16"/>
        <w:szCs w:val="18"/>
      </w:rPr>
      <w:t>Luis Andrés Cucarella Galiana</w:t>
    </w:r>
  </w:p>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InDret 1.2025                                                                                                                                                Luis Andrés Cucarella Galiana</w: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s>
      <w:rPr>
        <w:rFonts w:ascii="Open Sans" w:hAnsi="Open Sans" w:cs="Open Sans"/>
        <w:b/>
        <w:bCs/>
        <w:sz w:val="16"/>
        <w:szCs w:val="18"/>
      </w:rPr>
    </w:pPr>
    <w:r>
      <w:rPr>
        <w:rFonts w:cs="Open Sans" w:ascii="Open Sans" w:hAnsi="Open Sans"/>
        <w:b/>
        <w:bCs/>
        <w:sz w:val="16"/>
        <w:szCs w:val="18"/>
      </w:rPr>
      <w:t>InDret 1.2025</w:t>
    </w:r>
    <w:r>
      <w:rPr>
        <w:rFonts w:cs="Open Sans" w:ascii="Open Sans" w:hAnsi="Open Sans"/>
        <w:b/>
        <w:bCs/>
        <w:sz w:val="16"/>
        <w:szCs w:val="18"/>
      </w:rPr>
      <w:tab/>
    </w:r>
    <w:r>
      <w:rPr>
        <w:rFonts w:cs="Open Sans" w:ascii="Open Sans" w:hAnsi="Open Sans"/>
        <w:b/>
        <w:bCs/>
        <w:sz w:val="16"/>
        <w:szCs w:val="18"/>
      </w:rPr>
      <w:t>Luis Andrés Cucarella Galiana</w:t>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InDret 1.2025                                                                                                                                                Luis Andrés Cucarella Galiana</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15="http://schemas.microsoft.com/office/word/2012/wordml" w:abstractNumId="0" w15:restartNumberingAfterBreak="0">
    <w:nsid w:val="051D47B7"/>
    <w:multiLevelType w:val="hybridMultilevel"/>
    <w:tmpl w:val="56322700"/>
    <w:lvl w:ilvl="0" w:tplc="8CEA8058">
      <w:start w:val="1"/>
      <w:numFmt w:val="decimal"/>
      <w:lvlText w:val="%1."/>
      <w:lvlJc w:val="left"/>
      <w:pPr>
        <w:ind w:left="360" w:hanging="360"/>
      </w:pPr>
      <w:rPr>
        <w:rFonts w:ascii="PT Serif" w:hAnsi="PT Serif" w:cstheme="minorBidi"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 w15:restartNumberingAfterBreak="0">
    <w:nsid w:val="0E410E2F"/>
    <w:multiLevelType w:val="hybridMultilevel"/>
    <w:tmpl w:val="B020508A"/>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2" w15:restartNumberingAfterBreak="0">
    <w:nsid w:val="10007570"/>
    <w:multiLevelType w:val="multilevel"/>
    <w:tmpl w:val="3282247A"/>
    <w:lvl w:ilvl="0">
      <w:start w:val="3"/>
      <w:numFmt w:val="decimal"/>
      <w:lvlText w:val="%1."/>
      <w:lvlJc w:val="left"/>
      <w:pPr>
        <w:ind w:left="504" w:hanging="504"/>
      </w:pPr>
      <w:rPr>
        <w:rFonts w:hint="default"/>
      </w:rPr>
    </w:lvl>
    <w:lvl w:ilvl="1">
      <w:start w:val="2"/>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xmlns:w15="http://schemas.microsoft.com/office/word/2012/wordml" w:abstractNumId="3" w15:restartNumberingAfterBreak="0">
    <w:nsid w:val="11A76F00"/>
    <w:multiLevelType w:val="hybridMultilevel"/>
    <w:tmpl w:val="653A031E"/>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4" w15:restartNumberingAfterBreak="0">
    <w:nsid w:val="11C14145"/>
    <w:multiLevelType w:val="multilevel"/>
    <w:tmpl w:val="72DCBDFC"/>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5" w15:restartNumberingAfterBreak="0">
    <w:nsid w:val="13E15165"/>
    <w:multiLevelType w:val="multilevel"/>
    <w:tmpl w:val="8CDAFADC"/>
    <w:lvl w:ilvl="0">
      <w:start w:val="1"/>
      <w:numFmt w:val="bullet"/>
      <w:lvlText w:val=""/>
      <w:lvlJc w:val="left"/>
      <w:pPr>
        <w:tabs>
          <w:tab w:val="num" w:pos="720"/>
        </w:tabs>
        <w:ind w:left="360" w:hanging="360"/>
      </w:pPr>
      <w:rPr>
        <w:rFonts w:ascii="Symbol" w:hAnsi="Symbol" w:hint="default"/>
        <w:sz w:val="20"/>
      </w:rPr>
    </w:lvl>
    <w:lvl w:ilvl="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6" w15:restartNumberingAfterBreak="0">
    <w:nsid w:val="144C513A"/>
    <w:multiLevelType w:val="multilevel"/>
    <w:tmpl w:val="AB24FB1A"/>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7" w15:restartNumberingAfterBreak="0">
    <w:nsid w:val="18DC5BB0"/>
    <w:multiLevelType w:val="hybridMultilevel"/>
    <w:tmpl w:val="54E2BDC6"/>
    <w:lvl w:ilvl="0" w:tplc="9730B94E">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8" w15:restartNumberingAfterBreak="0">
    <w:nsid w:val="1BAD69E6"/>
    <w:multiLevelType w:val="multilevel"/>
    <w:tmpl w:val="D662F44C"/>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9" w15:restartNumberingAfterBreak="0">
    <w:nsid w:val="1D656DAE"/>
    <w:multiLevelType w:val="hybridMultilevel"/>
    <w:tmpl w:val="64683EF8"/>
    <w:lvl w:ilvl="0" w:tplc="06E286A4">
      <w:start w:val="1"/>
      <w:numFmt w:val="lowerLetter"/>
      <w:lvlText w:val="%1."/>
      <w:lvlJc w:val="left"/>
      <w:pPr>
        <w:ind w:left="360" w:hanging="360"/>
      </w:pPr>
      <w:rPr>
        <w:rFonts w:hint="default"/>
        <w:b w:val="0"/>
        <w:bCs w:val="0"/>
        <w:i/>
        <w:i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0" w15:restartNumberingAfterBreak="0">
    <w:nsid w:val="1EA564F6"/>
    <w:multiLevelType w:val="multilevel"/>
    <w:tmpl w:val="F4CCE510"/>
    <w:lvl w:ilvl="0">
      <w:start w:val="3"/>
      <w:numFmt w:val="decimal"/>
      <w:lvlText w:val="%1."/>
      <w:lvlJc w:val="left"/>
      <w:pPr>
        <w:ind w:left="495" w:hanging="495"/>
      </w:pPr>
      <w:rPr>
        <w:rFonts w:hint="default"/>
      </w:rPr>
    </w:lvl>
    <w:lvl w:ilvl="1">
      <w:start w:val="2"/>
      <w:numFmt w:val="decimal"/>
      <w:lvlText w:val="%1.%2."/>
      <w:lvlJc w:val="left"/>
      <w:pPr>
        <w:ind w:left="675" w:hanging="495"/>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xmlns:w15="http://schemas.microsoft.com/office/word/2012/wordml" w:abstractNumId="11" w15:restartNumberingAfterBreak="0">
    <w:nsid w:val="241572BF"/>
    <w:multiLevelType w:val="multilevel"/>
    <w:tmpl w:val="B462B994"/>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12" w15:restartNumberingAfterBreak="0">
    <w:nsid w:val="286444FB"/>
    <w:multiLevelType w:val="hybridMultilevel"/>
    <w:tmpl w:val="25A0EA48"/>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3" w15:restartNumberingAfterBreak="0">
    <w:nsid w:val="2A2A4367"/>
    <w:multiLevelType w:val="multilevel"/>
    <w:tmpl w:val="315E52CC"/>
    <w:lvl w:ilvl="0">
      <w:start w:val="2"/>
      <w:numFmt w:val="decimal"/>
      <w:lvlText w:val="%1."/>
      <w:lvlJc w:val="left"/>
      <w:pPr>
        <w:ind w:left="504" w:hanging="504"/>
      </w:pPr>
      <w:rPr>
        <w:rFonts w:hint="default"/>
      </w:rPr>
    </w:lvl>
    <w:lvl w:ilvl="1">
      <w:start w:val="2"/>
      <w:numFmt w:val="decimal"/>
      <w:lvlText w:val="%1.%2."/>
      <w:lvlJc w:val="left"/>
      <w:pPr>
        <w:ind w:left="504" w:hanging="50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xmlns:w15="http://schemas.microsoft.com/office/word/2012/wordml" w:abstractNumId="14" w15:restartNumberingAfterBreak="0">
    <w:nsid w:val="33E05357"/>
    <w:multiLevelType w:val="hybridMultilevel"/>
    <w:tmpl w:val="17BA8260"/>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5" w15:restartNumberingAfterBreak="0">
    <w:nsid w:val="33E87EE6"/>
    <w:multiLevelType w:val="hybridMultilevel"/>
    <w:tmpl w:val="74DED1AC"/>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6" w15:restartNumberingAfterBreak="0">
    <w:nsid w:val="34EF6786"/>
    <w:multiLevelType w:val="hybridMultilevel"/>
    <w:tmpl w:val="8466D2E0"/>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7" w15:restartNumberingAfterBreak="0">
    <w:nsid w:val="35CF0F2E"/>
    <w:multiLevelType w:val="hybridMultilevel"/>
    <w:tmpl w:val="FD88F64E"/>
    <w:lvl w:ilvl="0" w:tplc="0C0A0017">
      <w:start w:val="1"/>
      <w:numFmt w:val="lowerLetter"/>
      <w:lvlText w:val="%1)"/>
      <w:lvlJc w:val="left"/>
      <w:pPr>
        <w:ind w:left="360" w:hanging="360"/>
      </w:pPr>
      <w:rPr>
        <w:rFonts w:hint="default"/>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start w:val="1"/>
      <w:numFmt w:val="decimal"/>
      <w:lvlText w:val="%4."/>
      <w:lvlJc w:val="left"/>
      <w:pPr>
        <w:ind w:left="2520" w:hanging="360"/>
      </w:pPr>
    </w:lvl>
    <w:lvl w:ilvl="4" w:tplc="0C0A0019">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8" w15:restartNumberingAfterBreak="0">
    <w:nsid w:val="3F783172"/>
    <w:multiLevelType w:val="hybridMultilevel"/>
    <w:tmpl w:val="3168B624"/>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19" w15:restartNumberingAfterBreak="0">
    <w:nsid w:val="4405459F"/>
    <w:multiLevelType w:val="multilevel"/>
    <w:tmpl w:val="5424409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xmlns:w15="http://schemas.microsoft.com/office/word/2012/wordml" w:abstractNumId="20" w15:restartNumberingAfterBreak="0">
    <w:nsid w:val="47665928"/>
    <w:multiLevelType w:val="multilevel"/>
    <w:tmpl w:val="5D5C2986"/>
    <w:lvl w:ilvl="0">
      <w:start w:val="2"/>
      <w:numFmt w:val="decimal"/>
      <w:lvlText w:val="%1"/>
      <w:lvlJc w:val="left"/>
      <w:pPr>
        <w:ind w:left="444" w:hanging="444"/>
      </w:pPr>
      <w:rPr>
        <w:rFonts w:hint="default"/>
      </w:rPr>
    </w:lvl>
    <w:lvl w:ilvl="1">
      <w:start w:val="2"/>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xmlns:w15="http://schemas.microsoft.com/office/word/2012/wordml" w:abstractNumId="21" w15:restartNumberingAfterBreak="0">
    <w:nsid w:val="47E1587B"/>
    <w:multiLevelType w:val="multilevel"/>
    <w:tmpl w:val="40601F06"/>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22" w15:restartNumberingAfterBreak="0">
    <w:nsid w:val="5575326A"/>
    <w:multiLevelType w:val="multilevel"/>
    <w:tmpl w:val="8F9A7E3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xmlns:w15="http://schemas.microsoft.com/office/word/2012/wordml" w:abstractNumId="23" w15:restartNumberingAfterBreak="0">
    <w:nsid w:val="56153C6B"/>
    <w:multiLevelType w:val="hybridMultilevel"/>
    <w:tmpl w:val="4ECE888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24" w15:restartNumberingAfterBreak="0">
    <w:nsid w:val="5967171E"/>
    <w:multiLevelType w:val="multilevel"/>
    <w:tmpl w:val="1ABE3CBA"/>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25" w15:restartNumberingAfterBreak="0">
    <w:nsid w:val="59931A0D"/>
    <w:multiLevelType w:val="hybridMultilevel"/>
    <w:tmpl w:val="A55C35AE"/>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26" w15:restartNumberingAfterBreak="0">
    <w:nsid w:val="5DA83198"/>
    <w:multiLevelType w:val="hybridMultilevel"/>
    <w:tmpl w:val="C6ECD838"/>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27" w15:restartNumberingAfterBreak="0">
    <w:nsid w:val="5E3B35BE"/>
    <w:multiLevelType w:val="hybridMultilevel"/>
    <w:tmpl w:val="8C74DC2A"/>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28" w15:restartNumberingAfterBreak="0">
    <w:nsid w:val="622619F4"/>
    <w:multiLevelType w:val="multilevel"/>
    <w:tmpl w:val="C99601D6"/>
    <w:lvl w:ilvl="0">
      <w:start w:val="1"/>
      <w:numFmt w:val="bullet"/>
      <w:lvlText w:val=""/>
      <w:lvlJc w:val="left"/>
      <w:pPr>
        <w:tabs>
          <w:tab w:val="num" w:pos="720"/>
        </w:tabs>
        <w:ind w:left="360" w:hanging="360"/>
      </w:pPr>
      <w:rPr>
        <w:rFonts w:ascii="Symbol" w:hAnsi="Symbol" w:hint="default"/>
        <w:sz w:val="20"/>
      </w:rPr>
    </w:lvl>
    <w:lvl w:ilvl="1" w:tentative="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xmlns:w15="http://schemas.microsoft.com/office/word/2012/wordml" w:abstractNumId="29" w15:restartNumberingAfterBreak="0">
    <w:nsid w:val="62B57B11"/>
    <w:multiLevelType w:val="hybridMultilevel"/>
    <w:tmpl w:val="717870D4"/>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0" w15:restartNumberingAfterBreak="0">
    <w:nsid w:val="65412C44"/>
    <w:multiLevelType w:val="hybridMultilevel"/>
    <w:tmpl w:val="9C9A6EAE"/>
    <w:lvl w:ilvl="0" w:tplc="1E64521E">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1" w15:restartNumberingAfterBreak="0">
    <w:nsid w:val="6963389C"/>
    <w:multiLevelType w:val="multilevel"/>
    <w:tmpl w:val="F2C61624"/>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xmlns:w15="http://schemas.microsoft.com/office/word/2012/wordml" w:abstractNumId="32" w15:restartNumberingAfterBreak="0">
    <w:nsid w:val="69BA5B93"/>
    <w:multiLevelType w:val="hybridMultilevel"/>
    <w:tmpl w:val="54721DE2"/>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3" w15:restartNumberingAfterBreak="0">
    <w:nsid w:val="6C5F4C5C"/>
    <w:multiLevelType w:val="hybridMultilevel"/>
    <w:tmpl w:val="DEFCEEAC"/>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4" w15:restartNumberingAfterBreak="0">
    <w:nsid w:val="6EC36C75"/>
    <w:multiLevelType w:val="hybridMultilevel"/>
    <w:tmpl w:val="D0560FE2"/>
    <w:lvl w:ilvl="0" w:tplc="0C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5" w15:restartNumberingAfterBreak="0">
    <w:nsid w:val="748E318C"/>
    <w:multiLevelType w:val="hybridMultilevel"/>
    <w:tmpl w:val="4964E4CE"/>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xmlns:w15="http://schemas.microsoft.com/office/word/2012/wordml" w:abstractNumId="36" w15:restartNumberingAfterBreak="0">
    <w:nsid w:val="7FAC38E8"/>
    <w:multiLevelType w:val="hybridMultilevel"/>
    <w:tmpl w:val="C4CC4968"/>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7"/>
  </w:num>
  <w:num w:numId="2">
    <w:abstractNumId w:val="23"/>
  </w:num>
  <w:num w:numId="3">
    <w:abstractNumId w:val="22"/>
  </w:num>
  <w:num w:numId="4">
    <w:abstractNumId w:val="31"/>
  </w:num>
  <w:num w:numId="5">
    <w:abstractNumId w:val="15"/>
  </w:num>
  <w:num w:numId="6">
    <w:abstractNumId w:val="14"/>
  </w:num>
  <w:num w:numId="7">
    <w:abstractNumId w:val="27"/>
  </w:num>
  <w:num w:numId="8">
    <w:abstractNumId w:val="16"/>
  </w:num>
  <w:num w:numId="9">
    <w:abstractNumId w:val="34"/>
  </w:num>
  <w:num w:numId="10">
    <w:abstractNumId w:val="32"/>
  </w:num>
  <w:num w:numId="11">
    <w:abstractNumId w:val="12"/>
  </w:num>
  <w:num w:numId="12">
    <w:abstractNumId w:val="30"/>
  </w:num>
  <w:num w:numId="13">
    <w:abstractNumId w:val="3"/>
  </w:num>
  <w:num w:numId="14">
    <w:abstractNumId w:val="7"/>
  </w:num>
  <w:num w:numId="15">
    <w:abstractNumId w:val="33"/>
  </w:num>
  <w:num w:numId="16">
    <w:abstractNumId w:val="36"/>
  </w:num>
  <w:num w:numId="17">
    <w:abstractNumId w:val="29"/>
  </w:num>
  <w:num w:numId="18">
    <w:abstractNumId w:val="35"/>
  </w:num>
  <w:num w:numId="19">
    <w:abstractNumId w:val="26"/>
  </w:num>
  <w:num w:numId="20">
    <w:abstractNumId w:val="0"/>
  </w:num>
  <w:num w:numId="21">
    <w:abstractNumId w:val="19"/>
  </w:num>
  <w:num w:numId="22">
    <w:abstractNumId w:val="10"/>
  </w:num>
  <w:num w:numId="23">
    <w:abstractNumId w:val="11"/>
  </w:num>
  <w:num w:numId="24">
    <w:abstractNumId w:val="6"/>
  </w:num>
  <w:num w:numId="25">
    <w:abstractNumId w:val="4"/>
  </w:num>
  <w:num w:numId="26">
    <w:abstractNumId w:val="8"/>
  </w:num>
  <w:num w:numId="27">
    <w:abstractNumId w:val="5"/>
  </w:num>
  <w:num w:numId="28">
    <w:abstractNumId w:val="24"/>
  </w:num>
  <w:num w:numId="29">
    <w:abstractNumId w:val="28"/>
  </w:num>
  <w:num w:numId="30">
    <w:abstractNumId w:val="21"/>
  </w:num>
  <w:num w:numId="31">
    <w:abstractNumId w:val="1"/>
  </w:num>
  <w:num w:numId="32">
    <w:abstractNumId w:val="18"/>
  </w:num>
  <w:num w:numId="33">
    <w:abstractNumId w:val="9"/>
  </w:num>
  <w:num w:numId="34">
    <w:abstractNumId w:val="2"/>
  </w:num>
  <w:num w:numId="35">
    <w:abstractNumId w:val="20"/>
  </w:num>
  <w:num w:numId="36">
    <w:abstractNumId w:val="13"/>
  </w:num>
  <w:num w:numId="37">
    <w:abstractNumId w:val="25"/>
  </w:num>
</w:numbering>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5"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1f1d"/>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Heading1">
    <w:name w:val="heading 1"/>
    <w:basedOn w:val="Normal"/>
    <w:link w:val="Ttulo1Car"/>
    <w:uiPriority w:val="9"/>
    <w:qFormat/>
    <w:rsid w:val="00591f1d"/>
    <w:pPr>
      <w:spacing w:lineRule="auto" w:line="240" w:beforeAutospacing="1" w:afterAutospacing="1"/>
      <w:outlineLvl w:val="0"/>
    </w:pPr>
    <w:rPr>
      <w:rFonts w:ascii="Times New Roman" w:hAnsi="Times New Roman" w:eastAsia="Times New Roman" w:cs="Times New Roman"/>
      <w:b/>
      <w:bCs/>
      <w:kern w:val="2"/>
      <w:sz w:val="48"/>
      <w:szCs w:val="48"/>
      <w:lang w:eastAsia="es-ES"/>
    </w:rPr>
  </w:style>
  <w:style w:type="paragraph" w:styleId="Heading2">
    <w:name w:val="heading 2"/>
    <w:basedOn w:val="Normal"/>
    <w:next w:val="Normal"/>
    <w:link w:val="Ttulo2Car"/>
    <w:uiPriority w:val="9"/>
    <w:semiHidden/>
    <w:unhideWhenUsed/>
    <w:qFormat/>
    <w:rsid w:val="00591f1d"/>
    <w:pPr>
      <w:keepNext w:val="true"/>
      <w:keepLines/>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uiPriority w:val="9"/>
    <w:semiHidden/>
    <w:unhideWhenUsed/>
    <w:qFormat/>
    <w:rsid w:val="00591f1d"/>
    <w:pPr>
      <w:keepNext w:val="true"/>
      <w:keepLines/>
      <w:spacing w:before="200" w:after="0"/>
      <w:outlineLvl w:val="2"/>
    </w:pPr>
    <w:rPr>
      <w:rFonts w:ascii="Cambria" w:hAnsi="Cambria" w:eastAsia="" w:cs="" w:asciiTheme="majorHAnsi" w:cstheme="majorBidi" w:eastAsiaTheme="majorEastAsia" w:hAnsiTheme="majorHAnsi"/>
      <w:b/>
      <w:bCs/>
      <w:color w:themeColor="accent1" w:val="4F81BD"/>
    </w:rPr>
  </w:style>
  <w:style w:type="paragraph" w:styleId="Heading4">
    <w:name w:val="heading 4"/>
    <w:basedOn w:val="Normal"/>
    <w:next w:val="Normal"/>
    <w:link w:val="Ttulo4Car"/>
    <w:uiPriority w:val="9"/>
    <w:semiHidden/>
    <w:unhideWhenUsed/>
    <w:qFormat/>
    <w:rsid w:val="0029096c"/>
    <w:pPr>
      <w:keepNext w:val="true"/>
      <w:keepLines/>
      <w:spacing w:before="200" w:after="0"/>
      <w:outlineLvl w:val="3"/>
    </w:pPr>
    <w:rPr>
      <w:rFonts w:ascii="Cambria" w:hAnsi="Cambria" w:eastAsia="" w:cs="" w:asciiTheme="majorHAnsi" w:cstheme="majorBidi" w:eastAsiaTheme="majorEastAsia" w:hAnsiTheme="majorHAnsi"/>
      <w:b/>
      <w:bCs/>
      <w:i/>
      <w:iCs/>
      <w:color w:themeColor="accent1" w:val="4F81BD"/>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91f1d"/>
    <w:rPr>
      <w:rFonts w:ascii="Times New Roman" w:hAnsi="Times New Roman" w:eastAsia="Times New Roman" w:cs="Times New Roman"/>
      <w:b/>
      <w:bCs/>
      <w:kern w:val="2"/>
      <w:sz w:val="48"/>
      <w:szCs w:val="48"/>
      <w:lang w:eastAsia="es-ES"/>
    </w:rPr>
  </w:style>
  <w:style w:type="character" w:styleId="Ttulo2Car" w:customStyle="1">
    <w:name w:val="Título 2 Car"/>
    <w:basedOn w:val="DefaultParagraphFont"/>
    <w:link w:val="Heading2"/>
    <w:uiPriority w:val="9"/>
    <w:semiHidden/>
    <w:qFormat/>
    <w:rsid w:val="00591f1d"/>
    <w:rPr>
      <w:rFonts w:ascii="Cambria" w:hAnsi="Cambria" w:eastAsia=""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link w:val="Heading3"/>
    <w:uiPriority w:val="9"/>
    <w:semiHidden/>
    <w:qFormat/>
    <w:rsid w:val="00591f1d"/>
    <w:rPr>
      <w:rFonts w:ascii="Cambria" w:hAnsi="Cambria" w:eastAsia="" w:cs="" w:asciiTheme="majorHAnsi" w:cstheme="majorBidi" w:eastAsiaTheme="majorEastAsia" w:hAnsiTheme="majorHAnsi"/>
      <w:b/>
      <w:bCs/>
      <w:color w:themeColor="accent1" w:val="4F81BD"/>
    </w:rPr>
  </w:style>
  <w:style w:type="character" w:styleId="Hyperlink">
    <w:name w:val="Hyperlink"/>
    <w:basedOn w:val="DefaultParagraphFont"/>
    <w:uiPriority w:val="99"/>
    <w:unhideWhenUsed/>
    <w:rsid w:val="00591f1d"/>
    <w:rPr>
      <w:color w:themeColor="hyperlink" w:val="0000FF"/>
      <w:u w:val="single"/>
    </w:rPr>
  </w:style>
  <w:style w:type="character" w:styleId="Cursiva" w:customStyle="1">
    <w:name w:val="Cursiva"/>
    <w:basedOn w:val="DefaultParagraphFont"/>
    <w:qFormat/>
    <w:rsid w:val="00591f1d"/>
    <w:rPr>
      <w:rFonts w:ascii="Book Antiqua" w:hAnsi="Book Antiqua"/>
      <w:i/>
    </w:rPr>
  </w:style>
  <w:style w:type="character" w:styleId="Ttulo4Car" w:customStyle="1">
    <w:name w:val="Título 4 Car"/>
    <w:basedOn w:val="DefaultParagraphFont"/>
    <w:link w:val="Heading4"/>
    <w:uiPriority w:val="9"/>
    <w:semiHidden/>
    <w:qFormat/>
    <w:rsid w:val="0029096c"/>
    <w:rPr>
      <w:rFonts w:ascii="Cambria" w:hAnsi="Cambria" w:eastAsia="" w:cs="" w:asciiTheme="majorHAnsi" w:cstheme="majorBidi" w:eastAsiaTheme="majorEastAsia" w:hAnsiTheme="majorHAnsi"/>
      <w:b/>
      <w:bCs/>
      <w:i/>
      <w:iCs/>
      <w:color w:themeColor="accent1" w:val="4F81BD"/>
    </w:rPr>
  </w:style>
  <w:style w:type="character" w:styleId="TextonotapieCar" w:customStyle="1">
    <w:name w:val="Texto nota pie Car"/>
    <w:basedOn w:val="DefaultParagraphFont"/>
    <w:link w:val="FootnoteText"/>
    <w:qFormat/>
    <w:rsid w:val="0029096c"/>
    <w:rPr>
      <w:rFonts w:ascii="Book Antiqua" w:hAnsi="Book Antiqua"/>
      <w:sz w:val="18"/>
      <w:szCs w:val="24"/>
    </w:rPr>
  </w:style>
  <w:style w:type="character" w:styleId="FootnoteCharacters">
    <w:name w:val="Footnote Characters"/>
    <w:unhideWhenUsed/>
    <w:qFormat/>
    <w:rsid w:val="0029096c"/>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qFormat/>
    <w:rsid w:val="00d67a98"/>
    <w:rPr/>
  </w:style>
  <w:style w:type="character" w:styleId="PiedepginaCar" w:customStyle="1">
    <w:name w:val="Pie de página Car"/>
    <w:basedOn w:val="DefaultParagraphFont"/>
    <w:link w:val="Footer"/>
    <w:uiPriority w:val="99"/>
    <w:qFormat/>
    <w:rsid w:val="00d67a98"/>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uiPriority w:val="15"/>
    <w:qFormat/>
    <w:rsid w:val="00591f1d"/>
    <w:pPr>
      <w:spacing w:before="0" w:after="200"/>
      <w:ind w:left="720"/>
      <w:contextualSpacing/>
    </w:pPr>
    <w:rPr/>
  </w:style>
  <w:style w:type="paragraph" w:styleId="Default" w:customStyle="1">
    <w:name w:val="Default"/>
    <w:qFormat/>
    <w:rsid w:val="00591f1d"/>
    <w:pPr>
      <w:widowControl/>
      <w:suppressAutoHyphens w:val="true"/>
      <w:bidi w:val="0"/>
      <w:spacing w:lineRule="auto" w:line="240" w:before="0" w:after="0"/>
      <w:jc w:val="left"/>
    </w:pPr>
    <w:rPr>
      <w:rFonts w:ascii="Times New Roman" w:hAnsi="Times New Roman" w:eastAsia="Calibri" w:cs="Times New Roman"/>
      <w:color w:val="000000"/>
      <w:kern w:val="0"/>
      <w:sz w:val="24"/>
      <w:szCs w:val="24"/>
      <w:lang w:val="es-ES" w:eastAsia="en-US" w:bidi="ar-SA"/>
    </w:rPr>
  </w:style>
  <w:style w:type="paragraph" w:styleId="TOC4">
    <w:name w:val="toc 4"/>
    <w:basedOn w:val="Normal"/>
    <w:next w:val="Normal"/>
    <w:autoRedefine/>
    <w:uiPriority w:val="39"/>
    <w:rsid w:val="00591f1d"/>
    <w:pPr>
      <w:widowControl w:val="false"/>
      <w:spacing w:lineRule="auto" w:line="288" w:before="0" w:after="0"/>
      <w:ind w:left="1191"/>
      <w:jc w:val="both"/>
    </w:pPr>
    <w:rPr>
      <w:rFonts w:ascii="Book Antiqua" w:hAnsi="Book Antiqua" w:eastAsia="Times New Roman" w:cs="Times New Roman"/>
      <w:b/>
      <w:color w:val="0000FF"/>
      <w:sz w:val="21"/>
      <w:szCs w:val="24"/>
      <w:lang w:eastAsia="es-ES"/>
    </w:rPr>
  </w:style>
  <w:style w:type="paragraph" w:styleId="TOC1">
    <w:name w:val="toc 1"/>
    <w:basedOn w:val="Normal"/>
    <w:next w:val="Normal"/>
    <w:autoRedefine/>
    <w:uiPriority w:val="39"/>
    <w:rsid w:val="00591f1d"/>
    <w:pPr>
      <w:widowControl w:val="false"/>
      <w:spacing w:lineRule="auto" w:line="288" w:before="0" w:after="0"/>
      <w:ind w:left="482"/>
      <w:jc w:val="both"/>
    </w:pPr>
    <w:rPr>
      <w:rFonts w:ascii="Book Antiqua" w:hAnsi="Book Antiqua" w:eastAsia="Times New Roman" w:cs="Times New Roman"/>
      <w:b/>
      <w:color w:val="0000FF"/>
      <w:sz w:val="21"/>
      <w:szCs w:val="17"/>
      <w:lang w:eastAsia="es-ES"/>
    </w:rPr>
  </w:style>
  <w:style w:type="paragraph" w:styleId="TOC3">
    <w:name w:val="toc 3"/>
    <w:basedOn w:val="Normal"/>
    <w:next w:val="Normal"/>
    <w:autoRedefine/>
    <w:uiPriority w:val="39"/>
    <w:rsid w:val="00591f1d"/>
    <w:pPr>
      <w:widowControl w:val="false"/>
      <w:spacing w:lineRule="auto" w:line="288" w:before="0" w:after="0"/>
      <w:ind w:left="964"/>
      <w:jc w:val="both"/>
    </w:pPr>
    <w:rPr>
      <w:rFonts w:ascii="Book Antiqua" w:hAnsi="Book Antiqua" w:eastAsia="Times New Roman" w:cs="Times New Roman"/>
      <w:b/>
      <w:color w:val="0000FF"/>
      <w:sz w:val="21"/>
      <w:szCs w:val="24"/>
      <w:lang w:eastAsia="es-ES"/>
    </w:rPr>
  </w:style>
  <w:style w:type="paragraph" w:styleId="TOC2">
    <w:name w:val="toc 2"/>
    <w:basedOn w:val="Normal"/>
    <w:next w:val="Normal"/>
    <w:autoRedefine/>
    <w:uiPriority w:val="39"/>
    <w:rsid w:val="00591f1d"/>
    <w:pPr>
      <w:widowControl w:val="false"/>
      <w:spacing w:lineRule="auto" w:line="288" w:before="0" w:after="0"/>
      <w:ind w:left="720"/>
      <w:jc w:val="both"/>
    </w:pPr>
    <w:rPr>
      <w:rFonts w:ascii="Book Antiqua" w:hAnsi="Book Antiqua" w:eastAsia="Times New Roman" w:cs="Times New Roman"/>
      <w:b/>
      <w:color w:val="0000FF"/>
      <w:sz w:val="21"/>
      <w:szCs w:val="17"/>
      <w:lang w:eastAsia="es-ES"/>
    </w:rPr>
  </w:style>
  <w:style w:type="paragraph" w:styleId="TablaInterior" w:customStyle="1">
    <w:name w:val="Tabla Interior"/>
    <w:basedOn w:val="Normal"/>
    <w:qFormat/>
    <w:rsid w:val="00591f1d"/>
    <w:pPr>
      <w:widowControl w:val="false"/>
      <w:spacing w:lineRule="auto" w:line="288" w:before="0" w:after="0"/>
    </w:pPr>
    <w:rPr>
      <w:rFonts w:ascii="Book Antiqua" w:hAnsi="Book Antiqua" w:eastAsia="Times New Roman" w:cs="Times New Roman"/>
      <w:b/>
      <w:i/>
      <w:iCs/>
      <w:sz w:val="18"/>
      <w:szCs w:val="18"/>
      <w:lang w:eastAsia="es-ES"/>
    </w:rPr>
  </w:style>
  <w:style w:type="paragraph" w:styleId="FootnoteText">
    <w:name w:val="footnote text"/>
    <w:basedOn w:val="Normal"/>
    <w:link w:val="TextonotapieCar"/>
    <w:autoRedefine/>
    <w:unhideWhenUsed/>
    <w:qFormat/>
    <w:rsid w:val="0029096c"/>
    <w:pPr>
      <w:spacing w:lineRule="auto" w:line="212" w:before="0" w:after="40"/>
      <w:jc w:val="both"/>
    </w:pPr>
    <w:rPr>
      <w:rFonts w:ascii="Book Antiqua" w:hAnsi="Book Antiqua"/>
      <w:sz w:val="18"/>
      <w:szCs w:val="24"/>
    </w:rPr>
  </w:style>
  <w:style w:type="paragraph" w:styleId="HeaderandFooter">
    <w:name w:val="Header and Footer"/>
    <w:basedOn w:val="Normal"/>
    <w:qFormat/>
    <w:pPr/>
    <w:rPr/>
  </w:style>
  <w:style w:type="paragraph" w:styleId="Header">
    <w:name w:val="header"/>
    <w:basedOn w:val="Normal"/>
    <w:link w:val="EncabezadoCar"/>
    <w:uiPriority w:val="99"/>
    <w:unhideWhenUsed/>
    <w:rsid w:val="00d67a98"/>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d67a98"/>
    <w:pPr>
      <w:tabs>
        <w:tab w:val="clear" w:pos="708"/>
        <w:tab w:val="center" w:pos="4252" w:leader="none"/>
        <w:tab w:val="right" w:pos="8504" w:leader="none"/>
      </w:tabs>
      <w:spacing w:lineRule="auto" w:line="240" w:before="0" w:after="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591f1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indret.b.wetopi.com/" TargetMode="External"/><Relationship Id="rId3" Type="http://schemas.openxmlformats.org/officeDocument/2006/relationships/image" Target="media/image1.png"/><Relationship Id="rId4" Type="http://schemas.microsoft.com/office/2007/relationships/hdphoto" Target="media/hdphoto1.wdp"/><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yperlink" Target="http://indret.b.wetopi.com/" TargetMode="External"/><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footnotes" Target="footnote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500" Type="http://schemas.microsoft.com/office/2007/relationships/hdphoto" Target="media/art_hdphoto1.wdp"/><Relationship Id="rId501" Type="http://schemas.openxmlformats.org/officeDocument/2006/relationships/image" Target="media/art_image1.png"/></Relationships>
</file>

<file path=word/_rels/footnotes.xml.rels><?xml version="1.0" encoding="UTF-8" standalone="yes"?>
<Relationships xmlns="http://schemas.openxmlformats.org/package/2006/relationships"><Relationship Id="rId8" Type="http://schemas.openxmlformats.org/officeDocument/2006/relationships/hyperlink" Target="javascript:Redirection('LE0000019668_Vigente.HTML" TargetMode="External"/><Relationship Id="rId3" Type="http://schemas.openxmlformats.org/officeDocument/2006/relationships/hyperlink" Target="http://dialnet.unirioja.es/servlet/libro?codigo=3564" TargetMode="External"/><Relationship Id="rId7" Type="http://schemas.openxmlformats.org/officeDocument/2006/relationships/hyperlink" Target="javascript:Redirection('LE0000013389_Vigente.HTML" TargetMode="External"/><Relationship Id="rId2" Type="http://schemas.openxmlformats.org/officeDocument/2006/relationships/hyperlink" Target="http://dialnet.unirioja.es/servlet/libro?codigo=3564" TargetMode="External"/><Relationship Id="rId1" Type="http://schemas.openxmlformats.org/officeDocument/2006/relationships/hyperlink" Target="mailto:Luis.a.cucarella@uv.es" TargetMode="External"/><Relationship Id="rId6" Type="http://schemas.openxmlformats.org/officeDocument/2006/relationships/hyperlink" Target="javascript:Redirection('LE0000013389_Vigente.HTML" TargetMode="External"/><Relationship Id="rId5" Type="http://schemas.openxmlformats.org/officeDocument/2006/relationships/hyperlink" Target="javascript:Redirection('LE0000013389_Vigente.HTML" TargetMode="External"/><Relationship Id="rId4" Type="http://schemas.openxmlformats.org/officeDocument/2006/relationships/hyperlink" Target="http://dialnet.unirioja.es/servlet/libro?codigo=8830" TargetMode="External"/><Relationship Id="rId9" Type="http://schemas.openxmlformats.org/officeDocument/2006/relationships/hyperlink" Target="javascript:maf.doc.linkToDocument('RCL+2013+1092',%20'.',%20'RCL+2013+1092',%20'spa');" TargetMode="External"/></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4FDC99-14F3-4314-A48E-9A624A1BE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C:\Users\u113229\AppData\Local\Temp\Temp1_Plantilla-artículo-InDret.dotx.zip\Plantilla arti╠üculo InDret.dotx</Template>
  <TotalTime>2</TotalTime>
  <Application>LibreOffice/25.2.2.2$MacOSX_AARCH64 LibreOffice_project/7370d4be9e3cf6031a51beef54ff3bda878e3fac</Application>
  <AppVersion>15.0000</AppVersion>
  <Pages>6</Pages>
  <Words>1608</Words>
  <Characters>7671</Characters>
  <CharactersWithSpaces>10052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2026-02-24T09:11:00Z</dcterms:created>
  <dc:creator>u113229</dc:creator>
  <dc:description/>
  <dc:language>ca-ES</dc:language>
  <cp:lastModifiedBy/>
  <cp:lastPrinted>2019-12-18T17:31:00Z</cp:lastPrinted>
  <dcterms:modified xsi:type="dcterms:W3CDTF">2026-03-05T12:06:12Z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