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2.xml.rels" ContentType="application/vnd.openxmlformats-package.relationships+xml"/>
  <Override PartName="/customXml/_rels/item1.xml.rels" ContentType="application/vnd.openxmlformats-package.relationship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Times New Roman" w:hAnsi="Times New Roman" w:eastAsia="Times New Roman" w:cs="Times New Roman"/>
          <w:b/>
          <w:lang w:val="es-ES"/>
        </w:rPr>
      </w:pPr>
      <w:bookmarkStart w:id="0" w:name="_GoBack"/>
      <w:bookmarkEnd w:id="0"/>
      <w:r>
        <w:rPr>
          <w:rFonts w:eastAsia="Times New Roman" w:cs="Times New Roman" w:ascii="Times New Roman" w:hAnsi="Times New Roman"/>
          <w:b/>
          <w:lang w:val="es-ES"/>
        </w:rPr>
        <w:t>Vulnerabilidades de ciberseguridad en productos y su incidencia en la responsabilidad del fabricante</w:t>
      </w:r>
    </w:p>
    <w:p>
      <w:pPr>
        <w:pStyle w:val="Normal"/>
        <w:spacing w:lineRule="auto" w:line="276"/>
        <w:jc w:val="center"/>
        <w:rPr>
          <w:rFonts w:ascii="Times New Roman" w:hAnsi="Times New Roman" w:eastAsia="Times New Roman" w:cs="Times New Roman"/>
          <w:b/>
          <w:lang w:val="es-ES"/>
        </w:rPr>
      </w:pPr>
      <w:r>
        <w:rPr>
          <w:rFonts w:eastAsia="Times New Roman" w:cs="Times New Roman" w:ascii="Times New Roman" w:hAnsi="Times New Roman"/>
          <w:b/>
          <w:lang w:val="es-ES"/>
        </w:rPr>
      </w:r>
    </w:p>
    <w:p>
      <w:pPr>
        <w:pStyle w:val="Normal"/>
        <w:spacing w:lineRule="auto" w:line="276"/>
        <w:jc w:val="center"/>
        <w:rPr>
          <w:rFonts w:ascii="Times New Roman" w:hAnsi="Times New Roman" w:eastAsia="Times New Roman" w:cs="Times New Roman"/>
          <w:lang w:val="es-ES"/>
        </w:rPr>
      </w:pPr>
      <w:r>
        <w:rPr>
          <w:rFonts w:eastAsia="Times New Roman" w:cs="Times New Roman" w:ascii="Times New Roman" w:hAnsi="Times New Roman"/>
          <w:lang w:val="es-ES"/>
        </w:rPr>
      </w:r>
    </w:p>
    <w:p>
      <w:pPr>
        <w:pStyle w:val="Normal"/>
        <w:spacing w:lineRule="auto" w:line="276"/>
        <w:ind w:firstLine="720"/>
        <w:jc w:val="both"/>
        <w:rPr>
          <w:rFonts w:ascii="Times New Roman" w:hAnsi="Times New Roman" w:eastAsia="Times New Roman" w:cs="Times New Roman"/>
          <w:lang w:val="es-ES"/>
        </w:rPr>
      </w:pPr>
      <w:r>
        <w:rPr>
          <w:rFonts w:eastAsia="Times New Roman" w:cs="Times New Roman" w:ascii="Times New Roman" w:hAnsi="Times New Roman"/>
          <w:b/>
          <w:lang w:val="es-ES"/>
        </w:rPr>
        <w:t xml:space="preserve">RESUMEN: </w:t>
      </w:r>
      <w:r>
        <w:rPr>
          <w:rFonts w:eastAsia="Times New Roman" w:cs="Times New Roman" w:ascii="Times New Roman" w:hAnsi="Times New Roman"/>
          <w:lang w:val="es-ES"/>
        </w:rPr>
        <w:t>El presente trabajo aborda la conexión entre el Reglamento (UE) 2024/2847, sobre ciberseguridad de los productos con elementos digitales (RCR) y la Directiva (UE) 2024/2853, sobre responsabilidad por daños causados por productos defectuosos (DRP).</w:t>
      </w:r>
      <w:r>
        <w:rPr>
          <w:rFonts w:eastAsia="Times New Roman" w:cs="Times New Roman" w:ascii="Times New Roman" w:hAnsi="Times New Roman"/>
          <w:b/>
          <w:lang w:val="es-ES"/>
        </w:rPr>
        <w:t xml:space="preserve"> </w:t>
      </w:r>
      <w:r>
        <w:rPr>
          <w:rFonts w:eastAsia="Times New Roman" w:cs="Times New Roman" w:ascii="Times New Roman" w:hAnsi="Times New Roman"/>
          <w:lang w:val="es-ES"/>
        </w:rPr>
        <w:t>La digitalización e interconexión de los productos con elementos digitales ha propiciado que estos productos sean vulnerables frente ataques malintencionados de terceros que tienen lugar en el ciberespacio.</w:t>
      </w:r>
      <w:r>
        <w:rPr>
          <w:rFonts w:eastAsia="Times New Roman" w:cs="Times New Roman" w:ascii="Times New Roman" w:hAnsi="Times New Roman"/>
          <w:b/>
          <w:lang w:val="es-ES"/>
        </w:rPr>
        <w:t xml:space="preserve"> </w:t>
      </w:r>
      <w:r>
        <w:rPr>
          <w:rFonts w:eastAsia="Times New Roman" w:cs="Times New Roman" w:ascii="Times New Roman" w:hAnsi="Times New Roman"/>
          <w:lang w:val="es-ES"/>
        </w:rPr>
        <w:t xml:space="preserve">El RCR trata de garantizar, </w:t>
      </w:r>
      <w:r>
        <w:rPr>
          <w:rFonts w:eastAsia="Times New Roman" w:cs="Times New Roman" w:ascii="Times New Roman" w:hAnsi="Times New Roman"/>
          <w:i/>
          <w:lang w:val="es-ES"/>
        </w:rPr>
        <w:t>ex ante</w:t>
      </w:r>
      <w:r>
        <w:rPr>
          <w:rFonts w:eastAsia="Times New Roman" w:cs="Times New Roman" w:ascii="Times New Roman" w:hAnsi="Times New Roman"/>
          <w:lang w:val="es-ES"/>
        </w:rPr>
        <w:t xml:space="preserve">, la conformidad de los productos con elementos digitales cuando se introducen en el mercado o son puestos en servicio, además de imponer obligaciones, </w:t>
      </w:r>
      <w:r>
        <w:rPr>
          <w:rFonts w:eastAsia="Times New Roman" w:cs="Times New Roman" w:ascii="Times New Roman" w:hAnsi="Times New Roman"/>
          <w:i/>
          <w:lang w:val="es-ES"/>
        </w:rPr>
        <w:t>ex post</w:t>
      </w:r>
      <w:r>
        <w:rPr>
          <w:rFonts w:eastAsia="Times New Roman" w:cs="Times New Roman" w:ascii="Times New Roman" w:hAnsi="Times New Roman"/>
          <w:lang w:val="es-ES"/>
        </w:rPr>
        <w:t xml:space="preserve">, a los fabricantes de velar por la ciberseguridad del producto durante el periodo de soporte. Por su parte, la DRP regula la responsabilidad de los fabricantes por daños causados por sus productos. Ambas regulaciones presentan algunas interconexiones en materia de vulnerabilidades de ciberseguridad de los productos que son tratadas en este trabajo. </w:t>
      </w:r>
    </w:p>
    <w:p>
      <w:pPr>
        <w:pStyle w:val="Normal"/>
        <w:spacing w:lineRule="auto" w:line="276"/>
        <w:ind w:firstLine="720"/>
        <w:jc w:val="both"/>
        <w:rPr>
          <w:rFonts w:ascii="Times New Roman" w:hAnsi="Times New Roman" w:eastAsia="Times New Roman" w:cs="Times New Roman"/>
          <w:b/>
          <w:lang w:val="es-ES"/>
        </w:rPr>
      </w:pPr>
      <w:r>
        <w:rPr>
          <w:rFonts w:eastAsia="Times New Roman" w:cs="Times New Roman" w:ascii="Times New Roman" w:hAnsi="Times New Roman"/>
          <w:lang w:val="es-ES"/>
        </w:rPr>
        <w:t>Como conclusiones más relevantes se destaca la desarmonía entre el periodo de soporte de cinco años del art. 13.8 RCR y el plazo de caducidad de las acciones de diez años del art. 17 DRP; la no aplicación de la excepción de responsabilidad por los riesgos del desarrollo a las vulnerabilidades de ciberseguridad; una lectura en clave de ciberseguridad de la causa de defectuosidad del art. 7.2.d) DRP sobre el efecto razonablemente previsible de la interconexión de productos y la no concurrencia de la causa de defectuosidad del art. 7.2.f) DRP cuando el producto con elementos digitales cumpla los requisitos esenciales de ciberseguridad del anexo I, parte I RCR, a pesar de poder estar afectado de vulnerabilidades no conocidas cuando se introduce en el mercado.</w:t>
      </w:r>
    </w:p>
    <w:p>
      <w:pPr>
        <w:pStyle w:val="Normal"/>
        <w:spacing w:lineRule="auto" w:line="276"/>
        <w:ind w:firstLine="720"/>
        <w:jc w:val="both"/>
        <w:rPr>
          <w:rFonts w:ascii="Times New Roman" w:hAnsi="Times New Roman" w:eastAsia="Times New Roman" w:cs="Times New Roman"/>
          <w:lang w:val="es-ES"/>
        </w:rPr>
      </w:pPr>
      <w:r>
        <w:rPr>
          <w:rFonts w:eastAsia="Times New Roman" w:cs="Times New Roman" w:ascii="Times New Roman" w:hAnsi="Times New Roman"/>
          <w:b/>
          <w:lang w:val="es-ES"/>
        </w:rPr>
        <w:t xml:space="preserve">Palabras clave: </w:t>
      </w:r>
      <w:r>
        <w:rPr>
          <w:rFonts w:eastAsia="Times New Roman" w:cs="Times New Roman" w:ascii="Times New Roman" w:hAnsi="Times New Roman"/>
          <w:lang w:val="es-ES"/>
        </w:rPr>
        <w:t>Ciberresiliencia, vulnerabilidades, productos con elementos digitales, responsabilidad del fabricante, producto defectuoso, riesgos por desarrollo, derecho de daños, hacking.</w:t>
      </w:r>
    </w:p>
    <w:p>
      <w:pPr>
        <w:pStyle w:val="Normal"/>
        <w:spacing w:lineRule="auto" w:line="276"/>
        <w:ind w:firstLine="720"/>
        <w:jc w:val="both"/>
        <w:rPr>
          <w:rFonts w:ascii="Times New Roman" w:hAnsi="Times New Roman" w:eastAsia="Times New Roman" w:cs="Times New Roman"/>
          <w:b/>
          <w:lang w:val="es-ES"/>
        </w:rPr>
      </w:pPr>
      <w:r>
        <w:rPr>
          <w:rFonts w:eastAsia="Times New Roman" w:cs="Times New Roman" w:ascii="Times New Roman" w:hAnsi="Times New Roman"/>
          <w:b/>
          <w:lang w:val="es-ES"/>
        </w:rPr>
      </w:r>
    </w:p>
    <w:p>
      <w:pPr>
        <w:pStyle w:val="Normal"/>
        <w:spacing w:lineRule="auto" w:line="276"/>
        <w:jc w:val="center"/>
        <w:rPr>
          <w:rFonts w:ascii="Times New Roman" w:hAnsi="Times New Roman" w:eastAsia="Times New Roman" w:cs="Times New Roman"/>
          <w:b/>
        </w:rPr>
      </w:pPr>
      <w:r>
        <w:rPr>
          <w:rFonts w:eastAsia="Times New Roman" w:cs="Times New Roman" w:ascii="Times New Roman" w:hAnsi="Times New Roman"/>
          <w:b/>
        </w:rPr>
        <w:t>Cybersecurity vulnerabilities in products and their impact on the manufacturer's liability</w:t>
      </w:r>
    </w:p>
    <w:p>
      <w:pPr>
        <w:pStyle w:val="Normal"/>
        <w:spacing w:lineRule="auto" w:line="276"/>
        <w:ind w:firstLine="720"/>
        <w:jc w:val="both"/>
        <w:rPr>
          <w:rFonts w:ascii="Times New Roman" w:hAnsi="Times New Roman" w:eastAsia="Times New Roman" w:cs="Times New Roman"/>
        </w:rPr>
      </w:pPr>
      <w:r>
        <w:rPr>
          <w:rFonts w:eastAsia="Times New Roman" w:cs="Times New Roman" w:ascii="Times New Roman" w:hAnsi="Times New Roman"/>
          <w:b/>
        </w:rPr>
        <w:t>ABSTRACT:</w:t>
      </w:r>
      <w:r>
        <w:rPr>
          <w:rFonts w:eastAsia="Times New Roman" w:cs="Times New Roman" w:ascii="Times New Roman" w:hAnsi="Times New Roman"/>
          <w:sz w:val="24"/>
          <w:szCs w:val="24"/>
        </w:rPr>
        <w:t xml:space="preserve"> </w:t>
      </w:r>
      <w:r>
        <w:rPr>
          <w:rFonts w:eastAsia="Times New Roman" w:cs="Times New Roman" w:ascii="Times New Roman" w:hAnsi="Times New Roman"/>
        </w:rPr>
        <w:t>This paper explores the interplay between Regulation (EU) 2024/2847 on the cybersecurity of products with digital elements (Cyber Resilience Act, CRA) and Directive (EU) 2024/2853 on liability for defective products (Product Liability Directive, PLD). The digitalisation and interconnection of products with digital elements have made these products increasingly vulnerable to malicious third-party attacks in cyberspace. The CRA aims to ensure, ex ante, the conformity of products with digital elements when they are placed on the market or put into service, while also imposing ex post obligations on manufacturers to maintain the cybersecurity of the product throughout the support period. For its part, the PLD governs the liability of manufacturers for damage caused by their products. Both legal instruments present various interconnections concerning cybersecurity vulnerabilities in products, which are analysed in this paper.</w:t>
      </w:r>
    </w:p>
    <w:p>
      <w:pPr>
        <w:pStyle w:val="Normal"/>
        <w:spacing w:lineRule="auto" w:line="276"/>
        <w:ind w:firstLine="720"/>
        <w:jc w:val="both"/>
        <w:rPr>
          <w:rFonts w:ascii="Times New Roman" w:hAnsi="Times New Roman" w:eastAsia="Times New Roman" w:cs="Times New Roman"/>
        </w:rPr>
      </w:pPr>
      <w:r>
        <w:rPr>
          <w:rFonts w:eastAsia="Times New Roman" w:cs="Times New Roman" w:ascii="Times New Roman" w:hAnsi="Times New Roman"/>
        </w:rPr>
        <w:t>Among the main conclusions, the paper highlights the lack of alignment between the five-year support period under Article 13(8) CRA and the ten-year limitation period for bringing claims under Article 17 PLD; the non-applicability of the development risk defence to cybersecurity vulnerabilities; a cybersecurity-focused interpretation of the defectiveness criterion under Article 7(2)(d) PLD regarding the reasonably foreseeable effect of product interconnection; and the non-applicability of the defectiveness criterion under Article 7(2)(f) PLD in cases where the product with digital elements meets the essential cybersecurity requirements set out in Part I of Annex I to the CRA, even if unknown vulnerabilities are present at the time of placing the product on the market.</w:t>
      </w:r>
    </w:p>
    <w:p>
      <w:pPr>
        <w:pStyle w:val="Normal"/>
        <w:spacing w:lineRule="auto" w:line="276"/>
        <w:ind w:firstLine="720"/>
        <w:jc w:val="both"/>
        <w:rPr>
          <w:rFonts w:ascii="Times New Roman" w:hAnsi="Times New Roman" w:eastAsia="Times New Roman" w:cs="Times New Roman"/>
          <w:b/>
        </w:rPr>
      </w:pPr>
      <w:r>
        <w:rPr>
          <w:rFonts w:eastAsia="Times New Roman" w:cs="Times New Roman" w:ascii="Times New Roman" w:hAnsi="Times New Roman"/>
          <w:b/>
        </w:rPr>
        <w:t xml:space="preserve">Keywords: </w:t>
      </w:r>
      <w:r>
        <w:rPr>
          <w:rFonts w:eastAsia="Times New Roman" w:cs="Times New Roman" w:ascii="Times New Roman" w:hAnsi="Times New Roman"/>
        </w:rPr>
        <w:t>Cyber resilience, vulnerabilities, products with digital elements, manufacturer liability, product liability, development risks, Tort Law, hacking.</w:t>
      </w:r>
    </w:p>
    <w:p>
      <w:pPr>
        <w:pStyle w:val="Normal"/>
        <w:spacing w:lineRule="auto" w:line="276"/>
        <w:ind w:hanging="720" w:left="720"/>
        <w:jc w:val="both"/>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76"/>
        <w:jc w:val="center"/>
        <w:rPr>
          <w:rFonts w:ascii="Times New Roman" w:hAnsi="Times New Roman" w:eastAsia="Times New Roman" w:cs="Times New Roman"/>
          <w:b/>
        </w:rPr>
      </w:pPr>
      <w:r>
        <w:rPr>
          <w:rFonts w:eastAsia="Times New Roman" w:cs="Times New Roman" w:ascii="Times New Roman" w:hAnsi="Times New Roman"/>
          <w:b/>
        </w:rPr>
        <w:t>ÍNDICE</w:t>
      </w:r>
    </w:p>
    <w:p>
      <w:pPr>
        <w:pStyle w:val="Normal"/>
        <w:numPr>
          <w:ilvl w:val="0"/>
          <w:numId w:val="1"/>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Introducción</w:t>
      </w:r>
    </w:p>
    <w:p>
      <w:pPr>
        <w:pStyle w:val="Normal"/>
        <w:numPr>
          <w:ilvl w:val="0"/>
          <w:numId w:val="1"/>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Régimen jurídico aplicable</w:t>
      </w:r>
    </w:p>
    <w:p>
      <w:pPr>
        <w:pStyle w:val="Normal"/>
        <w:numPr>
          <w:ilvl w:val="1"/>
          <w:numId w:val="1"/>
        </w:numPr>
        <w:pBdr/>
        <w:spacing w:lineRule="auto" w:line="276" w:before="0" w:after="0"/>
        <w:jc w:val="both"/>
        <w:rPr>
          <w:rFonts w:ascii="Times New Roman" w:hAnsi="Times New Roman" w:eastAsia="Times New Roman" w:cs="Times New Roman"/>
          <w:i/>
          <w:i/>
          <w:color w:val="000000"/>
          <w:lang w:val="es-ES"/>
        </w:rPr>
      </w:pPr>
      <w:r>
        <w:rPr>
          <w:rFonts w:eastAsia="Times New Roman" w:cs="Times New Roman" w:ascii="Times New Roman" w:hAnsi="Times New Roman"/>
          <w:i/>
          <w:color w:val="000000"/>
          <w:lang w:val="es-ES"/>
        </w:rPr>
        <w:t xml:space="preserve">Reglamento (UE) 2024/2847 (Reglamento de Ciberresiliencia) </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Vulnerabilida</w:t>
      </w:r>
      <w:r>
        <w:rPr>
          <w:rFonts w:eastAsia="Times New Roman" w:cs="Times New Roman" w:ascii="Times New Roman" w:hAnsi="Times New Roman"/>
          <w:lang w:val="es-ES"/>
        </w:rPr>
        <w:t>d, v</w:t>
      </w:r>
      <w:r>
        <w:rPr>
          <w:rFonts w:eastAsia="Times New Roman" w:cs="Times New Roman" w:ascii="Times New Roman" w:hAnsi="Times New Roman"/>
          <w:color w:val="000000"/>
          <w:lang w:val="es-ES"/>
        </w:rPr>
        <w:t>ulnerabilidad aprovechable</w:t>
      </w:r>
      <w:r>
        <w:rPr>
          <w:rFonts w:eastAsia="Times New Roman" w:cs="Times New Roman" w:ascii="Times New Roman" w:hAnsi="Times New Roman"/>
          <w:lang w:val="es-ES"/>
        </w:rPr>
        <w:t xml:space="preserve">, </w:t>
      </w:r>
      <w:r>
        <w:rPr>
          <w:rFonts w:eastAsia="Times New Roman" w:cs="Times New Roman" w:ascii="Times New Roman" w:hAnsi="Times New Roman"/>
          <w:color w:val="000000"/>
          <w:lang w:val="es-ES"/>
        </w:rPr>
        <w:t>vulnerabilidad aprovechada activamente y vulnerabilidad conocida</w:t>
      </w:r>
    </w:p>
    <w:p>
      <w:pPr>
        <w:pStyle w:val="Normal"/>
        <w:numPr>
          <w:ilvl w:val="2"/>
          <w:numId w:val="1"/>
        </w:numPr>
        <w:pBdr/>
        <w:spacing w:lineRule="auto" w:line="276"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Requisitos generales de conformidad</w:t>
      </w:r>
    </w:p>
    <w:p>
      <w:pPr>
        <w:pStyle w:val="Normal"/>
        <w:numPr>
          <w:ilvl w:val="0"/>
          <w:numId w:val="11"/>
        </w:numPr>
        <w:pBdr/>
        <w:spacing w:lineRule="auto" w:line="276" w:before="0" w:after="0"/>
        <w:jc w:val="both"/>
        <w:rPr>
          <w:rFonts w:ascii="Times New Roman" w:hAnsi="Times New Roman" w:eastAsia="Times New Roman" w:cs="Times New Roman"/>
          <w:lang w:val="es-ES"/>
        </w:rPr>
      </w:pPr>
      <w:r>
        <w:rPr>
          <w:rFonts w:eastAsia="Times New Roman" w:cs="Times New Roman" w:ascii="Times New Roman" w:hAnsi="Times New Roman"/>
          <w:lang w:val="es-ES"/>
        </w:rPr>
        <w:t>El nivel adecuado de ciberseguridad en consideración a los riesgos existentes</w:t>
      </w:r>
    </w:p>
    <w:p>
      <w:pPr>
        <w:pStyle w:val="Normal"/>
        <w:numPr>
          <w:ilvl w:val="0"/>
          <w:numId w:val="11"/>
        </w:numPr>
        <w:pBdr/>
        <w:spacing w:lineRule="auto" w:line="276" w:before="0" w:after="0"/>
        <w:jc w:val="both"/>
        <w:rPr>
          <w:rFonts w:ascii="Times New Roman" w:hAnsi="Times New Roman" w:eastAsia="Times New Roman" w:cs="Times New Roman"/>
          <w:lang w:val="es-ES"/>
        </w:rPr>
      </w:pPr>
      <w:r>
        <w:rPr>
          <w:rFonts w:eastAsia="Times New Roman" w:cs="Times New Roman" w:ascii="Times New Roman" w:hAnsi="Times New Roman"/>
          <w:lang w:val="es-ES"/>
        </w:rPr>
        <w:t>Protección de datos personales desde el diseño y por defecto</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Procedimientos de evaluación de la conformidad</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Requisitos de gestión de las vulnerabilidades</w:t>
      </w:r>
    </w:p>
    <w:p>
      <w:pPr>
        <w:pStyle w:val="Normal"/>
        <w:numPr>
          <w:ilvl w:val="0"/>
          <w:numId w:val="3"/>
        </w:numPr>
        <w:pBdr/>
        <w:spacing w:before="0" w:after="0"/>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Prohibición de comercialización de productos con vulnerabilidades conocidas</w:t>
      </w:r>
    </w:p>
    <w:p>
      <w:pPr>
        <w:pStyle w:val="Normal"/>
        <w:numPr>
          <w:ilvl w:val="0"/>
          <w:numId w:val="3"/>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Etapa posterior a la comercialización del producto</w:t>
      </w:r>
    </w:p>
    <w:p>
      <w:pPr>
        <w:pStyle w:val="Normal"/>
        <w:numPr>
          <w:ilvl w:val="1"/>
          <w:numId w:val="1"/>
        </w:numPr>
        <w:pBdr/>
        <w:spacing w:lineRule="auto" w:line="276" w:before="0" w:after="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 </w:t>
      </w:r>
      <w:r>
        <w:rPr>
          <w:rFonts w:eastAsia="Times New Roman" w:cs="Times New Roman" w:ascii="Times New Roman" w:hAnsi="Times New Roman"/>
          <w:i/>
          <w:color w:val="000000"/>
          <w:lang w:val="es-ES"/>
        </w:rPr>
        <w:t>Directiva 2024/2853 (Directiva de responsabilidad por daños causados por productos defectuosos</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del producto por vulnerabilidades de seguridad</w:t>
      </w:r>
    </w:p>
    <w:p>
      <w:pPr>
        <w:pStyle w:val="Normal"/>
        <w:numPr>
          <w:ilvl w:val="0"/>
          <w:numId w:val="4"/>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por incumplimiento de los requisitos de ciberseguridad (art. 7.1.f) DRP)</w:t>
      </w:r>
    </w:p>
    <w:p>
      <w:pPr>
        <w:pStyle w:val="Normal"/>
        <w:numPr>
          <w:ilvl w:val="0"/>
          <w:numId w:val="4"/>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efecto razonablemente previsible en el producto de otros productos (art. 7.2.d) DRP). </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Exoneración y reducción de la responsabilidad</w:t>
      </w:r>
    </w:p>
    <w:p>
      <w:pPr>
        <w:pStyle w:val="Normal"/>
        <w:numPr>
          <w:ilvl w:val="0"/>
          <w:numId w:val="5"/>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Inexistencia de la vulnerabilidad en el momento de la introducción en el mercado o puesta en servicio del producto (art. 11.1.c) DRP). Riesgos por desarrollo, vulnerabilidades (art. 11.1.e) DRP) y actualizaciones de seguridad (art. 11.2 DRP)</w:t>
      </w:r>
    </w:p>
    <w:p>
      <w:pPr>
        <w:pStyle w:val="Normal"/>
        <w:numPr>
          <w:ilvl w:val="0"/>
          <w:numId w:val="4"/>
        </w:numPr>
        <w:pBdr/>
        <w:spacing w:lineRule="auto" w:line="276" w:before="0" w:after="0"/>
        <w:jc w:val="both"/>
        <w:rPr>
          <w:rFonts w:ascii="Times New Roman" w:hAnsi="Times New Roman" w:eastAsia="Times New Roman" w:cs="Times New Roman"/>
          <w:color w:val="000000"/>
          <w:lang w:val="es-ES"/>
        </w:rPr>
      </w:pPr>
      <w:bookmarkStart w:id="1" w:name="_heading=h.h0moyzvh4kwg"/>
      <w:bookmarkEnd w:id="1"/>
      <w:r>
        <w:rPr>
          <w:rFonts w:eastAsia="Times New Roman" w:cs="Times New Roman" w:ascii="Times New Roman" w:hAnsi="Times New Roman"/>
          <w:color w:val="000000"/>
          <w:lang w:val="es-ES"/>
        </w:rPr>
        <w:t>Intervención de tercero y explotación de vulnerabilidades</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Periodo de soporte (art. 13.8 RCR) y plazo de caducidad (art. 17 DRP)</w:t>
      </w:r>
    </w:p>
    <w:p>
      <w:pPr>
        <w:pStyle w:val="Normal"/>
        <w:numPr>
          <w:ilvl w:val="0"/>
          <w:numId w:val="1"/>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Conclusiones</w:t>
      </w:r>
    </w:p>
    <w:p>
      <w:pPr>
        <w:pStyle w:val="Normal"/>
        <w:numPr>
          <w:ilvl w:val="0"/>
          <w:numId w:val="1"/>
        </w:numPr>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t xml:space="preserve">Bibliografía </w:t>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numPr>
          <w:ilvl w:val="0"/>
          <w:numId w:val="6"/>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Introducción</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 xml:space="preserve">Los productos con elementos digitales se han convertido en indispensables para los consumidores y en el sector industrial, constituyendo uno de los componentes principales en el llamado </w:t>
      </w:r>
      <w:r>
        <w:rPr>
          <w:rFonts w:eastAsia="Times New Roman" w:cs="Times New Roman" w:ascii="Times New Roman" w:hAnsi="Times New Roman"/>
          <w:bCs/>
          <w:i/>
          <w:iCs/>
          <w:color w:val="000000"/>
          <w:lang w:val="es-ES"/>
        </w:rPr>
        <w:t>Internet of Things (IoT).</w:t>
      </w:r>
      <w:r>
        <w:rPr>
          <w:rStyle w:val="FootnoteReference"/>
          <w:rFonts w:eastAsia="Times New Roman" w:cs="Times New Roman" w:ascii="Times New Roman" w:hAnsi="Times New Roman"/>
          <w:bCs/>
          <w:i/>
          <w:iCs/>
          <w:color w:val="000000"/>
          <w:lang w:val="es-ES"/>
        </w:rPr>
        <w:footnoteReference w:id="2"/>
      </w:r>
      <w:r>
        <w:rPr>
          <w:rFonts w:eastAsia="Times New Roman" w:cs="Times New Roman" w:ascii="Times New Roman" w:hAnsi="Times New Roman"/>
          <w:bCs/>
          <w:i/>
          <w:iCs/>
          <w:color w:val="000000"/>
          <w:lang w:val="es-ES"/>
        </w:rPr>
        <w:t xml:space="preserve"> </w:t>
      </w:r>
      <w:r>
        <w:rPr>
          <w:rFonts w:eastAsia="Times New Roman" w:cs="Times New Roman" w:ascii="Times New Roman" w:hAnsi="Times New Roman"/>
          <w:bCs/>
          <w:color w:val="000000"/>
          <w:lang w:val="es-ES"/>
        </w:rPr>
        <w:t xml:space="preserve">Estos productos no pueden concebirse aisladamente, pues su interconectividad nos mantiene vinculados a red y, asimismo, están preparados para conectarse entre ellos, de forma directa o indirecta, de tal forma que la vida, en la era digital, transcurre a través de estos productos, que captan nuestros datos personales para transferirlos a otros usuarios y productos. La interconexión entre productos es posible gracias a una gran variedad de equipos y programas que procesan y transmiten la información. Actualmente, los productos con elementos digitales han colonizado todos los ámbitos de nuestra vida, desde que nos despertamos con el reloj de pulsera que nos indica la calidad del sueño, los datos recopilados por nuestros vehículos, que nos enseñan a conducir de una forma más sostenible considerando nuestro patrón de conducción, hasta la preparación del sueño mediante un sistema de domótica que nos bajará las persianas automáticamente de nuestro hogar. </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Los productos de la era digital tratan nuestros datos personales bajo el pretexto de hacernos nuestra vida más confortable y cómoda, de tal forma que su atracción es irresistible, hasta el punto que se estima que en 2025 existen 75.000 millones de productos con elementos digitales, que nos conectan con los demás y con las cosas que nos rodean.</w:t>
      </w:r>
      <w:r>
        <w:rPr>
          <w:rStyle w:val="FootnoteReference"/>
          <w:rFonts w:eastAsia="Times New Roman" w:cs="Times New Roman" w:ascii="Times New Roman" w:hAnsi="Times New Roman"/>
          <w:bCs/>
          <w:color w:val="000000"/>
          <w:lang w:val="es-ES"/>
        </w:rPr>
        <w:footnoteReference w:id="3"/>
      </w:r>
      <w:r>
        <w:rPr>
          <w:rFonts w:eastAsia="Times New Roman" w:cs="Times New Roman" w:ascii="Times New Roman" w:hAnsi="Times New Roman"/>
          <w:bCs/>
          <w:color w:val="000000"/>
          <w:lang w:val="es-ES"/>
        </w:rPr>
        <w:t xml:space="preserve"> Sin embargo, esta interconexión de productos disfrazada de una aparente comodidad acarrea graves riesgos para nuestra privacidad.</w:t>
      </w:r>
      <w:r>
        <w:rPr>
          <w:rStyle w:val="FootnoteReference"/>
          <w:rFonts w:eastAsia="Times New Roman" w:cs="Times New Roman" w:ascii="Times New Roman" w:hAnsi="Times New Roman"/>
          <w:bCs/>
          <w:color w:val="000000"/>
          <w:lang w:val="es-ES"/>
        </w:rPr>
        <w:footnoteReference w:id="4"/>
      </w:r>
      <w:r>
        <w:rPr>
          <w:rFonts w:eastAsia="Times New Roman" w:cs="Times New Roman" w:ascii="Times New Roman" w:hAnsi="Times New Roman"/>
          <w:bCs/>
          <w:color w:val="000000"/>
          <w:lang w:val="es-ES"/>
        </w:rPr>
        <w:t xml:space="preserve"> Si bien es cierto que estos riesgos se han abordado desde diferentes vertientes,</w:t>
      </w:r>
      <w:r>
        <w:rPr>
          <w:rStyle w:val="FootnoteReference"/>
          <w:rFonts w:eastAsia="Times New Roman" w:cs="Times New Roman" w:ascii="Times New Roman" w:hAnsi="Times New Roman"/>
          <w:bCs/>
          <w:color w:val="000000"/>
          <w:lang w:val="es-ES"/>
        </w:rPr>
        <w:footnoteReference w:id="5"/>
      </w:r>
      <w:r>
        <w:rPr>
          <w:rFonts w:eastAsia="Times New Roman" w:cs="Times New Roman" w:ascii="Times New Roman" w:hAnsi="Times New Roman"/>
          <w:bCs/>
          <w:color w:val="000000"/>
          <w:lang w:val="es-ES"/>
        </w:rPr>
        <w:t xml:space="preserve"> la ciberseguridad de los productos con elementos digitales, la llamada ciberresiliencia, es la última arista que faltaba por tratar para completar un marco jurídico transversal que nos dote de una protección integral, que a pesar de todo no es completamente infranqueable. </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 xml:space="preserve">Los productos con elementos digitales pueden constituir un vector de entrada al ciberespacio que puede poner en peligro, de forma exponencial, la seguridad de los usuarios y de las estructuras críticas de los Estados y de la Unión Europea. Es por este motivo que es necesario que estos productos se introduzcan en el mercado de la forma más segura posible, después de haber superado el cumplimiento de unos requisitos estrictos de ciberseguridad cuyo cumplimiento se impone a los fabricantes de dichos productos. No obstante, las obligaciones que se imponen a los fabricantes no solo apuntan al proceso de diseño, fabricación y comercialización de los productos, sino que se extienden en el futuro, mientras el producto siga bajo su ámbito de control, en la medida que podrá ser actualizado para eliminar los riesgos que se pongan de manifiesto con posterioridad a su introducción en el mercado o puesta en servicio. A pesar del cumplimiento de determinados requisitos que garantizan que el producto es seguro (pero no sin riesgos), es imposible garantizar que dichos productos no se revelen defectuosos, en este caso, por algún defecto en su ciberseguridad que los convierte en vulnerables. Por tanto, su posible defectuosidad por defectos de ciberseguridad nos conduce a abordar esta cuestión desde la nueva legislación europea sobre responsabilidad por daños causados por productos defectuosos, el último estadio legislativo aplicable ante la producción de un daño por un producto defectuoso que, aun así, ha cumplido toda la legislación de seguridad de los productos. </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La legislación de responsabilidad por daños causados por productos defectuosos tiene un ámbito de aplicación general, aplicable, con algunas excepciones, a todos los productos introducidos en el mercado o puestos en servicio después del 6 de diciembre de 2026, entre los que se incluyen los productos con elementos digitales. El problema de la ciberseguridad está contemplado en la nueva Directiva 2024/2853, sobre responsabilidad por daños causados por productos defectuoso (en adelante, DRP),</w:t>
      </w:r>
      <w:r>
        <w:rPr>
          <w:rStyle w:val="FootnoteReference"/>
          <w:rFonts w:eastAsia="Times New Roman" w:cs="Times New Roman" w:ascii="Times New Roman" w:hAnsi="Times New Roman"/>
          <w:bCs/>
          <w:color w:val="000000"/>
          <w:lang w:val="es-ES"/>
        </w:rPr>
        <w:footnoteReference w:id="6"/>
      </w:r>
      <w:r>
        <w:rPr>
          <w:rFonts w:eastAsia="Times New Roman" w:cs="Times New Roman" w:ascii="Times New Roman" w:hAnsi="Times New Roman"/>
          <w:bCs/>
          <w:color w:val="000000"/>
          <w:lang w:val="es-ES"/>
        </w:rPr>
        <w:t xml:space="preserve"> que contiene algunas referencias a la ciberseguridad y a las vulnerabilidades de productos. No obstante, debido al enfoque general adoptado, los defectos por vulnerabilidades que afectan a la ciberseguridad del producto suscitan algunas cuestiones que son abordadas en el presente trabajo, como las circunstancias para apreciar el carácter defectuosos de un producto (art. 7 DRP) o las causas de exoneración de responsabilidad, en lo que puedan referirse a la ciberseguridad.</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El presente trabajo se divide en dos partes claramente diferenciadas. En primer lugar, se hace un tratamiento mayoritariamente descriptivo del Derecho regulatorio aplicable a los productos con elementos digitales, el Reglamento de Ciberresiliencia. Se exponen sucintamente las bases sobre las que se asienta dicha regulación y las principales obligaciones que se imponen a los fabricantes. En segundo lugar, se aborda la nueva DRP, en especial, las implicaciones que tienen para los fabricantes las vulnerabilidades de sus productos y la ciberseguridad en general. Se abren debates y se alcanzan conclusiones relevantes en esta materia que espero que sean de interés para el lector.</w:t>
      </w:r>
    </w:p>
    <w:p>
      <w:pPr>
        <w:pStyle w:val="Normal"/>
        <w:numPr>
          <w:ilvl w:val="0"/>
          <w:numId w:val="6"/>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Régimen jurídico aplicable</w:t>
      </w:r>
    </w:p>
    <w:p>
      <w:pPr>
        <w:pStyle w:val="Normal"/>
        <w:pBdr/>
        <w:spacing w:lineRule="auto" w:line="276" w:before="0" w:after="200"/>
        <w:ind w:left="720"/>
        <w:jc w:val="both"/>
        <w:rPr>
          <w:rFonts w:ascii="Times New Roman" w:hAnsi="Times New Roman" w:eastAsia="Times New Roman" w:cs="Times New Roman"/>
          <w:i/>
          <w:i/>
          <w:color w:val="000000"/>
          <w:lang w:val="es-ES"/>
        </w:rPr>
      </w:pPr>
      <w:r>
        <w:rPr>
          <w:rFonts w:eastAsia="Times New Roman" w:cs="Times New Roman" w:ascii="Times New Roman" w:hAnsi="Times New Roman"/>
          <w:i/>
          <w:color w:val="000000"/>
          <w:lang w:val="es-ES"/>
        </w:rPr>
        <w:t>2.1. Reglamento (UE) 2024/2847 (Reglamento de Ciberresiliencia)</w:t>
      </w:r>
    </w:p>
    <w:p>
      <w:pPr>
        <w:pStyle w:val="Normal"/>
        <w:spacing w:lineRule="auto" w:line="276" w:before="0" w:after="200"/>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El día 20 de noviembre de 2024 fue publicado en el DOUE el nuevo Reglamento (UE) 2024/2847 del Parlamento Europeo y del Consejo, de 23 de octubre de 2024, de Ciberresiliencia, en adelante, RCR.</w:t>
      </w:r>
      <w:r>
        <w:rPr>
          <w:rStyle w:val="FootnoteReference"/>
          <w:rFonts w:eastAsia="Times New Roman" w:cs="Times New Roman" w:ascii="Times New Roman" w:hAnsi="Times New Roman"/>
          <w:vertAlign w:val="superscript"/>
        </w:rPr>
        <w:footnoteReference w:id="7"/>
      </w:r>
      <w:r>
        <w:rPr>
          <w:rFonts w:eastAsia="Times New Roman" w:cs="Times New Roman" w:ascii="Times New Roman" w:hAnsi="Times New Roman"/>
          <w:lang w:val="es-ES"/>
        </w:rPr>
        <w:t xml:space="preserve"> Con carácter general, el RCR será aplicable a partir del 11 de diciembre de 2027, a pesar de que el art. 14 RCR y el capítulo IV (artículos 35 a 51) serán aplicables a partir del 11 de junio de 2026 (art. 71 RCR). El RCR se enmarca dentro de la Estrategia de Ciberseguridad de la Unión Europea.</w:t>
      </w:r>
      <w:r>
        <w:rPr>
          <w:rStyle w:val="FootnoteReference"/>
          <w:rFonts w:eastAsia="Times New Roman" w:cs="Times New Roman" w:ascii="Times New Roman" w:hAnsi="Times New Roman"/>
          <w:vertAlign w:val="superscript"/>
        </w:rPr>
        <w:footnoteReference w:id="8"/>
      </w:r>
      <w:r>
        <w:rPr>
          <w:rFonts w:eastAsia="Times New Roman" w:cs="Times New Roman" w:ascii="Times New Roman" w:hAnsi="Times New Roman"/>
          <w:lang w:val="es-ES"/>
        </w:rPr>
        <w:t xml:space="preserve">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Una primera lectura de los considerandos del RCR pone de manifiesto los problemas detectados en materia de ciberseguridad de los productos y los objetivos que persigue. Por un lado, el RCR pretende mejorar el nivel bajo de ciberseguridad de los productos con elementos digitales y, por otro lado, quiere incrementar la seguridad de dichos productos mediante actualizaciones de seguridad eficaces para combatir las vulnerabilidades detectadas en productos, que puedan afectarles, evitando que estas puedan ser explotadas por un tercero malintencionado. Asimismo, el legislador europeo pretende incentivar a los consumidores a adquirir productos seguros, evitando que la seguridad sea un atributo del producto meramente complementario a la finalidad que sirven (considerandos 1 y 2 RCR).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El ámbito de aplicación material del RCR gira en torno a los denominados “productos con elementos digitales”, que aparecen definidos en el art. 3.1) RCR: </w:t>
      </w:r>
      <w:r>
        <w:rPr>
          <w:rFonts w:eastAsia="Times New Roman" w:cs="Times New Roman" w:ascii="Times New Roman" w:hAnsi="Times New Roman"/>
          <w:i/>
          <w:lang w:val="es-ES"/>
        </w:rPr>
        <w:t>“producto consistente en programas informáticos o equipos informáticos y sus soluciones de procesamiento de datos remoto, incluidos los componentes consistentes en programas informáticos o equipos informáticos que se introduzcan en el mercado por separado”</w:t>
      </w:r>
      <w:r>
        <w:rPr>
          <w:rFonts w:eastAsia="Times New Roman" w:cs="Times New Roman" w:ascii="Times New Roman" w:hAnsi="Times New Roman"/>
          <w:lang w:val="es-ES"/>
        </w:rPr>
        <w:t>. La definición es congruente con la conceptualización del software como producto, una particularidad que se ha consolidado en la nueva legislación europea sobre productos. No obstante lo anterior, el denominado “Software como servicio” queda fuera del ámbito de aplicación del RCR (considerando núm. 12 RCR),</w:t>
      </w:r>
      <w:r>
        <w:rPr>
          <w:rStyle w:val="FootnoteReference"/>
          <w:rFonts w:eastAsia="Times New Roman" w:cs="Times New Roman" w:ascii="Times New Roman" w:hAnsi="Times New Roman"/>
          <w:vertAlign w:val="superscript"/>
        </w:rPr>
        <w:footnoteReference w:id="9"/>
      </w:r>
      <w:r>
        <w:rPr>
          <w:rFonts w:eastAsia="Times New Roman" w:cs="Times New Roman" w:ascii="Times New Roman" w:hAnsi="Times New Roman"/>
          <w:lang w:val="es-ES"/>
        </w:rPr>
        <w:t xml:space="preserve"> por lo que quedarían comprendidos dentro del ámbito de aplicación de la Directiva 2022/2555 (Directiva SRI 2).</w:t>
      </w:r>
      <w:r>
        <w:rPr>
          <w:rStyle w:val="FootnoteReference"/>
          <w:rFonts w:eastAsia="Times New Roman" w:cs="Times New Roman" w:ascii="Times New Roman" w:hAnsi="Times New Roman"/>
          <w:vertAlign w:val="superscript"/>
        </w:rPr>
        <w:footnoteReference w:id="10"/>
      </w:r>
      <w:r>
        <w:rPr>
          <w:rFonts w:eastAsia="Times New Roman" w:cs="Times New Roman" w:ascii="Times New Roman" w:hAnsi="Times New Roman"/>
          <w:lang w:val="es-ES"/>
        </w:rPr>
        <w:t xml:space="preserve"> La principal característica de los productos con elementos digitales es su conexión a internet. Esta propiedad hace que estos productos puedan ser vulnerables frente a ataques perpetrados por terceros aprovechando alguna vulnerabilidad que se materialice en una brecha de ciberseguridad del producto (considerando núm. 9 RCR). Sin embargo, en ocasiones los ciberataques no solo tienen como resultado el control de un producto, sino que los efectos del ataque pueden tener un alcance exponencial si con un primer ataque exitoso un agente puede infiltrarse en el sistema y atacar a otros productos que también presenten vulnerabilidades.</w:t>
      </w:r>
      <w:r>
        <w:rPr>
          <w:rStyle w:val="FootnoteReference"/>
          <w:rFonts w:eastAsia="Times New Roman" w:cs="Times New Roman" w:ascii="Times New Roman" w:hAnsi="Times New Roman"/>
          <w:vertAlign w:val="superscript"/>
        </w:rPr>
        <w:footnoteReference w:id="11"/>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El legislador europeo es consciente de que la legislación europea no daba una respuesta adecuada a los problemas planteados, situación que repercutía en un nivel de ciberseguridad muy bajo de los productos con elementos digitales, haciéndolos vulnerables frente a los ataques y amenazas del ciberespacio. Por tanto, el principal objetivo del RCR es garantizar la conformidad de los productos con elementos digitales en materia de ciberseguridad y, de esta forma, impedir su libre circulación entre los Estados miembros de la UE cuando dichos productos no cumplan los requisitos de conformidad del RCR.</w:t>
      </w:r>
      <w:r>
        <w:rPr>
          <w:rStyle w:val="FootnoteReference"/>
          <w:rFonts w:eastAsia="Times New Roman" w:cs="Times New Roman" w:ascii="Times New Roman" w:hAnsi="Times New Roman"/>
          <w:vertAlign w:val="superscript"/>
        </w:rPr>
        <w:footnoteReference w:id="12"/>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En consecuencia, el ámbito del RCR es transversal, pues tiene la vocación de aplicarse en defecto de legislación sectorial aplicable para cualquier categoría de producto. En este sentido, existen varios productos excluidos del ámbito de aplicación de RCR.</w:t>
      </w:r>
      <w:r>
        <w:rPr>
          <w:rStyle w:val="FootnoteReference"/>
          <w:rFonts w:eastAsia="Times New Roman" w:cs="Times New Roman" w:ascii="Times New Roman" w:hAnsi="Times New Roman"/>
          <w:vertAlign w:val="superscript"/>
        </w:rPr>
        <w:footnoteReference w:id="13"/>
      </w:r>
    </w:p>
    <w:p>
      <w:pPr>
        <w:pStyle w:val="Normal"/>
        <w:numPr>
          <w:ilvl w:val="2"/>
          <w:numId w:val="7"/>
        </w:numPr>
        <w:pBdr/>
        <w:spacing w:lineRule="auto" w:line="276"/>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Vulnerabilidad</w:t>
      </w:r>
      <w:r>
        <w:rPr>
          <w:rFonts w:eastAsia="Times New Roman" w:cs="Times New Roman" w:ascii="Times New Roman" w:hAnsi="Times New Roman"/>
          <w:lang w:val="es-ES"/>
        </w:rPr>
        <w:t>, v</w:t>
      </w:r>
      <w:r>
        <w:rPr>
          <w:rFonts w:eastAsia="Times New Roman" w:cs="Times New Roman" w:ascii="Times New Roman" w:hAnsi="Times New Roman"/>
          <w:color w:val="000000"/>
          <w:lang w:val="es-ES"/>
        </w:rPr>
        <w:t>ulnerabilidad aprovechable</w:t>
      </w:r>
      <w:r>
        <w:rPr>
          <w:rFonts w:eastAsia="Times New Roman" w:cs="Times New Roman" w:ascii="Times New Roman" w:hAnsi="Times New Roman"/>
          <w:lang w:val="es-ES"/>
        </w:rPr>
        <w:t xml:space="preserve">, </w:t>
      </w:r>
      <w:r>
        <w:rPr>
          <w:rFonts w:eastAsia="Times New Roman" w:cs="Times New Roman" w:ascii="Times New Roman" w:hAnsi="Times New Roman"/>
          <w:color w:val="000000"/>
          <w:lang w:val="es-ES"/>
        </w:rPr>
        <w:t>vulnerabilidad aprovechada activamente y vulnerabilidad conocida</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Este trabajo gira en torno al concepto de “vulnerabilidad”, en tanto que se trata de una circunstancia que afecta a los productos con elementos digitales que puede comprometer la responsabilidad de los fabricantes. Por este motivo, es necesario abordar este concepto, partiendo de las definiciones contenidas en el RCR y las aportaciones que la doctrina ha hecho al mismo.</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A los efectos del RCR, el término vulnerabilidad aparece definido en el art. 3.40 RCR): </w:t>
      </w:r>
      <w:r>
        <w:rPr>
          <w:rFonts w:eastAsia="Times New Roman" w:cs="Times New Roman" w:ascii="Times New Roman" w:hAnsi="Times New Roman"/>
          <w:i/>
          <w:lang w:val="es-ES"/>
        </w:rPr>
        <w:t xml:space="preserve">“deficiencia, susceptibilidad o fallo de un producto con elementos digitales que puede ser aprovechada por una ciberamenaza”. </w:t>
      </w:r>
      <w:r>
        <w:rPr>
          <w:rFonts w:eastAsia="Times New Roman" w:cs="Times New Roman" w:ascii="Times New Roman" w:hAnsi="Times New Roman"/>
          <w:lang w:val="es-ES"/>
        </w:rPr>
        <w:t>Los sustantivos “deficiencia, susceptibilidad o fallo” aluden a una brecha en la ciberseguridad del producto, que lo convierten en vulnerable frente a los ataques perpetrados en el ciberespacio por terceros malintencionados. Por tanto, un producto con elementos digitales vulnerable es un producto mermado en cuanto a su ciberseguridad, que lo convierte en potencialmente dañino. La debilidad que entraña un producto vulnerable es una nota común del concepto de vulnerabilidad utilizado en otras normas europeas, como la Directiva SRI 2.</w:t>
      </w:r>
      <w:r>
        <w:rPr>
          <w:rStyle w:val="FootnoteReference"/>
          <w:rFonts w:eastAsia="Times New Roman" w:cs="Times New Roman" w:ascii="Times New Roman" w:hAnsi="Times New Roman"/>
          <w:vertAlign w:val="superscript"/>
        </w:rPr>
        <w:footnoteReference w:id="14"/>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paralelo al concepto de “vulnerabilidad”, entendido como una debilidad que presenta, en general, el producto con elementos digitales en cuanto a su ciberseguridad, el art. 3.41) RCR define el concepto de “vulnerabilidad aprovechable”: </w:t>
      </w:r>
      <w:r>
        <w:rPr>
          <w:rFonts w:eastAsia="Times New Roman" w:cs="Times New Roman" w:ascii="Times New Roman" w:hAnsi="Times New Roman"/>
          <w:i/>
          <w:lang w:val="es-ES"/>
        </w:rPr>
        <w:t>“vulnerabilidad que puede ser utilizada de manera efectiva por un agente malintencionado en condiciones operativas prácticas”</w:t>
      </w:r>
      <w:r>
        <w:rPr>
          <w:rFonts w:eastAsia="Times New Roman" w:cs="Times New Roman" w:ascii="Times New Roman" w:hAnsi="Times New Roman"/>
          <w:lang w:val="es-ES"/>
        </w:rPr>
        <w:t>. El elemento que permite diferenciar a ambos conceptos es la referencia a las “condiciones operativas prácticas”, que conduce a distinguir entre vulnerabilidades que pueden afectar a los productos con elementos digitales, pero que no son inmediatamente aprovechables, sino que lo serán en condiciones operativas prácticas, es decir, en ciertas condiciones reales que efectivamente permitan que la vulnerabilidad que presenta el producto sea aprovechable activamente por un tercero,</w:t>
      </w:r>
      <w:r>
        <w:rPr>
          <w:rStyle w:val="FootnoteReference"/>
          <w:rFonts w:eastAsia="Times New Roman" w:cs="Times New Roman" w:ascii="Times New Roman" w:hAnsi="Times New Roman"/>
          <w:vertAlign w:val="superscript"/>
        </w:rPr>
        <w:footnoteReference w:id="15"/>
      </w:r>
      <w:r>
        <w:rPr>
          <w:rFonts w:eastAsia="Times New Roman" w:cs="Times New Roman" w:ascii="Times New Roman" w:hAnsi="Times New Roman"/>
          <w:lang w:val="es-ES"/>
        </w:rPr>
        <w:t xml:space="preserve"> lo que nos conducirá al concepto de “vulnerabilidad aprovechada activamente”. El RCR pone el acento en las vulnerabilidades aprovechables en la fase previa a la comercialización del producto, pues se obliga a los fabricantes a no introducir en el mercado o poner en servicio productos con elementos digitales que presenten vulnerabilidades aprovechables conocidas (Anexo I Parte I RCR), como uno de los elementos que integran los requisitos generales de conformidad. A este respecto, adquiere relevancia la base de datos europea de vulnerabilidades creada por la Directiva SRI 2, cuyo art. 12 regula la divulgación coordinada de vulnerabilidades, de tal manera que las vulnerabilidades aprovechables conocidas gozan de publicidad para los fabricantes, lo que obligará a su consulta a los efectos de certificar que sus productos que están afectados por una vulnerabilidad aprovechable conocida. Veremos, en la siguiente sección, cómo incidirá este elemento de publicidad en la responsabilidad del fabricante.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Finalmente, una vez el producto ha sido introducido en el mercado o puesto en servicio, adquiere relevancia el concepto de “vulnerabilidad aprovechada activamente” (art. 3.42) RCR), que hace hincapié en el conocimiento fehaciente que el fabricante tiene de que el producto ha sido atacado de forma exitosa, es decir, habiendo aprovechado a un tercero: </w:t>
      </w:r>
      <w:r>
        <w:rPr>
          <w:rFonts w:eastAsia="Times New Roman" w:cs="Times New Roman" w:ascii="Times New Roman" w:hAnsi="Times New Roman"/>
          <w:i/>
          <w:lang w:val="es-ES"/>
        </w:rPr>
        <w:t>“vulnerabilidad respecto de la cual existen pruebas fiables de que un agente malintencionado la ha aprovechado en un sistema sin autorización del propietario del sistema”</w:t>
      </w:r>
      <w:r>
        <w:rPr>
          <w:rFonts w:eastAsia="Times New Roman" w:cs="Times New Roman" w:ascii="Times New Roman" w:hAnsi="Times New Roman"/>
          <w:lang w:val="es-ES"/>
        </w:rPr>
        <w:t>.</w:t>
      </w:r>
      <w:r>
        <w:rPr>
          <w:rStyle w:val="FootnoteReference"/>
          <w:rFonts w:eastAsia="Times New Roman" w:cs="Times New Roman" w:ascii="Times New Roman" w:hAnsi="Times New Roman"/>
          <w:vertAlign w:val="superscript"/>
        </w:rPr>
        <w:footnoteReference w:id="16"/>
      </w:r>
      <w:r>
        <w:rPr>
          <w:rFonts w:eastAsia="Times New Roman" w:cs="Times New Roman" w:ascii="Times New Roman" w:hAnsi="Times New Roman"/>
          <w:lang w:val="es-ES"/>
        </w:rPr>
        <w:t xml:space="preserve"> La constatación por el fabricante de que una vulnerabilidad en sus productos ha sido aprovechada activamente se traduce en un deber de notificación al CSIRT designado como coordinador (art. 14.1 RCR). En cuanto a los plazos del deber de notificación el art. 14.2.a) RCR impone una alerta temprana de la vulnerabilidad que deberá realizarse dentro del plazo de veinticuatro horas desde que el fabricante haya tenido conocimiento de ella y otra notificación a realizar dentro del plazo de setenta y dos horas, que incluirá mayores detalles sobre la vulnerabilidad aprovechada activamente: </w:t>
      </w:r>
      <w:r>
        <w:rPr>
          <w:rFonts w:eastAsia="Times New Roman" w:cs="Times New Roman" w:ascii="Times New Roman" w:hAnsi="Times New Roman"/>
          <w:i/>
          <w:lang w:val="es-ES"/>
        </w:rPr>
        <w:t xml:space="preserve">“que proporcionará la información general disponible sobre el producto con elementos digitales en cuestión, la naturaleza general de la vulnerabilidad en cuestión y el modo en que es aprovechada, así como sobre las medidas correctoras o paliativas adoptadas y las medidas correctoras o paliativas que los usuarios pueden adoptar, y que también indicará, cuando proceda, en qué medida el fabricante considera sensible la información notificada” </w:t>
      </w:r>
      <w:r>
        <w:rPr>
          <w:rFonts w:eastAsia="Times New Roman" w:cs="Times New Roman" w:ascii="Times New Roman" w:hAnsi="Times New Roman"/>
          <w:lang w:val="es-ES"/>
        </w:rPr>
        <w:t>(art. 14.2.b) RCR). Por último, dentro del plazo de catorce días a contar desde que el fabricante disponga de una medida correctora de la vulnerabilidad (art. 14.2.c) RCR) el fabricante deberá confeccionar un informe con una información mínima necesaria: </w:t>
      </w:r>
      <w:r>
        <w:rPr>
          <w:rFonts w:eastAsia="Times New Roman" w:cs="Times New Roman" w:ascii="Times New Roman" w:hAnsi="Times New Roman"/>
          <w:i/>
          <w:iCs/>
          <w:lang w:val="es-ES"/>
        </w:rPr>
        <w:t>“i) una descripción de la vulnerabilidad, que incluya su gravedad y sus repercusiones, ii) cuando se disponga de ella, información relativa a cualquier agente malintencionado que haya aprovechado o esté aprovechando la vulnerabilidad,  iii) detalles sobre la actualización de seguridad u otras medidas correctoras disponibles para subsanar la vulnerabilidad.”</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El deber de notificación no solo se limita al CSIRT responsable, sino que los fabricantes deberán dirigirse a los usuarios afectados por la vulnerabilidad aprovechada activamente (art. 14.8 RCR).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definitiva, el uso del concepto de vulnerabilidad, entendido como una debilidad del producto con elementos digitales que afecta a su ciberseguridad, el RCR pone el acento, por un lado, en las vulnerabilidades aprovechables para certificar que el fabricante introduce en el mercado o pone en servicio el producto sin vulnerabilidades conocidas y, por otro lado, en la obligación del fabricante de reportar los incidentes que hayan comportado las explotaciones de vulnerabilidades una vez el producto ya se encuentra en manos de los usuarios. </w:t>
      </w:r>
    </w:p>
    <w:p>
      <w:pPr>
        <w:pStyle w:val="Normal"/>
        <w:numPr>
          <w:ilvl w:val="2"/>
          <w:numId w:val="7"/>
        </w:numPr>
        <w:pBdr/>
        <w:spacing w:lineRule="auto" w:line="276"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Requisitos generales de conformidad</w:t>
      </w:r>
    </w:p>
    <w:p>
      <w:pPr>
        <w:pStyle w:val="Normal"/>
        <w:pBdr/>
        <w:spacing w:lineRule="auto" w:line="276"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pBdr/>
        <w:spacing w:lineRule="auto" w:line="276" w:before="0" w:after="200"/>
        <w:jc w:val="both"/>
        <w:rPr>
          <w:rFonts w:ascii="Times New Roman" w:hAnsi="Times New Roman" w:eastAsia="Times New Roman" w:cs="Times New Roman"/>
          <w:lang w:val="es-ES"/>
        </w:rPr>
      </w:pPr>
      <w:r>
        <w:rPr>
          <w:rFonts w:eastAsia="Times New Roman" w:cs="Times New Roman" w:ascii="Times New Roman" w:hAnsi="Times New Roman"/>
          <w:lang w:val="es-ES"/>
        </w:rPr>
        <w:tab/>
        <w:t>Para que los productos con elementos digitales puedan ser introducidos en el mercado europeo, es necesario que cumplan determinados requisitos de conformidad (considerandos núm. 8 y 10 y arts. 4.1 y 6 RCR), en aras a proteger a los consumidores y a los propios fabricantes. Dichos requisitos generales de conformidad se prevén en el Anexo I Parte I RCR.</w:t>
      </w:r>
      <w:r>
        <w:rPr>
          <w:rStyle w:val="FootnoteReference"/>
          <w:rFonts w:eastAsia="Times New Roman" w:cs="Times New Roman" w:ascii="Times New Roman" w:hAnsi="Times New Roman"/>
          <w:vertAlign w:val="superscript"/>
        </w:rPr>
        <w:footnoteReference w:id="17"/>
      </w:r>
      <w:r>
        <w:rPr>
          <w:rFonts w:eastAsia="Times New Roman" w:cs="Times New Roman" w:ascii="Times New Roman" w:hAnsi="Times New Roman"/>
          <w:lang w:val="es-ES"/>
        </w:rPr>
        <w:t xml:space="preserve"> Sin embargo, los requisitos que figuran en el Anexo I RCR no constituyen una lista cerrada, puesto que los fabricantes deben adoptar medidas para eliminar los riesgos que presente el producto, a pesar de que no consten en el Anexo I RCR (considerando núm. 54).</w:t>
      </w:r>
      <w:r>
        <w:rPr>
          <w:rStyle w:val="FootnoteReference"/>
          <w:rFonts w:eastAsia="Times New Roman" w:cs="Times New Roman" w:ascii="Times New Roman" w:hAnsi="Times New Roman"/>
          <w:vertAlign w:val="superscript"/>
        </w:rPr>
        <w:footnoteReference w:id="18"/>
      </w:r>
    </w:p>
    <w:p>
      <w:pPr>
        <w:pStyle w:val="Normal"/>
        <w:numPr>
          <w:ilvl w:val="0"/>
          <w:numId w:val="10"/>
        </w:numPr>
        <w:pBdr/>
        <w:spacing w:lineRule="auto" w:line="276" w:before="0" w:after="200"/>
        <w:jc w:val="both"/>
        <w:rPr>
          <w:rFonts w:ascii="Times New Roman" w:hAnsi="Times New Roman" w:eastAsia="Times New Roman" w:cs="Times New Roman"/>
          <w:lang w:val="es-ES"/>
        </w:rPr>
      </w:pPr>
      <w:r>
        <w:rPr>
          <w:rFonts w:eastAsia="Times New Roman" w:cs="Times New Roman" w:ascii="Times New Roman" w:hAnsi="Times New Roman"/>
          <w:lang w:val="es-ES"/>
        </w:rPr>
        <w:t>El nivel adecuado de ciberseguridad en consideración a los riesgos existentes</w:t>
      </w:r>
    </w:p>
    <w:p>
      <w:pPr>
        <w:pStyle w:val="Normal"/>
        <w:pBdr/>
        <w:spacing w:lineRule="auto" w:line="276" w:before="0" w:after="200"/>
        <w:jc w:val="both"/>
        <w:rPr>
          <w:rFonts w:ascii="Times New Roman" w:hAnsi="Times New Roman" w:eastAsia="Times New Roman" w:cs="Times New Roman"/>
          <w:lang w:val="es-ES"/>
        </w:rPr>
      </w:pPr>
      <w:r>
        <w:rPr>
          <w:rFonts w:eastAsia="Times New Roman" w:cs="Times New Roman" w:ascii="Times New Roman" w:hAnsi="Times New Roman"/>
          <w:lang w:val="es-ES"/>
        </w:rPr>
        <w:tab/>
        <w:t xml:space="preserve">Sin ánimo de comentar los requisitos de conformidad previstos en el Anexo I Parte I RCR, sí que parece oportuno detenerse en alguna consideración general, como es el criterio de razonabilidad utilizado en algunos requisitos. En este sentido, a título de ejemplo puede verse semejante manifestación del criterio de razonabilidad en el primer requisito esencial de conformidad: </w:t>
      </w:r>
      <w:r>
        <w:rPr>
          <w:rFonts w:eastAsia="Times New Roman" w:cs="Times New Roman" w:ascii="Times New Roman" w:hAnsi="Times New Roman"/>
          <w:i/>
          <w:lang w:val="es-ES"/>
        </w:rPr>
        <w:t xml:space="preserve">“Los productos con elementos digitales se diseñarán, desarrollarán y producirán de manera que garanticen un nivel adecuado de ciberseguridad sobre la base de los riesgos existentes.” </w:t>
      </w:r>
      <w:r>
        <w:rPr>
          <w:rFonts w:eastAsia="Times New Roman" w:cs="Times New Roman" w:ascii="Times New Roman" w:hAnsi="Times New Roman"/>
          <w:lang w:val="es-ES"/>
        </w:rPr>
        <w:t>A mi modo de ver, la correcta ponderación entre un nivel adecuado de ciberseguridad y la base de riesgos existentes debe realizarse según un juicio de razonabilidad (art. 6 RCR)</w:t>
      </w:r>
      <w:r>
        <w:rPr>
          <w:rStyle w:val="FootnoteReference"/>
          <w:rFonts w:eastAsia="Times New Roman" w:cs="Times New Roman" w:ascii="Times New Roman" w:hAnsi="Times New Roman"/>
          <w:vertAlign w:val="superscript"/>
        </w:rPr>
        <w:footnoteReference w:id="19"/>
      </w:r>
      <w:r>
        <w:rPr>
          <w:rFonts w:eastAsia="Times New Roman" w:cs="Times New Roman" w:ascii="Times New Roman" w:hAnsi="Times New Roman"/>
          <w:lang w:val="es-ES"/>
        </w:rPr>
        <w:t>, atendiendo a algunos parámetros que establece el propio RCR. El art. 13.3 RCR, que versa sobre la evaluación de los riesgos de ciberseguridad, contiene algunos elementos que deben utilizarse para ponderar los riesgos existentes.</w:t>
      </w:r>
      <w:r>
        <w:rPr>
          <w:rStyle w:val="FootnoteReference"/>
          <w:rFonts w:eastAsia="Times New Roman" w:cs="Times New Roman" w:ascii="Times New Roman" w:hAnsi="Times New Roman"/>
          <w:vertAlign w:val="superscript"/>
        </w:rPr>
        <w:footnoteReference w:id="20"/>
      </w:r>
      <w:r>
        <w:rPr>
          <w:rFonts w:eastAsia="Times New Roman" w:cs="Times New Roman" w:ascii="Times New Roman" w:hAnsi="Times New Roman"/>
          <w:lang w:val="es-ES"/>
        </w:rPr>
        <w:t xml:space="preserve">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primer lugar, se alude al uso razonablemente previsible del producto. Se trata de un término definido en el art. 3.24) RCR: </w:t>
      </w:r>
      <w:r>
        <w:rPr>
          <w:rFonts w:eastAsia="Times New Roman" w:cs="Times New Roman" w:ascii="Times New Roman" w:hAnsi="Times New Roman"/>
          <w:i/>
          <w:lang w:val="es-ES"/>
        </w:rPr>
        <w:t>“uso que no coincide necesariamente con la finalidad prevista indicada por el fabricante en las instrucciones de uso, los materiales y las declaraciones de promoción y venta y la documentación técnica, pero que puede derivarse de un comportamiento humano o de intervenciones e interacciones técnicas razonablemente previsibles”</w:t>
      </w:r>
      <w:r>
        <w:rPr>
          <w:rFonts w:eastAsia="Times New Roman" w:cs="Times New Roman" w:ascii="Times New Roman" w:hAnsi="Times New Roman"/>
          <w:lang w:val="es-ES"/>
        </w:rPr>
        <w:t xml:space="preserve">. Habida cuenta de la definición transcrita, el uso razonablemente previsible del producto podría equipararse al “uso normal” del producto, atendiendo a dos grandes parámetros. Por un lado, desde un punto de vista subjetivo, las declaraciones provenientes del fabricante, plasmadas en las instrucciones de uso, la documentación técnica y las declaraciones de promoción y venta, elementos que constituyen la finalidad prevista del producto. Por otro lado, desde un punto de vista objetivo, el uso previsible del producto que deriva de un comportamiento humano o de interacciones técnicas razonablemente previsibles, lo que amplía el deber de diligencia del fabricante en el momento de ponderar los posibles riesgos existentes.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En segundo lugar, se hace referencia a las condiciones de uso, como el entorno operativo o los activos que deben protegerse. El entorno operativo de los productos con elementos digitales puede cambiar con mucha celeridad debido a los avances tecnológicos que operan en el ciberespacio, por lo que, en mi opinión, obliga a extremar la diligencia y no solo a contemplar las condiciones de uso en el momento de la introducción en el mercado o puesta en servicio del producto, sino que deben tenerse en cuenta los avances tecnológicos previsibles que puedan producirse durante el periodo de soporte.</w:t>
      </w:r>
      <w:r>
        <w:rPr>
          <w:rStyle w:val="FootnoteReference"/>
          <w:rFonts w:eastAsia="Times New Roman" w:cs="Times New Roman" w:ascii="Times New Roman" w:hAnsi="Times New Roman"/>
          <w:vertAlign w:val="superscript"/>
        </w:rPr>
        <w:footnoteReference w:id="21"/>
      </w:r>
      <w:r>
        <w:rPr>
          <w:rFonts w:eastAsia="Times New Roman" w:cs="Times New Roman" w:ascii="Times New Roman" w:hAnsi="Times New Roman"/>
          <w:lang w:val="es-ES"/>
        </w:rPr>
        <w:t xml:space="preserve">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De acuerdo con el art. 13.3 RCR, ambos elementos, el uso normalmente previsible y las condiciones de uso deben medirse según el periodo de soporte del producto con elementos digitales determinado, que conforme al art. 13.8 RCR, debe ser determinado principalmente por los fabricantes, considerando factores como las expectativas razonables de los usuarios, la naturaleza del producto y el Derecho vigente. Sin embargo, la Comisión reserva la facultad de determinar el periodo de soporte de determinados productos mediante actos delegados.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tercer lugar, bajo mi punto de vista, otro elemento a considerar para valorar los riesgos existentes es el uso indebido razonablemente previsible. Según el art. 3.25) RCR, se trata de un uso del producto no conforme con su finalidad prevista, pero que es razonablemente previsible según un comportamiento humano o de interacciones con otros sistemas. Por tanto, el uso indebido razonablemente previsible obliga a contemplar aquellos posibles usos del producto no alineados con la finalidad prevista y que entrañan un riesgo existente de ciberseguridad.  </w:t>
      </w:r>
    </w:p>
    <w:p>
      <w:pPr>
        <w:pStyle w:val="Normal"/>
        <w:numPr>
          <w:ilvl w:val="0"/>
          <w:numId w:val="10"/>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Protección de datos personales desde el diseño y por defecto</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Las vulnerabilidades de ciberseguridad que presentan los productos con elementos digitales pueden tener, como potencial resultado dañoso, la corrupción de datos personales. Es por este motivo que una parte de los requisitos esenciales de ciberseguridad (d, e, f, g, m) previstos en el Anexo I Parte I RCR tienen por objeto la protección de datos personales de los usuarios de este tipo de productos.</w:t>
      </w:r>
      <w:r>
        <w:rPr>
          <w:rStyle w:val="FootnoteReference"/>
          <w:rFonts w:eastAsia="Times New Roman" w:cs="Times New Roman" w:ascii="Times New Roman" w:hAnsi="Times New Roman"/>
          <w:vertAlign w:val="superscript"/>
        </w:rPr>
        <w:footnoteReference w:id="22"/>
      </w:r>
      <w:r>
        <w:rPr>
          <w:rFonts w:eastAsia="Times New Roman" w:cs="Times New Roman" w:ascii="Times New Roman" w:hAnsi="Times New Roman"/>
          <w:lang w:val="es-ES"/>
        </w:rPr>
        <w:t xml:space="preserve"> Esto implica que, desde el prisma de la ciberseguridad, los productos con elementos digitales también deben ser diseñados, en aras a cumplir los requisitos esenciales de ciberseguridad, para cumplir con las previsiones del Reglamento 2016/679, en adelante, RGPD.</w:t>
      </w:r>
      <w:r>
        <w:rPr>
          <w:rStyle w:val="FootnoteReference"/>
          <w:rFonts w:eastAsia="Times New Roman" w:cs="Times New Roman" w:ascii="Times New Roman" w:hAnsi="Times New Roman"/>
          <w:vertAlign w:val="superscript"/>
        </w:rPr>
        <w:footnoteReference w:id="23"/>
      </w:r>
      <w:r>
        <w:rPr>
          <w:rFonts w:eastAsia="Times New Roman" w:cs="Times New Roman" w:ascii="Times New Roman" w:hAnsi="Times New Roman"/>
          <w:lang w:val="es-ES"/>
        </w:rPr>
        <w:t xml:space="preserve">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Estamos, por tanto, ante criterios esenciales de ciberseguridad que persiguen la protección de los datos personales de los usuarios y que obliga a los fabricantes, como responsables del tratamiento de los datos, a adoptar, sobre todo, medidas técnicas específicamente diseñadas para salvaguardar los datos personales de los usuarios.</w:t>
      </w:r>
      <w:r>
        <w:rPr>
          <w:rStyle w:val="FootnoteReference"/>
          <w:rFonts w:eastAsia="Times New Roman" w:cs="Times New Roman" w:ascii="Times New Roman" w:hAnsi="Times New Roman"/>
          <w:vertAlign w:val="superscript"/>
        </w:rPr>
        <w:footnoteReference w:id="24"/>
      </w:r>
      <w:r>
        <w:rPr>
          <w:rFonts w:eastAsia="Times New Roman" w:cs="Times New Roman" w:ascii="Times New Roman" w:hAnsi="Times New Roman"/>
          <w:lang w:val="es-ES"/>
        </w:rPr>
        <w:t xml:space="preserve"> Habida cuenta del alto riesgo para los derechos y libertades de los usuarios que implica el tratamiento de datos personales en productos con elementos digitales, los fabricantes, de conformidad con el art. 35 RGPD, deben realizar una evaluación de impacto que determinará qué medidas deben adoptarse desde el diseño y por defecto para la protección de los datos personales de los usuarios.</w:t>
      </w:r>
      <w:r>
        <w:rPr>
          <w:rStyle w:val="FootnoteReference"/>
          <w:rFonts w:eastAsia="Times New Roman" w:cs="Times New Roman" w:ascii="Times New Roman" w:hAnsi="Times New Roman"/>
          <w:vertAlign w:val="superscript"/>
        </w:rPr>
        <w:footnoteReference w:id="25"/>
      </w:r>
      <w:r>
        <w:rPr>
          <w:rFonts w:eastAsia="Times New Roman" w:cs="Times New Roman" w:ascii="Times New Roman" w:hAnsi="Times New Roman"/>
          <w:lang w:val="es-ES"/>
        </w:rPr>
        <w:t xml:space="preserve"> En materia de ciberseguridad, los fabricantes deberán diseñar y producir sus productos evitando que sean vulnerables ante ataques que puedan tener como objetivo la corrupción de datos personales.</w:t>
      </w:r>
    </w:p>
    <w:p>
      <w:pPr>
        <w:pStyle w:val="Normal"/>
        <w:numPr>
          <w:ilvl w:val="2"/>
          <w:numId w:val="7"/>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Procedimientos de evaluación de la conformidad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El RCR parte de la premisa de que no todos los productos con elementos digitales presentan el mismo nivel de riesgo de ciberseguridad. Tomando este punto de partida, el RCR clasifica los productos con elementos digitales en cuatro grupos, en función de su funcionalidad relacionada con la ciberseguridad, riesgo significativo de efectos adversos, la naturaleza de los incidentes de ciberseguridad y la dependencia de entidades esenciales (art. 3.1 Directiva 2022/2555),</w:t>
      </w:r>
      <w:r>
        <w:rPr>
          <w:rFonts w:eastAsia="Times New Roman" w:cs="Times New Roman" w:ascii="Times New Roman" w:hAnsi="Times New Roman"/>
          <w:color w:val="000000"/>
          <w:vertAlign w:val="superscript"/>
          <w:lang w:val="es-ES"/>
        </w:rPr>
        <w:t xml:space="preserve"> </w:t>
      </w:r>
      <w:r>
        <w:rPr>
          <w:rStyle w:val="FootnoteReference"/>
          <w:rFonts w:eastAsia="Times New Roman" w:cs="Times New Roman" w:ascii="Times New Roman" w:hAnsi="Times New Roman"/>
          <w:color w:val="000000"/>
          <w:vertAlign w:val="superscript"/>
        </w:rPr>
        <w:footnoteReference w:id="26"/>
      </w:r>
      <w:r>
        <w:rPr>
          <w:rFonts w:eastAsia="Times New Roman" w:cs="Times New Roman" w:ascii="Times New Roman" w:hAnsi="Times New Roman"/>
          <w:color w:val="000000"/>
          <w:lang w:val="es-ES"/>
        </w:rPr>
        <w:t xml:space="preserve"> lo que permite sostener que se trata de una clasificación tomando como referencia, principalmente, el riesgo inherente del producto en cuestión:</w:t>
      </w:r>
      <w:r>
        <w:rPr>
          <w:rStyle w:val="FootnoteReference"/>
          <w:rFonts w:eastAsia="Times New Roman" w:cs="Times New Roman" w:ascii="Times New Roman" w:hAnsi="Times New Roman"/>
          <w:color w:val="000000"/>
          <w:vertAlign w:val="superscript"/>
        </w:rPr>
        <w:footnoteReference w:id="27"/>
      </w:r>
      <w:r>
        <w:rPr>
          <w:rFonts w:eastAsia="Times New Roman" w:cs="Times New Roman" w:ascii="Times New Roman" w:hAnsi="Times New Roman"/>
          <w:color w:val="000000"/>
          <w:lang w:val="es-ES"/>
        </w:rPr>
        <w:t xml:space="preserve">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a) Productos importantes con elementos digitales de la clase I (art. 7 y Anexo III RCR). Esta categoría incluye productos como los gestores de contraseñas, sistemas operativos, asistentes virtuales de propósito general para hogares inteligentes, etc.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b) Productos importantes con elementos digitales de la clase II (art. 7 y Anexo III RCR). Se incluye productos como cortafuegos y sistemas de detección y prevención de intrusiones.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c) Productos críticos con elementos digitales (art. 8 y Anexo IV RCR). Forman parte de este grupo productos críticos como dispositivos de equipos informáticos con cajas de seguridad y tarjetas inteligentes. La lista de productos críticos contenida en el Anexo IV RCR no es una lista cerrada, habida cuenta que la Comisión Europea se reserva la facultad de, mediante actos delegados, incluir nuevos productos en esta categoría, sobre todo por el rápido avance de la tecnología y evitar, así, que quede desfasada (considerando núm. 48 y art. 8 RCR).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 Otros productos con elementos digitales no incluidos en los grupos anteriores. Este grupo incluiría productos como software de edición de fotos, auriculares inteligentes, videojuegos, editores de texto, etc. Se trata de productos cuyas brechas de ciberseguridad no acarrean un riesgo grave.</w:t>
      </w:r>
      <w:r>
        <w:rPr>
          <w:rStyle w:val="FootnoteReference"/>
          <w:rFonts w:eastAsia="Times New Roman" w:cs="Times New Roman" w:ascii="Times New Roman" w:hAnsi="Times New Roman"/>
          <w:color w:val="000000"/>
          <w:vertAlign w:val="superscript"/>
        </w:rPr>
        <w:footnoteReference w:id="28"/>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El art. 6 RCR establece la prohibición de comercializar productos con elementos digitales que no satisfagan los requisitos esenciales de ciberseguridad del Anexo I RCR, después de examinar la conformidad de dichos requisitos esenciales a través de los procedimientos que establece el propio RCR (art. 32 RCR). Considerando la naturaleza del producto con elementos digitales en cuestión, el RCR prevé un determinado procedimiento para valorar la conformidad con los requisitos esenciales de conformidad del Anexo I.</w:t>
      </w:r>
      <w:r>
        <w:rPr>
          <w:rStyle w:val="FootnoteReference"/>
          <w:rFonts w:eastAsia="Times New Roman" w:cs="Times New Roman" w:ascii="Times New Roman" w:hAnsi="Times New Roman"/>
          <w:color w:val="000000"/>
          <w:vertAlign w:val="superscript"/>
        </w:rPr>
        <w:footnoteReference w:id="29"/>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cumplimiento de los requisitos esenciales de ciberseguridad del Anexo I a través del procedimiento que corresponda según el riesgo del producto da lugar a una presunción de su conformidad en el momento de su introducción en el mercado o puesta en servicio (art. 27 RCR). </w:t>
      </w:r>
    </w:p>
    <w:p>
      <w:pPr>
        <w:pStyle w:val="Normal"/>
        <w:numPr>
          <w:ilvl w:val="2"/>
          <w:numId w:val="7"/>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Requisitos de gestión de las vulnerabilidades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Habida cuenta de lo dispuesto en el Anexo I RCR, los requisitos de gestión de vulnerabilidades operan en dos grandes momentos. Por un lado, antes de que el producto con elementos digitales se introduzca en el mercado y, por otro lado, una vez el producto ya se haya comercializado.</w:t>
      </w:r>
    </w:p>
    <w:p>
      <w:pPr>
        <w:pStyle w:val="Normal"/>
        <w:numPr>
          <w:ilvl w:val="0"/>
          <w:numId w:val="2"/>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Prohibición de comercialización de productos con vulnerabilidades conocidas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letra a) del Anexo I Parte I obliga a los fabricantes a comercializar sus productos sin que presenten vulnerabilidades conocidas, en atención a los resultados que arroje la evaluación de riesgos de ciberseguridad. La referencia que hace el requisito a que sean “vulnerabilidades conocidas” nos conduce a hacer referencia, de nuevo, a la base de datos europea de vulnerabilidades, que se regula en el art. 12 Directiva SRI 2. Dicha base se alimenta de las vulnerabilidades que reporten los usuarios, fabricantes y proveedores de TIC que afecten a productos con elementos digitales, de tal manera que los demás fabricantes estarán obligados a comprobar, antes de introducir en el mercado sus productos, que no están afectados por las vulnerabilidades publicadas en la base de datos europea de vulnerabilidades (considerando núm. 62 Directiva SRI 2).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Sin embargo, la doctrina ha alertado que los productos con elementos digitales suelen introducirse en el mercado con vulnerabilidades que aún son desconocidas por los fabricantes. Además, si los productos no deben introducirse en el mercado con vulnerabilidades conocidas que resulten de la evaluación de riesgos de ciberseguridad que realice el fabricante, esto conlleva que la ciberseguridad del producto se haya probado en un ambiente simulado, lejos de los riesgos del ciberespacio.</w:t>
      </w:r>
      <w:r>
        <w:rPr>
          <w:rStyle w:val="FootnoteReference"/>
          <w:rFonts w:eastAsia="Times New Roman" w:cs="Times New Roman" w:ascii="Times New Roman" w:hAnsi="Times New Roman"/>
          <w:color w:val="000000"/>
          <w:vertAlign w:val="superscript"/>
        </w:rPr>
        <w:footnoteReference w:id="30"/>
      </w:r>
      <w:r>
        <w:rPr>
          <w:rFonts w:eastAsia="Times New Roman" w:cs="Times New Roman" w:ascii="Times New Roman" w:hAnsi="Times New Roman"/>
          <w:color w:val="000000"/>
          <w:lang w:val="es-ES"/>
        </w:rPr>
        <w:t xml:space="preserve"> Veremos qué responsabilidad acarrea para el fabricante que su producto se introduzca en el mercado sin vulnerabilidades conocidas, pero pudiendo estar afectado por vulnerabilidades no conocidas en los siguientes epígrafes.</w:t>
      </w:r>
    </w:p>
    <w:p>
      <w:pPr>
        <w:pStyle w:val="Normal"/>
        <w:numPr>
          <w:ilvl w:val="0"/>
          <w:numId w:val="2"/>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Etapa posterior a la comercialización del producto</w:t>
      </w:r>
    </w:p>
    <w:p>
      <w:pPr>
        <w:pStyle w:val="Normal"/>
        <w:pBdr/>
        <w:spacing w:lineRule="auto" w:line="276" w:before="0" w:after="200"/>
        <w:ind w:firstLine="72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La Parte II del Anexo I contiene propiamente los requisitos de gestión de las vulnerabilidades una vez el producto haya sido introducido en el mercado, que igualmente son de obligado cumplimiento (art. 6.b) RCR). La gestión de las vulnerabilidades en esta fase se extiende a lo largo de todo el periodo de soporte (art. 13.8 RCR). En línea de principio, el periodo de soporte debe determinarse por los fabricantes teniendo en cuenta el periodo de uso de sus productos, considerando, en particular, </w:t>
      </w:r>
      <w:r>
        <w:rPr>
          <w:rFonts w:eastAsia="Times New Roman" w:cs="Times New Roman" w:ascii="Times New Roman" w:hAnsi="Times New Roman"/>
          <w:i/>
          <w:color w:val="000000"/>
          <w:lang w:val="es-ES"/>
        </w:rPr>
        <w:t xml:space="preserve">“las expectativas razonables de los usuarios, la naturaleza del producto —incluida su finalidad prevista— y el Derecho pertinente de la Unión que fija la vida útil del producto con elementos digitales. A la hora de determinar el periodo de soporte, los fabricantes también podrán tener en cuenta los periodos de soporte de productos con elementos digitales que ofrezcan una funcionalidad similar introducidos en el mercado por otros fabricantes, la disponibilidad del entorno operativo y los periodos de soporte de los componentes integrados que proporcionan las funciones principales y se obtienen de terceros, así como las orientaciones pertinentes facilitadas por el Grupo de Cooperación Administrativa (ADCO) específico establecido en virtud del artículo 52, apartado 15, y por la Comisión.”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Se parte, por tanto, de la premisa de determinar el periodo de soporte para cada producto en particular, considerando las circunstancias que establece el propio artículo, lo que conduce a una falta de seguridad jurídica. No obstante, con el fin de objetivizar la duración del periodo de soporte, el tercer párrafo del art. 13.8 RCR establece una duración determinada de cinco años. Quizá este plazo de cinco años sea suficiente para los productos con elementos digitales de uso corriente de los consumidores, que quedan desfasados rápidamente por los avances tecnológicos, pero en caso de productos industriales el plazo puede ser mucho más extendido en el tiempo.</w:t>
      </w:r>
      <w:r>
        <w:rPr>
          <w:rStyle w:val="FootnoteReference"/>
          <w:rFonts w:eastAsia="Times New Roman" w:cs="Times New Roman" w:ascii="Times New Roman" w:hAnsi="Times New Roman"/>
          <w:color w:val="000000"/>
          <w:vertAlign w:val="superscript"/>
        </w:rPr>
        <w:footnoteReference w:id="31"/>
      </w:r>
      <w:r>
        <w:rPr>
          <w:rFonts w:eastAsia="Times New Roman" w:cs="Times New Roman" w:ascii="Times New Roman" w:hAnsi="Times New Roman"/>
          <w:color w:val="000000"/>
          <w:lang w:val="es-ES"/>
        </w:rPr>
        <w:t xml:space="preserve"> A mi modo de ver, los fabricantes deben fijar un periodo de soporte acorde con el tiempo de uso previsible, considerando los factores del primer párrafo del art. 13.8 RCR, operando el plazo de cinco años con carácter supletorio y de mínimos, con la salvedad de aquellos productos que se prevea que tengan un periodo de vida útil inferior a los cinco años, en cuyo caso deberá estarse a este periodo más breve (tercer párrafo art. 13.8 RCR). A pesar del esfuerzo el legislador europeo por tratar de individualizar y concretar el periodo de soporte de cada tipo de producto, considero que por la Comisión Europea deberían adoptarse tablas para determinar el periodo de vida útil de los productos y bienes, pues esta es una cuestión que también afecta, por ejemplo, a la responsabilidad contractual del vendedor por falta de conformidad en las compraventas de bienes. El art. 7.1.d) Directiva (UE) 2019/771 se refiere a la durabilidad de los bienes como criterio objetivo de la conformidad.</w:t>
      </w:r>
      <w:r>
        <w:rPr>
          <w:rStyle w:val="FootnoteReference"/>
          <w:rFonts w:eastAsia="Times New Roman" w:cs="Times New Roman" w:ascii="Times New Roman" w:hAnsi="Times New Roman"/>
          <w:color w:val="000000"/>
          <w:vertAlign w:val="superscript"/>
        </w:rPr>
        <w:footnoteReference w:id="32"/>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forma de gestionar las vulnerabilidades después de haber introducido el producto en el mercado es mediante el suministro de actualizaciones de seguridad, que se proporcionarán durante el periodo de soporte. En consecuencia, una vez finalizado el periodo de soporte, los fabricantes pueden dejar de suministrar actualizaciones de seguridad, lo que va a comprometer la ciberseguridad de sus productos, haciéndolos vulnerables frente ataques de terceros. </w:t>
      </w:r>
    </w:p>
    <w:p>
      <w:pPr>
        <w:pStyle w:val="Normal"/>
        <w:numPr>
          <w:ilvl w:val="1"/>
          <w:numId w:val="7"/>
        </w:numPr>
        <w:pBdr/>
        <w:spacing w:lineRule="auto" w:line="276" w:before="0" w:after="20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 </w:t>
      </w:r>
      <w:r>
        <w:rPr>
          <w:rFonts w:eastAsia="Times New Roman" w:cs="Times New Roman" w:ascii="Times New Roman" w:hAnsi="Times New Roman"/>
          <w:i/>
          <w:color w:val="000000"/>
          <w:lang w:val="es-ES"/>
        </w:rPr>
        <w:t>Directiva 2024/2853 (Directiva de responsabilidad por daños causados por productos defectuosos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La Directiva 85/374/CEE</w:t>
      </w:r>
      <w:r>
        <w:rPr>
          <w:rStyle w:val="FootnoteReference"/>
          <w:rFonts w:eastAsia="Times New Roman" w:cs="Times New Roman" w:ascii="Times New Roman" w:hAnsi="Times New Roman"/>
          <w:color w:val="000000"/>
          <w:vertAlign w:val="superscript"/>
        </w:rPr>
        <w:footnoteReference w:id="33"/>
      </w:r>
      <w:r>
        <w:rPr>
          <w:rFonts w:eastAsia="Times New Roman" w:cs="Times New Roman" w:ascii="Times New Roman" w:hAnsi="Times New Roman"/>
          <w:color w:val="000000"/>
          <w:lang w:val="es-ES"/>
        </w:rPr>
        <w:t xml:space="preserve"> quedará derogada con efectos al próximo 9 de diciembre de 2026. Desde su adopción hasta entonces habrá regulado, durante más de 40 años, la responsabilidad de los operadores económicos por los daños causados por productos defectuosos. El pasado 13 de diciembre de 2024 el DOUE publicaba la nueva Directiva 2024/2853, sobre responsabilidad por daños causados por productos defectuosos, que actualmente se encuentra vigente, pero que será aplicable a partir del 9 de diciembre de 2026, la fecha máxima de su transposición (art. 21 DRP).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Una lectura de la DRP permite constatar que sigue, en general, y salvo algunas particularidades, las mismas directrices que la Directiva 85/374/CEE. Aspectos como la responsabilidad en cascada de los operadores económicos que integran la cadena de suministro del producto, la previsión de un régimen cuasi-</w:t>
      </w:r>
      <w:r>
        <w:rPr>
          <w:rFonts w:eastAsia="Times New Roman" w:cs="Times New Roman" w:ascii="Times New Roman" w:hAnsi="Times New Roman"/>
          <w:lang w:val="es-ES"/>
        </w:rPr>
        <w:t>objetivo</w:t>
      </w:r>
      <w:r>
        <w:rPr>
          <w:rFonts w:eastAsia="Times New Roman" w:cs="Times New Roman" w:ascii="Times New Roman" w:hAnsi="Times New Roman"/>
          <w:color w:val="000000"/>
          <w:lang w:val="es-ES"/>
        </w:rPr>
        <w:t xml:space="preserve"> de responsabilidad, el plazo para el ejercicio de acciones contra los operadores económicos y el plazo de caducidad de la acción son pilares sobre los que se asentaba la regulación de la Directiva 85/374/CEE y que siguen presentes en la DRP. La principal causa que ha propiciado la adopción de una nueva directiva en esta materia ha sido la digitalización de los productos, la irrupción de la inteligencia artificial y la economía circular.</w:t>
      </w:r>
      <w:r>
        <w:rPr>
          <w:rStyle w:val="FootnoteReference"/>
          <w:rFonts w:eastAsia="Times New Roman" w:cs="Times New Roman" w:ascii="Times New Roman" w:hAnsi="Times New Roman"/>
          <w:color w:val="000000"/>
          <w:vertAlign w:val="superscript"/>
        </w:rPr>
        <w:footnoteReference w:id="34"/>
      </w:r>
      <w:r>
        <w:rPr>
          <w:rFonts w:eastAsia="Times New Roman" w:cs="Times New Roman" w:ascii="Times New Roman" w:hAnsi="Times New Roman"/>
          <w:color w:val="000000"/>
          <w:lang w:val="es-ES"/>
        </w:rPr>
        <w:t xml:space="preserve">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Por lo que se refiere al objeto de este trabajo, la DRP no dedica ninguna referencia en su articulado a las vulnerabilidades que pueden afectar a los productos. Sin embargo, en algunos de sus considerandos se hace referencia a las vulnerabilidades de productos como una causa de defectuosidad que afecta a la responsabilidad de los operadores económicos. Veamos, pues, </w:t>
      </w:r>
      <w:r>
        <w:rPr>
          <w:rFonts w:eastAsia="Times New Roman" w:cs="Times New Roman" w:ascii="Times New Roman" w:hAnsi="Times New Roman"/>
          <w:lang w:val="es-ES"/>
        </w:rPr>
        <w:t>cómo</w:t>
      </w:r>
      <w:r>
        <w:rPr>
          <w:rFonts w:eastAsia="Times New Roman" w:cs="Times New Roman" w:ascii="Times New Roman" w:hAnsi="Times New Roman"/>
          <w:color w:val="000000"/>
          <w:lang w:val="es-ES"/>
        </w:rPr>
        <w:t xml:space="preserve"> puede articularse la responsabilidad de los operadores económicos por las vulnerabilidades de los productos.</w:t>
      </w:r>
    </w:p>
    <w:p>
      <w:pPr>
        <w:pStyle w:val="Normal"/>
        <w:numPr>
          <w:ilvl w:val="2"/>
          <w:numId w:val="7"/>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del producto por vulnerabilidades de seguridad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DRP ha ampliado las circunstancias para apreciar el carácter defectuoso de un producto, sobre todo, en aras a prever aquellas circunstancias propias de los productos con elementos digitales. En este sentido, se contempla el efecto en el producto de toda capacidad de seguir aprendiendo o adquirir nuevas características después de su introducción en el mercado o puesta en servicio (art. 7.2.c) DRP); el efecto razonablemente previsible en el producto de otros productos de los que se pueda esperar que se utilicen junto con el producto, también mediante interconexión (art. 7.2.d) DRP);  los requisitos de seguridad del producto pertinentes, incluidos los requisitos de ciberseguridad pertinentes para la seguridad (art. 7.2.f) DRP), entre otros.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 pesar del incremento de las circunstancias para apreciar el carácter defectuoso de un producto, se mantiene, como característica indispensable e ineludible de un producto defectuoso, la necesidad de que se produzca un daño. En caso contrario, no obstante encontrarnos ante un producto peligroso o inseguro, si el producto no causa un daño es irrelevante para la responsabilidad de los operadores económicos, manteniendo la existencia de un daño como el presupuesto básico para estar ante un producto defectuoso (art. 5 DRP).</w:t>
      </w:r>
      <w:r>
        <w:rPr>
          <w:rStyle w:val="FootnoteReference"/>
          <w:rFonts w:eastAsia="Times New Roman" w:cs="Times New Roman" w:ascii="Times New Roman" w:hAnsi="Times New Roman"/>
          <w:color w:val="000000"/>
          <w:vertAlign w:val="superscript"/>
        </w:rPr>
        <w:footnoteReference w:id="35"/>
      </w:r>
      <w:r>
        <w:rPr>
          <w:rFonts w:eastAsia="Times New Roman" w:cs="Times New Roman" w:ascii="Times New Roman" w:hAnsi="Times New Roman"/>
          <w:color w:val="000000"/>
          <w:lang w:val="es-ES"/>
        </w:rPr>
        <w:t xml:space="preserve"> Esto no significa que, a pesar de que el producto no haya provocado un daño, las autoridades competentes no deban reaccionar adoptando las medidas restrictivas adecuadas para reducir o anular el riesgo de que el producto provoque un daño. En el ámbito que nos toca, el RCR obliga a las autoridades de vigilancia del mercado nacionales a realizar una evaluación del producto cuando presente un riesgo de ciberseguridad significativo. En caso de confirmarse dicho riesgo, la autoridad de vigilancia deberá dirigirse contra el operador económico a fin de que adopte las medidas correctoras oportunas (art. 54.1 RCR).  </w:t>
      </w:r>
    </w:p>
    <w:p>
      <w:pPr>
        <w:pStyle w:val="Normal"/>
        <w:numPr>
          <w:ilvl w:val="0"/>
          <w:numId w:val="8"/>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por incumplimiento de los requisitos de ciberseguridad (art. 7.2.f) DRP)</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art. 7.2.f) DRP dispone lo siguiente: </w:t>
      </w:r>
      <w:r>
        <w:rPr>
          <w:rFonts w:eastAsia="Times New Roman" w:cs="Times New Roman" w:ascii="Times New Roman" w:hAnsi="Times New Roman"/>
          <w:i/>
          <w:color w:val="000000"/>
          <w:lang w:val="es-ES"/>
        </w:rPr>
        <w:t>“2. Al valorar el carácter defectuoso de un producto, se tendrán en cuenta todas las circunstancias, incluso: f) los requisitos de seguridad del producto pertinentes, incluidos los requisitos de ciberseguridad pertinentes para la seguridad”</w:t>
      </w:r>
      <w:r>
        <w:rPr>
          <w:rFonts w:eastAsia="Times New Roman" w:cs="Times New Roman" w:ascii="Times New Roman" w:hAnsi="Times New Roman"/>
          <w:color w:val="000000"/>
          <w:lang w:val="es-ES"/>
        </w:rPr>
        <w:t xml:space="preserve">. Por tanto, la DRP determina que una de las circunstancias a valorar para apreciar el carácter defectuoso de un producto es el cumplimiento de los requisitos de ciberseguridad pertinentes. En este sentido, tendrán que considerarse los requisitos esenciales de ciberseguridad del Anexo I RCR. </w:t>
      </w:r>
    </w:p>
    <w:p>
      <w:pPr>
        <w:pStyle w:val="Normal"/>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b/>
        <w:t xml:space="preserve">En mi opinión, el art. 7.2.f) DRP utiliza un concepto amplio de cumplimiento de los requisitos de ciberseguridad (considerando núm. 32 </w:t>
      </w:r>
      <w:r>
        <w:rPr>
          <w:rFonts w:eastAsia="Times New Roman" w:cs="Times New Roman" w:ascii="Times New Roman" w:hAnsi="Times New Roman"/>
          <w:i/>
          <w:iCs/>
          <w:color w:val="000000"/>
          <w:lang w:val="es-ES"/>
        </w:rPr>
        <w:t>in fine</w:t>
      </w:r>
      <w:r>
        <w:rPr>
          <w:rFonts w:eastAsia="Times New Roman" w:cs="Times New Roman" w:ascii="Times New Roman" w:hAnsi="Times New Roman"/>
          <w:color w:val="000000"/>
          <w:lang w:val="es-ES"/>
        </w:rPr>
        <w:t xml:space="preserve"> DRP),</w:t>
      </w:r>
      <w:r>
        <w:rPr>
          <w:rStyle w:val="FootnoteReference"/>
          <w:rFonts w:eastAsia="Times New Roman" w:cs="Times New Roman" w:ascii="Times New Roman" w:hAnsi="Times New Roman"/>
          <w:color w:val="000000"/>
          <w:vertAlign w:val="superscript"/>
        </w:rPr>
        <w:footnoteReference w:id="36"/>
      </w:r>
      <w:r>
        <w:rPr>
          <w:rFonts w:eastAsia="Times New Roman" w:cs="Times New Roman" w:ascii="Times New Roman" w:hAnsi="Times New Roman"/>
          <w:color w:val="000000"/>
          <w:lang w:val="es-ES"/>
        </w:rPr>
        <w:t xml:space="preserve"> toda vez que la verificación del cumplimiento de los requisitos esenciales de seguridad del Anexo I RCR, a través del procedimiento correspondiente según la categoría de producto con elementos digitales en cuestión, dará lugar a la presunción de conformidad (art. 27 RCR) y que el producto pueda ser introducido en el mercado o puesto en servicio. Adoptando el criterio normativo, basado en el cumplimiento de los requisitos esenciales de ciberseguridad del Anexo I RCR, implica que se consideraran “ciberseguros” productos que en realidad no lo son, por ejemplo, por el hecho de estar afectados por vulnerabilidades desconocidas que puedan comprometer la ciberseguridad del producto una vez introducido en el mercado.</w:t>
      </w:r>
      <w:r>
        <w:rPr>
          <w:rStyle w:val="FootnoteReference"/>
          <w:rFonts w:eastAsia="Times New Roman" w:cs="Times New Roman" w:ascii="Times New Roman" w:hAnsi="Times New Roman"/>
          <w:color w:val="000000"/>
          <w:vertAlign w:val="superscript"/>
        </w:rPr>
        <w:footnoteReference w:id="37"/>
      </w:r>
      <w:r>
        <w:rPr>
          <w:rFonts w:eastAsia="Times New Roman" w:cs="Times New Roman" w:ascii="Times New Roman" w:hAnsi="Times New Roman"/>
          <w:color w:val="000000"/>
          <w:lang w:val="es-ES"/>
        </w:rPr>
        <w:t xml:space="preserve"> Con todo, el cumplimiento de los requisitos esenciales de ciberseguridad del Anexo I RCR, permitirá presumir que el producto con elementos digitales ha alcanzado un nivel de ciberseguridad óptimo y que, por tanto, pueda ser introducido en el mercado, lo que viene justificado por la imposibilidad de los fabricantes de poder garantizar que su producto es infranqueable por cualquier riesgo de ciberseguridad, como las vulnerabilidades desconocidas. </w:t>
      </w:r>
    </w:p>
    <w:p>
      <w:pPr>
        <w:pStyle w:val="Normal"/>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b/>
        <w:t xml:space="preserve">El legislador europeo es conocedor de esta circunstancia, como se desprende de lo dispuesto en el considerando núm. 111 RCR: </w:t>
      </w:r>
      <w:r>
        <w:rPr>
          <w:rFonts w:eastAsia="Times New Roman" w:cs="Times New Roman" w:ascii="Times New Roman" w:hAnsi="Times New Roman"/>
          <w:i/>
          <w:color w:val="000000"/>
          <w:lang w:val="es-ES"/>
        </w:rPr>
        <w:t xml:space="preserve">“En determinados casos, un producto con elementos digitales que cumpla lo dispuesto en el presente Reglamento puede, no obstante, presentar un riesgo de ciberseguridad significativo o plantear un riesgo para la salud o la seguridad de las personas […]. Es por tanto necesario establecer normas que garanticen la reducción de estos riesgos. En consecuencia, las autoridades de vigilancia del mercado deben adoptar medidas para exigir al operador económico que se asegure de que el producto ya no presenta dicho riesgo, que lo retire del mercado o que lo recupere, dependiendo del riesgo que presente.” </w:t>
      </w:r>
      <w:r>
        <w:rPr>
          <w:rFonts w:eastAsia="Times New Roman" w:cs="Times New Roman" w:ascii="Times New Roman" w:hAnsi="Times New Roman"/>
          <w:color w:val="000000"/>
          <w:lang w:val="es-ES"/>
        </w:rPr>
        <w:t>Por tanto, el principio de cautela se materializa en un control de los riesgos de ciberseguridad del producto en el momento de su introducción en el mercado o puesta en servicio y una monitorización de los riesgos del producto después de su comercialización, que en caso de apreciarse un riesgo significativo obligará a adoptar las medidas correctoras necesarias, que pueden conllevar, incluso, la retirada del producto del mercado.</w:t>
      </w:r>
      <w:r>
        <w:rPr>
          <w:rStyle w:val="FootnoteReference"/>
          <w:rFonts w:eastAsia="Times New Roman" w:cs="Times New Roman" w:ascii="Times New Roman" w:hAnsi="Times New Roman"/>
          <w:color w:val="000000"/>
          <w:vertAlign w:val="superscript"/>
        </w:rPr>
        <w:footnoteReference w:id="38"/>
      </w:r>
    </w:p>
    <w:p>
      <w:pPr>
        <w:pStyle w:val="Normal"/>
        <w:numPr>
          <w:ilvl w:val="0"/>
          <w:numId w:val="8"/>
        </w:numPr>
        <w:pBdr/>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efecto razonablemente previsible en el producto de otros productos (art. 7.2.d) DRP).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En el nuevo paradigma digital, los productos con elementos digitales se caracterizan, entre otras cosas, por su capacidad de interconectarse con otros productos, respecto de los cuales realizan algunas de sus funciones conjuntamente. Este efecto razonablemente previsible de unos productos respecto de otros, como causa de defectuosidad, se encuentra </w:t>
      </w:r>
      <w:r>
        <w:rPr>
          <w:rFonts w:eastAsia="Times New Roman" w:cs="Times New Roman" w:ascii="Times New Roman" w:hAnsi="Times New Roman"/>
          <w:lang w:val="es-ES"/>
        </w:rPr>
        <w:t>previsto</w:t>
      </w:r>
      <w:r>
        <w:rPr>
          <w:rFonts w:eastAsia="Times New Roman" w:cs="Times New Roman" w:ascii="Times New Roman" w:hAnsi="Times New Roman"/>
          <w:color w:val="000000"/>
          <w:lang w:val="es-ES"/>
        </w:rPr>
        <w:t xml:space="preserve"> en el art. 7.2.d) DRP. Veamos que implicaciones tiene esta interconexión de productos en cuanto a las vulnerabilidades que puedan presentar productos que pueden usarse conjuntamente.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Como cuestión preliminar, considero que, para el correcto análisis del art. 7.2.d) DRP debe </w:t>
      </w:r>
      <w:r>
        <w:rPr>
          <w:rFonts w:eastAsia="Times New Roman" w:cs="Times New Roman" w:ascii="Times New Roman" w:hAnsi="Times New Roman"/>
          <w:lang w:val="es-ES"/>
        </w:rPr>
        <w:t>prescindirse de</w:t>
      </w:r>
      <w:r>
        <w:rPr>
          <w:rFonts w:eastAsia="Times New Roman" w:cs="Times New Roman" w:ascii="Times New Roman" w:hAnsi="Times New Roman"/>
          <w:color w:val="000000"/>
          <w:lang w:val="es-ES"/>
        </w:rPr>
        <w:t xml:space="preserve"> la existencia de una relación de accesoriedad entre ambos productos, de suerte que alguno de ellos actúe como un componente respecto del otro.</w:t>
      </w:r>
      <w:r>
        <w:rPr>
          <w:rStyle w:val="FootnoteReference"/>
          <w:rFonts w:eastAsia="Times New Roman" w:cs="Times New Roman" w:ascii="Times New Roman" w:hAnsi="Times New Roman"/>
          <w:color w:val="000000"/>
          <w:vertAlign w:val="superscript"/>
        </w:rPr>
        <w:footnoteReference w:id="39"/>
      </w:r>
      <w:r>
        <w:rPr>
          <w:rFonts w:eastAsia="Times New Roman" w:cs="Times New Roman" w:ascii="Times New Roman" w:hAnsi="Times New Roman"/>
          <w:color w:val="000000"/>
          <w:lang w:val="es-ES"/>
        </w:rPr>
        <w:t xml:space="preserve"> En el ámbito que nos ocupa, en el art. 7.2.d) DRP no subyace la idea de una integración de una parte (componente) respecto del todo (producto), sino que ambos productos, que se encuentran interconectados, no se encuentran subordinados uno respecto del otro. El ejemplo del sistema doméstico inteligente que aparece en el considerando núm. 32 DRP me parece clarificador. Un sistema doméstico inteligente es un ecosistema de productos con elementos digitales interconectados que persigue la seguridad del hogar y de sus habitantes.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Partiendo de la premisa anterior, me planteo que implicaciones tendría una vulnerabilidad de ciberseguridad de un producto respecto de otro. Un ejemplo clarificador podría ser la interconexión existente entre un vehículo y un teléfono inteligente durante la conducción. ¿Una vulnerabilidad del vehículo que diera lugar a la corrupción de datos del teléfono inteligente entraría dentro del art. 7.2.d) DRP? Para dar respuesta a esta cuestión considero que el primer elemento que debe analizarse es qué se entiende por “efecto razonablemente previsible” del art. 7.2.d) DRP, un concepto respecto del cual la DRP no aporta ningún dato interpretativo más allá de la breve referencia en el considerando núm. 32 DRP. No obstante, existe un elemento que sí que está claro según el articulado y los considerandos de la DRP: el “efecto razonablemente previsible” es un concepto diferente del de “uso razonablemente previsible”. Este último aparece presidido claramente por la funcionalidad del producto.</w:t>
      </w:r>
      <w:r>
        <w:rPr>
          <w:rStyle w:val="FootnoteReference"/>
          <w:rFonts w:eastAsia="Times New Roman" w:cs="Times New Roman" w:ascii="Times New Roman" w:hAnsi="Times New Roman"/>
          <w:color w:val="000000"/>
          <w:vertAlign w:val="superscript"/>
        </w:rPr>
        <w:footnoteReference w:id="40"/>
      </w:r>
      <w:r>
        <w:rPr>
          <w:rFonts w:eastAsia="Times New Roman" w:cs="Times New Roman" w:ascii="Times New Roman" w:hAnsi="Times New Roman"/>
          <w:color w:val="000000"/>
          <w:lang w:val="es-ES"/>
        </w:rPr>
        <w:t xml:space="preserve"> En este sentido, el “uso razonablemente previsible” del producto se encuentra reconocido como una circunstancia autónoma para apreciar el carácter defectuoso de un producto (art. 7.2.b) DRP). Considerando el efecto razonablemente previsible como todo aquello que sigue por virtud de la interconexión de productos, no debería haber inconvenientes para admitir una noción amplia de dicho concepto para comprender los efectos negativos de la interconexión relativos a la ciberseguridad.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Si la interpretación que se propone se traslada del “efecto razonablemente previsible” se traslada al ámbito de la ciberseguridad, hay que destacar otro concepto utilizado en el RCR: la conexión directa o indirecta entre sistemas electrónicos (art.3.9) y 10) RCR). A esta circunstancia alude, el considerando núm. 9 </w:t>
      </w:r>
      <w:r>
        <w:rPr>
          <w:rFonts w:eastAsia="Times New Roman" w:cs="Times New Roman" w:ascii="Times New Roman" w:hAnsi="Times New Roman"/>
          <w:i/>
          <w:color w:val="000000"/>
          <w:lang w:val="es-ES"/>
        </w:rPr>
        <w:t>in fine</w:t>
      </w:r>
      <w:r>
        <w:rPr>
          <w:rFonts w:eastAsia="Times New Roman" w:cs="Times New Roman" w:ascii="Times New Roman" w:hAnsi="Times New Roman"/>
          <w:color w:val="000000"/>
          <w:lang w:val="es-ES"/>
        </w:rPr>
        <w:t xml:space="preserve"> RCR. Por tanto, la conexión que puede existir entre dos productos con elementos digitales como la del ejemplo propuesto también debe tenerse en cuenta por los fabricantes en cuanto al “efecto razonablemente previsible”. Es decir, los fabricantes del vehículo y del teléfono inteligente deberán prever, considerando la conexión que puede establecerse entre ellos, que pueden conectarse para el cumplimiento de su finalidad y que, durante la conexión, las vulnerabilidades que presenten los productos conectados pueden afectarles recíprocamente. Tratando de orientar una posible solución al caso propuesto, podría defenderse que, si ambos productos interconectados presentan vulnerabilidades y, como consecuencia de ello, se ha producido la corrupción de datos, el art. 12 DRP determina responsabilidad solidaria de los operadores económicos responsables. En caso contrario, si el defecto sólo es imputable a uno de los dos fabricantes implicados, el segundo no debería responder.</w:t>
      </w:r>
      <w:r>
        <w:rPr>
          <w:rStyle w:val="FootnoteReference"/>
          <w:rFonts w:eastAsia="Times New Roman" w:cs="Times New Roman" w:ascii="Times New Roman" w:hAnsi="Times New Roman"/>
          <w:color w:val="000000"/>
          <w:vertAlign w:val="superscript"/>
        </w:rPr>
        <w:footnoteReference w:id="41"/>
      </w:r>
    </w:p>
    <w:p>
      <w:pPr>
        <w:pStyle w:val="Normal"/>
        <w:numPr>
          <w:ilvl w:val="2"/>
          <w:numId w:val="7"/>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Exoneración y reducción de la responsabilidad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El régimen de responsabilidad cuasi-objetiva que consagra la DRP obviamente prescinde de la culpa como criterio de imputación de responsabilidad. No obstante, tampoco se configura como un régimen de responsabilidad objetivo puro, porque se reconocen ciertes causas de exoneración de responsabilidad que permiten a los operadores económicos eximirse de su responsabilidad.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Repasando el articulado de la DRP, ninguna de las causas de exoneración de responsabilidad se refiere específicamente a las vulnerabilidades de los productos con elementos digitales. Sin embargo, ello no es óbice para hacer una lectura de las mismas en clave de ciberseguridad.</w:t>
      </w:r>
    </w:p>
    <w:p>
      <w:pPr>
        <w:pStyle w:val="Normal"/>
        <w:numPr>
          <w:ilvl w:val="0"/>
          <w:numId w:val="9"/>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Inexistencia de la vulnerabilidad en el momento de la introducción en el mercado o puesta en servicio del producto (art. 11.1.c) DRP). Riesgos por desarrollo (art. 11.1.e) DRP), vulnerabilidades y actualizaciones de seguridad (art. 11.3 DRP)</w:t>
      </w:r>
    </w:p>
    <w:p>
      <w:pPr>
        <w:pStyle w:val="Normal"/>
        <w:pBdr/>
        <w:spacing w:lineRule="auto" w:line="276" w:before="0" w:after="200"/>
        <w:ind w:firstLine="72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El art. 11.1.c) DRP dispone lo siguiente: </w:t>
      </w:r>
      <w:r>
        <w:rPr>
          <w:rFonts w:eastAsia="Times New Roman" w:cs="Times New Roman" w:ascii="Times New Roman" w:hAnsi="Times New Roman"/>
          <w:i/>
          <w:color w:val="000000"/>
          <w:lang w:val="es-ES"/>
        </w:rPr>
        <w:t>“1. Los operadores económicos a que se refiere el artículo 8 no serán responsables de los daños causados por un producto defectuoso si demuestran que: c) que es probable que el carácter defectuoso que haya causado el daño no existiera en el momento en que el producto fue introducido en el mercado, puesto en servicio o, en el caso de un distribuidor, comercializado, o que ese carácter defectuoso se originase después de ese momento”</w:t>
      </w:r>
      <w:r>
        <w:rPr>
          <w:rFonts w:eastAsia="Times New Roman" w:cs="Times New Roman" w:ascii="Times New Roman" w:hAnsi="Times New Roman"/>
          <w:color w:val="000000"/>
          <w:lang w:val="es-ES"/>
        </w:rPr>
        <w:t>.</w:t>
      </w:r>
      <w:r>
        <w:rPr>
          <w:rStyle w:val="FootnoteReference"/>
          <w:rFonts w:eastAsia="Times New Roman" w:cs="Times New Roman" w:ascii="Times New Roman" w:hAnsi="Times New Roman"/>
          <w:color w:val="000000"/>
          <w:vertAlign w:val="superscript"/>
        </w:rPr>
        <w:footnoteReference w:id="42"/>
      </w:r>
      <w:r>
        <w:rPr>
          <w:rFonts w:eastAsia="Times New Roman" w:cs="Times New Roman" w:ascii="Times New Roman" w:hAnsi="Times New Roman"/>
          <w:color w:val="000000"/>
          <w:lang w:val="es-ES"/>
        </w:rPr>
        <w:t xml:space="preserve"> El considerando núm. 50 DRP aporta algunos elementos para interpretar dicha causa de exoneración de responsabilidad, aludiendo expresamente a los programas informáticos o servicios conexos que estén bajo el control del fabricante. Es decir, teniendo en cuenta que las propiedades de los productos con elementos digitales pueden cambiar sustancialmente desde el momento en que fueron introducidos en el mercado debido a las actualizaciones o algoritmos de aprendizaje automático que pueden llevar incorporados, la DRP exonera de responsabilidad a los fabricantes si prueban que el defecto que ha causado el daño no existía en el momento en que el producto fue introducido en el mercado o puesto en servicio.</w:t>
      </w:r>
      <w:r>
        <w:rPr>
          <w:rStyle w:val="FootnoteReference"/>
          <w:rFonts w:eastAsia="Times New Roman" w:cs="Times New Roman" w:ascii="Times New Roman" w:hAnsi="Times New Roman"/>
          <w:color w:val="000000"/>
          <w:vertAlign w:val="superscript"/>
        </w:rPr>
        <w:footnoteReference w:id="43"/>
      </w:r>
      <w:r>
        <w:rPr>
          <w:rFonts w:eastAsia="Times New Roman" w:cs="Times New Roman" w:ascii="Times New Roman" w:hAnsi="Times New Roman"/>
          <w:color w:val="000000"/>
          <w:lang w:val="es-ES"/>
        </w:rPr>
        <w:t xml:space="preserve"> No obstante, considero que la interpretación del art. 11.1.c) DRP mira hacia el futuro, una vez el producto ha sido introducido en el mercado, en lugar de remontarse a las circunstancias existentes en el momento en que el producto se introdujo en el mercado.</w:t>
      </w:r>
      <w:r>
        <w:rPr>
          <w:rStyle w:val="FootnoteReference"/>
          <w:rFonts w:eastAsia="Times New Roman" w:cs="Times New Roman" w:ascii="Times New Roman" w:hAnsi="Times New Roman"/>
          <w:color w:val="000000"/>
          <w:vertAlign w:val="superscript"/>
        </w:rPr>
        <w:footnoteReference w:id="44"/>
      </w:r>
    </w:p>
    <w:p>
      <w:pPr>
        <w:pStyle w:val="Normal"/>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b/>
        <w:t>Si nos planteamos la admisibilidad de esta causa de exoneración de responsabilidad en el ámbito de la ciberseguridad, me planteo la siguiente cuestión: ¿Puede una vulnerabilidad no conocida,</w:t>
      </w:r>
      <w:r>
        <w:rPr>
          <w:rStyle w:val="FootnoteReference"/>
          <w:rFonts w:eastAsia="Times New Roman" w:cs="Times New Roman" w:ascii="Times New Roman" w:hAnsi="Times New Roman"/>
          <w:color w:val="000000"/>
          <w:vertAlign w:val="superscript"/>
        </w:rPr>
        <w:footnoteReference w:id="45"/>
      </w:r>
      <w:r>
        <w:rPr>
          <w:rFonts w:eastAsia="Times New Roman" w:cs="Times New Roman" w:ascii="Times New Roman" w:hAnsi="Times New Roman"/>
          <w:color w:val="000000"/>
          <w:lang w:val="es-ES"/>
        </w:rPr>
        <w:t xml:space="preserve"> pero que existía en el momento de la introducción en el mercado del producto, amparar el recurso a esta causa de exoneración de responsabilidad? Para responder a esta pregunta debemos partir de la premisa que el cumplimiento de los requisitos esenciales de ciberseguridad exige que el producto con elementos digitales no sea introducido en el mercado afectado de vulnerabilidades conocidas (Anexo I Parte I RCR) y que si cumple los requisitos esenciales de ciberseguridad se presume su conformidad. Asimismo, el art. 7.2.f) DRP obliga a considerar, para valorar el carácter defectuoso del producto, si este cumple con los requisitos de ciberseguridad. Por consiguiente, si el producto no está afectado por vulnerabilidades conocidas y, por ende, cumple los requisitos de seguridad, se presume que no es defectuoso.</w:t>
      </w:r>
      <w:r>
        <w:rPr>
          <w:rStyle w:val="FootnoteReference"/>
          <w:rFonts w:eastAsia="Times New Roman" w:cs="Times New Roman" w:ascii="Times New Roman" w:hAnsi="Times New Roman"/>
          <w:color w:val="000000"/>
          <w:lang w:val="es-ES"/>
        </w:rPr>
        <w:footnoteReference w:id="46"/>
      </w:r>
      <w:r>
        <w:rPr>
          <w:rFonts w:eastAsia="Times New Roman" w:cs="Times New Roman" w:ascii="Times New Roman" w:hAnsi="Times New Roman"/>
          <w:color w:val="000000"/>
          <w:lang w:val="es-ES"/>
        </w:rPr>
        <w:t xml:space="preserve"> Por tanto, la primera consecuencia lógica que se desprende del entramado regulatorio es que las vulnerabilidades no conocidas parece que no se contemplan para imputar la responsabilidad a los operadores económicos, que responderían sólo si el producto presenta vulnerabilidades conocidas y que gozan de publicidad.</w:t>
      </w:r>
    </w:p>
    <w:p>
      <w:pPr>
        <w:pStyle w:val="Normal"/>
        <w:pBdr/>
        <w:spacing w:lineRule="auto" w:line="276" w:before="0" w:after="200"/>
        <w:ind w:firstLine="720"/>
        <w:jc w:val="both"/>
        <w:rPr>
          <w:rFonts w:ascii="Times New Roman" w:hAnsi="Times New Roman" w:eastAsia="Times New Roman" w:cs="Times New Roman"/>
          <w:color w:val="000000"/>
          <w:lang w:val="es-ES"/>
        </w:rPr>
      </w:pPr>
      <w:bookmarkStart w:id="2" w:name="_heading=h.v2wsqh98c36g"/>
      <w:bookmarkEnd w:id="2"/>
      <w:r>
        <w:rPr>
          <w:rFonts w:eastAsia="Times New Roman" w:cs="Times New Roman" w:ascii="Times New Roman" w:hAnsi="Times New Roman"/>
          <w:color w:val="000000"/>
          <w:lang w:val="es-ES"/>
        </w:rPr>
        <w:t>Sin embargo, esta conclusión debe ser matizada, pues si bien es cierto que el producto con elementos digitales habrá sido introducido en el mercado sin vulnerabilidades conocidas, es decir, superando un test de conformidad que garantiza, desde un punto de vista formal, que el producto es seguro, ello no es óbice para que los operadores económicos se desentiendan del producto, puesto que se les exige un plus de diligencia durante el periodo de soporte (art. 13.8 RCR), mediante el suministro de actualizaciones de seguridad y la monitorización del producto.</w:t>
      </w:r>
      <w:r>
        <w:rPr>
          <w:rStyle w:val="FootnoteReference"/>
          <w:rFonts w:eastAsia="Times New Roman" w:cs="Times New Roman" w:ascii="Times New Roman" w:hAnsi="Times New Roman"/>
          <w:color w:val="000000"/>
          <w:vertAlign w:val="superscript"/>
        </w:rPr>
        <w:footnoteReference w:id="47"/>
      </w:r>
      <w:r>
        <w:rPr>
          <w:rFonts w:eastAsia="Times New Roman" w:cs="Times New Roman" w:ascii="Times New Roman" w:hAnsi="Times New Roman"/>
          <w:color w:val="000000"/>
          <w:lang w:val="es-ES"/>
        </w:rPr>
        <w:t xml:space="preserve"> El problema de las vulnerabilidades no conocidas en el momento de la introducción en el mercado del producto conduce a la excepción de responsabilidad por los riesgos del desarrollo,</w:t>
      </w:r>
      <w:r>
        <w:rPr>
          <w:rStyle w:val="FootnoteReference"/>
          <w:rFonts w:eastAsia="Times New Roman" w:cs="Times New Roman" w:ascii="Times New Roman" w:hAnsi="Times New Roman"/>
          <w:color w:val="000000"/>
          <w:vertAlign w:val="superscript"/>
        </w:rPr>
        <w:footnoteReference w:id="48"/>
      </w:r>
      <w:r>
        <w:rPr>
          <w:rFonts w:eastAsia="Times New Roman" w:cs="Times New Roman" w:ascii="Times New Roman" w:hAnsi="Times New Roman"/>
          <w:color w:val="000000"/>
          <w:lang w:val="es-ES"/>
        </w:rPr>
        <w:t xml:space="preserve"> prevista en el art. 11.1.e) DRP, ante los riesgos desconocidos (</w:t>
      </w:r>
      <w:r>
        <w:rPr>
          <w:rFonts w:eastAsia="Times New Roman" w:cs="Times New Roman" w:ascii="Times New Roman" w:hAnsi="Times New Roman"/>
          <w:i/>
          <w:color w:val="000000"/>
          <w:lang w:val="es-ES"/>
        </w:rPr>
        <w:t>unknown risks</w:t>
      </w:r>
      <w:r>
        <w:rPr>
          <w:rFonts w:eastAsia="Times New Roman" w:cs="Times New Roman" w:ascii="Times New Roman" w:hAnsi="Times New Roman"/>
          <w:color w:val="000000"/>
          <w:lang w:val="es-ES"/>
        </w:rPr>
        <w:t>)</w:t>
      </w:r>
      <w:r>
        <w:rPr>
          <w:rStyle w:val="FootnoteReference"/>
          <w:rFonts w:eastAsia="Times New Roman" w:cs="Times New Roman" w:ascii="Times New Roman" w:hAnsi="Times New Roman"/>
          <w:color w:val="000000"/>
          <w:vertAlign w:val="superscript"/>
        </w:rPr>
        <w:footnoteReference w:id="49"/>
      </w:r>
      <w:r>
        <w:rPr>
          <w:rFonts w:eastAsia="Times New Roman" w:cs="Times New Roman" w:ascii="Times New Roman" w:hAnsi="Times New Roman"/>
          <w:color w:val="000000"/>
          <w:lang w:val="es-ES"/>
        </w:rPr>
        <w:t xml:space="preserve"> según en estado de la ciencia y de la técnica.</w:t>
      </w:r>
      <w:r>
        <w:rPr>
          <w:rStyle w:val="FootnoteReference"/>
          <w:rFonts w:eastAsia="Times New Roman" w:cs="Times New Roman" w:ascii="Times New Roman" w:hAnsi="Times New Roman"/>
          <w:color w:val="000000"/>
          <w:vertAlign w:val="superscript"/>
        </w:rPr>
        <w:footnoteReference w:id="50"/>
      </w:r>
      <w:r>
        <w:rPr>
          <w:rFonts w:eastAsia="Times New Roman" w:cs="Times New Roman" w:ascii="Times New Roman" w:hAnsi="Times New Roman"/>
          <w:color w:val="000000"/>
          <w:lang w:val="es-ES"/>
        </w:rPr>
        <w:t xml:space="preserve"> El considerando núm. 52 DRP aborda esta cuestión: </w:t>
      </w:r>
      <w:r>
        <w:rPr>
          <w:rFonts w:eastAsia="Times New Roman" w:cs="Times New Roman" w:ascii="Times New Roman" w:hAnsi="Times New Roman"/>
          <w:i/>
          <w:color w:val="000000"/>
          <w:lang w:val="es-ES"/>
        </w:rPr>
        <w:t>“En aras de un reparto equitativo de los riesgos, los operadores económicos deben quedar exentos de responsabilidad si demuestran que el estado de los conocimientos científicos y técnicos, determinado con referencia al nivel más avanzado de conocimiento objetivo accesible y no al conocimiento efectivo del operador económico en cuestión, durante el periodo en que el producto estaba bajo el control del fabricante, era tal que no podía detectarse su carácter defectuoso.”</w:t>
      </w:r>
      <w:r>
        <w:rPr>
          <w:rFonts w:eastAsia="Times New Roman" w:cs="Times New Roman" w:ascii="Times New Roman" w:hAnsi="Times New Roman"/>
          <w:color w:val="000000"/>
          <w:lang w:val="es-ES"/>
        </w:rPr>
        <w:t xml:space="preserve"> Repárese que la referencia al “nivel más avanzado de conocimiento objetivo accesible”</w:t>
      </w:r>
      <w:r>
        <w:rPr>
          <w:rStyle w:val="FootnoteReference"/>
          <w:rFonts w:eastAsia="Times New Roman" w:cs="Times New Roman" w:ascii="Times New Roman" w:hAnsi="Times New Roman"/>
          <w:color w:val="000000"/>
          <w:vertAlign w:val="superscript"/>
        </w:rPr>
        <w:footnoteReference w:id="51"/>
      </w:r>
      <w:r>
        <w:rPr>
          <w:rFonts w:eastAsia="Times New Roman" w:cs="Times New Roman" w:ascii="Times New Roman" w:hAnsi="Times New Roman"/>
          <w:color w:val="000000"/>
          <w:lang w:val="es-ES"/>
        </w:rPr>
        <w:t xml:space="preserve"> permite abogar por una imputación de la responsabilidad al fabricante ante vulnerabilidades conocidas, que son las que se reportan y publican en la base de datos europea de vulnerabilidades, lo que permite que el conocimiento sea compartido entre todos los operadores económicos, en especial los fabricantes. A mi modo de ver, el elemento fundamental para apreciar la concurrencia de los riesgos por desarrollo es que el defecto, en nuestro caso la vulnerabilidad, no pudiera detectarse cuando el producto fue introducido en el mercado según el estado más avanzado del conocimiento. Por consiguiente habría la posibilidad de que los fabricantes excusaran su responsabilidad si el defecto no podía ser detectado ni subsanado mediante actualizaciones de seguridad.</w:t>
      </w:r>
      <w:r>
        <w:rPr>
          <w:rStyle w:val="FootnoteReference"/>
          <w:rFonts w:eastAsia="Times New Roman" w:cs="Times New Roman" w:ascii="Times New Roman" w:hAnsi="Times New Roman"/>
          <w:color w:val="000000"/>
          <w:vertAlign w:val="superscript"/>
        </w:rPr>
        <w:footnoteReference w:id="52"/>
      </w:r>
      <w:r>
        <w:rPr>
          <w:rFonts w:eastAsia="Times New Roman" w:cs="Times New Roman" w:ascii="Times New Roman" w:hAnsi="Times New Roman"/>
          <w:color w:val="000000"/>
          <w:lang w:val="es-ES"/>
        </w:rPr>
        <w:t xml:space="preserve"> En caso contrario, si la vulnerabilidad era desconocida cuando el producto se introdujo en el mercado, pero se detectó, como una vulnerabilidad aprovechable durante el periodo de soporte, el fabricante estará obligado a reportarla a la base de datos europeo de vulnerabilidades y a repararla de forma inmediata mediante una actualización de seguridad, sin que pueda excusarse su responsabilidad (art. 11.2 DRP), sin perjuicio de que la responsabilidad recaiga en la propia víctima si evita la instalación de las actualizaciones de seguridad (considerando núm. 51 DRP).</w:t>
      </w:r>
      <w:r>
        <w:rPr>
          <w:rFonts w:eastAsia="Times New Roman" w:cs="Times New Roman" w:ascii="Times New Roman" w:hAnsi="Times New Roman"/>
          <w:color w:val="000000"/>
          <w:vertAlign w:val="superscript"/>
          <w:lang w:val="es-ES"/>
        </w:rPr>
        <w:t>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Sin embargo, como se verá en el epígrafe siguiente, la opción del legislador europeo, aunque no se pronuncia expresamente al respecto, no parece que se incline por admitir los riesgos del desarrollo en el ámbito de las vulnerabilidades de productos, principalmente porque cuando un tercero explota una vulnerabilidad no conocida nos encontramos, según el considerando núm. 55 DRP, ante la concurrencia de un defecto (la vulnerabilidad de un producto) y la acción de un tercero, problema que nos conduce dentro del ámbito del art.13.1 DRP. La acción de un tercero que explota el defecto del producto nos sitúa fuera de la posible admisibilidad, en este ámbito, de los riesgos por desarrollo.</w:t>
      </w:r>
    </w:p>
    <w:p>
      <w:pPr>
        <w:pStyle w:val="Normal"/>
        <w:numPr>
          <w:ilvl w:val="0"/>
          <w:numId w:val="9"/>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Intervención de tercero y explotación de vulnerabilidades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En aras a la protección de la víctima cuando varios operadores económicos puedan haber intervenido en la provocación del daño, el art. 12 DRP prevé la responsabilidad solidaria de los operadores económicos, un principio que ya estaba presente en la Directiva 85/374/CEE. Con la responsabilidad solidaria se evita que la víctima haya de determinar a cuál de los operadores que ha intervenido en la cadena de fabricación y distribución del producto deba imputarse la responsabilidad del daño. En caso contrario, la víctima se vería abocada a asumir cuantiosos gastos para preparar la prueba y determinar, asumiendo el riesgo de costas en juicio, cuál de los operadores debe responder. La responsabilidad solidaria asegura que, probando la implicación del responsable en el daño, la demanda de reclamación de responsabilidad esté correctamente interpuesta, sin perjuicio del derecho de repetición que el art. 12 DRP deja en manos del Derecho interno.</w:t>
      </w:r>
      <w:r>
        <w:rPr>
          <w:rStyle w:val="FootnoteReference"/>
          <w:rFonts w:eastAsia="Times New Roman" w:cs="Times New Roman" w:ascii="Times New Roman" w:hAnsi="Times New Roman"/>
          <w:color w:val="000000"/>
          <w:vertAlign w:val="superscript"/>
        </w:rPr>
        <w:footnoteReference w:id="53"/>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En el ámbito de la explotación de vulnerabilidades en productos, adquiere especial relevancia la previsión contenida en el art. 13.1 DRP: </w:t>
      </w:r>
      <w:r>
        <w:rPr>
          <w:rFonts w:eastAsia="Times New Roman" w:cs="Times New Roman" w:ascii="Times New Roman" w:hAnsi="Times New Roman"/>
          <w:i/>
          <w:color w:val="000000"/>
          <w:lang w:val="es-ES"/>
        </w:rPr>
        <w:t xml:space="preserve">“Sin perjuicio del Derecho nacional en materia de derechos de división de la responsabilidad o de repetición, los Estados miembros garantizarán que la responsabilidad de un operador económico no se reduzca o anule cuando los daños sean causados tanto por el carácter defectuoso de un producto como por un acto u omisión de un tercero.” </w:t>
      </w:r>
      <w:r>
        <w:rPr>
          <w:rFonts w:eastAsia="Times New Roman" w:cs="Times New Roman" w:ascii="Times New Roman" w:hAnsi="Times New Roman"/>
          <w:color w:val="000000"/>
          <w:lang w:val="es-ES"/>
        </w:rPr>
        <w:t xml:space="preserve">El considerando núm. 55 DRP alude al problema de las vulnerabilidades en productos en materia de reducción de responsabilidad de los operadores económicos. La solución adoptada es tajante y deja sin margen de maniobra a los operadores económicos para reducir su responsabilidad: no podrá reducirse cuando el producto sea defectuoso, por ejemplo, por alguna vulnerabilidad que debilita su ciberseguridad, salvo que el producto haya sido atacado por culpa de la propia víctima, que no ha instalado las actualizaciones de seguridad pertinentes (art. 13.2 DRP).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Técnicamente, considero que el legislador está pensando en las vulnerabilidades aprovechables, es decir, aquellas que en condiciones operativas prácticas pueden ser explotadas por terceros malintencionados (art. 3.41) RCR).</w:t>
      </w:r>
      <w:r>
        <w:rPr>
          <w:rStyle w:val="FootnoteReference"/>
          <w:rFonts w:eastAsia="Times New Roman" w:cs="Times New Roman" w:ascii="Times New Roman" w:hAnsi="Times New Roman"/>
          <w:color w:val="000000"/>
          <w:lang w:val="es-ES"/>
        </w:rPr>
        <w:footnoteReference w:id="54"/>
      </w:r>
      <w:r>
        <w:rPr>
          <w:rFonts w:eastAsia="Times New Roman" w:cs="Times New Roman" w:ascii="Times New Roman" w:hAnsi="Times New Roman"/>
          <w:color w:val="000000"/>
          <w:lang w:val="es-ES"/>
        </w:rPr>
        <w:t xml:space="preserve"> En este escenario, si el agente externo ha sido más eficaz que el propio fabricante, quien no ha detectado la vulnerabilidad aprovechable o, habiéndola detectado, no ha suministrado la actualización de seguridad pertinente para subsanarla, es lógico que el operador económico no pueda reducirse su responsabilidad porque el incumplimiento es doble: la no detección de la vulnerabilidad y la falta de reacción tempestiva. En consecuencia, en estos casos de explotación de vulnerabilidades, la víctima accionará correctamente dirigiéndose contra el operador económico responsable, no habiendo de demandar al tercero, en muchas ocasiones desconocido, que haya triunfado en su intento de explotar la vulnerabilidad del producto.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mi opinión, nada empece a que estemos ante vulnerabilidades no conocidas, dado que la diligencia que debe adoptar el fabricante debe extremarse hasta el punto de monitorizar los riesgos del producto a fin de poder mantener la ciberseguridad del producto durante todo el periodo de soporte (art. 13.7 RCR), especialmente en aquello referido a las vulnerabilidades. </w:t>
      </w:r>
    </w:p>
    <w:p>
      <w:pPr>
        <w:pStyle w:val="Normal"/>
        <w:numPr>
          <w:ilvl w:val="2"/>
          <w:numId w:val="7"/>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Periodo de soporte (art. 13.8 RCR) y plazo de caducidad (art. 17 DRP)</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DRP sigue estableciendo un plazo de caducidad de las acciones contra los operadores económicos de 10 años, a contar desde que el producto fue introducido en el mercado o puesto en servicio, salvo que sobre el producto se haya realizado una modificación sustancial, lo que conllevará el reinicio del plazo de caducidad a partir de este momento (art. 17 DRP). Se trata de un elemento que no es novedoso, pues la Directiva 85/374/CEE preveía el mismo plazo de caducidad. La finalidad de dicho plazo no es otra que, en aras a la seguridad jurídica, los operadores económicos no queden expuestos indefinidamente a responsabilidad por los daños causados por sus productos.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plazo de caducidad de 10 años del art. 17 DRP no es equiparable al plazo de duración del periodo de soporte que el art. 13.8 RCR fija en cinco años, salvo que considerando el producto con elementos digitales en cuestión requiera un plazo de soporte más largo, teniendo en cuenta, fundamentalmente, el periodo que se prevea que el producto va a ser utilizado, las expectativas razonables de los usuarios, la naturaleza del producto y el Derecho de la Unión. Podría darse el caso, por ejemplo, de la fijación de un periodo de soporte con una duración de cinco años para un ordenador y que, pasado este plazo de tiempo, el fabricante dejará de suministrar actualizaciones de seguridad. ¿Qué ocurrirá si aparece una vulnerabilidad en el producto después de transcurrir el periodo de soporte y antes de que finalice el plazo de caducidad del art. 17 DRP y como consecuencia de ello se produce un daño? Es un problema que podría plantearse dada la desarmonía de los plazos de ambas regulaciones, pues el fabricante se vería obligado a seguir respondiendo por los daños causados como consecuencia de las vulnerabilidades de ciberseguridad de sus productos, a pesar de no tener la obligación de subsanarlas mediante actualizaciones de seguridad, lo que no aporta seguridad jurídica.  Un plazo del periodo de soporte fijado en cinco años podría ser adecuado para la mayor parte de productos con elementos digitales que utilizan los consumidores, que quedan rápidamente desfasados por las actualizaciones del software. No obstante, los productos con elementos digitales empleados en el sector industrial sí que podrían tener un periodo de soporte más largo, que podría coincidir con el plazo de caducidad del art. 17 DRP.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Con todo, la desarmonía de los plazos justificaría la crítica al art. 13.8 RCR por razones de falta de seguridad jurídica y de coherencia con la DRP, y por razones de sostenibilidad, dado que la falta de suministro de actualizaciones de seguridad puede incentivar a los particulares a renovar los productos con elementos digitales.</w:t>
      </w:r>
    </w:p>
    <w:p>
      <w:pPr>
        <w:pStyle w:val="Normal"/>
        <w:numPr>
          <w:ilvl w:val="0"/>
          <w:numId w:val="7"/>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Conclusiones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b/>
          <w:color w:val="000000"/>
          <w:lang w:val="es-ES"/>
        </w:rPr>
        <w:t xml:space="preserve">Primera: </w:t>
      </w:r>
      <w:r>
        <w:rPr>
          <w:rFonts w:eastAsia="Times New Roman" w:cs="Times New Roman" w:ascii="Times New Roman" w:hAnsi="Times New Roman"/>
          <w:color w:val="000000"/>
          <w:lang w:val="es-ES"/>
        </w:rPr>
        <w:t>En cuanto a la circunstancia para apreciar el carácter defectuoso del art. 7.2.f) DRP, se constata que se asienta sobre un cumplimiento formal de los requisitos de seguridad y, en nuestro caso, de ciberseguridad. El cumplimiento de los requisitos esenciales de ciberseguridad del Anexo I Parte I RCR no garantiza que el producto con elementos digitales no esté afectado por ninguna vulnerabilidad en el momento de ser introducido en el mercado o puesto en servicio, toda vez que pueden existir vulnerabilidades no conocidas que se pongan de manifiesto en el futuro, con las consecuencias que esto conlleva para los fabricantes de subsanarlas mediante actualizaciones de seguridad.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b/>
          <w:color w:val="000000"/>
          <w:lang w:val="es-ES"/>
        </w:rPr>
        <w:t>Segunda:</w:t>
      </w:r>
      <w:r>
        <w:rPr>
          <w:rFonts w:eastAsia="Times New Roman" w:cs="Times New Roman" w:ascii="Times New Roman" w:hAnsi="Times New Roman"/>
          <w:color w:val="000000"/>
          <w:lang w:val="es-ES"/>
        </w:rPr>
        <w:t xml:space="preserve"> Respecto del “efecto razonablemente previsible” del producto sobre otros productos (art. 7.2.d) DRP), se aboga por una interpretación amplia que incluya los efectos que la ciberseguridad puede acarrear para los productos con los que se conecte el producto. La expresa referencia a la “interconexión” de productos que refiere este artículo y las diferencias existentes entre este concepto y el “uso razonablemente previsible” abogan por un efecto razonablemente previsible no limitado a la funcionalidad del producto y que, por tanto, debe abarcar todos los posibles efectos de la conexión de productos, incluida la ciberseguridad.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b/>
          <w:color w:val="000000"/>
          <w:lang w:val="es-ES"/>
        </w:rPr>
        <w:t>Tercera:</w:t>
      </w:r>
      <w:r>
        <w:rPr>
          <w:rFonts w:eastAsia="Times New Roman" w:cs="Times New Roman" w:ascii="Times New Roman" w:hAnsi="Times New Roman"/>
          <w:color w:val="000000"/>
          <w:lang w:val="es-ES"/>
        </w:rPr>
        <w:t xml:space="preserve"> En la línea de la doctrina mayoritaria, se defiende la no aplicabilidad de la excepción de responsabilidad de los riesgos por desarrollo a los daños causados por la inteligencia artificial. Este posicionamiento, a mi modo de ver, puede extrapolarse al problema de las vulnerabilidades no conocidas en el momento en que el producto es introducido en el mercado o puesto en servicio. En este caso, la concurrencia de un tercero malintencionado que explota la vulnerabilidad y el defecto del producto (la vulnerabilidad) nos sitúan en el ámbito del art. 13.1 DRP, que imposibilita que la responsabilidad del fabricante se reduzca cuando concurran ambos elementos.</w:t>
      </w:r>
    </w:p>
    <w:p>
      <w:pPr>
        <w:pStyle w:val="Normal"/>
        <w:pBdr/>
        <w:spacing w:lineRule="auto" w:line="276" w:before="0" w:after="200"/>
        <w:ind w:firstLine="510"/>
        <w:jc w:val="both"/>
        <w:rPr>
          <w:rFonts w:ascii="Times New Roman" w:hAnsi="Times New Roman" w:eastAsia="Times New Roman" w:cs="Times New Roman"/>
          <w:b/>
          <w:color w:val="000000"/>
          <w:lang w:val="es-ES"/>
        </w:rPr>
      </w:pPr>
      <w:r>
        <w:rPr>
          <w:rFonts w:eastAsia="Times New Roman" w:cs="Times New Roman" w:ascii="Times New Roman" w:hAnsi="Times New Roman"/>
          <w:b/>
          <w:color w:val="000000"/>
          <w:lang w:val="es-ES"/>
        </w:rPr>
        <w:t>Cuarta:</w:t>
      </w:r>
      <w:r>
        <w:rPr>
          <w:rFonts w:eastAsia="Times New Roman" w:cs="Times New Roman" w:ascii="Times New Roman" w:hAnsi="Times New Roman"/>
          <w:color w:val="000000"/>
          <w:lang w:val="es-ES"/>
        </w:rPr>
        <w:t xml:space="preserve"> La previsión de un periodo de soporte con carácter subsidiario de cinco años (art. 13.8 RCR) y de un plazo de caducidad de diez años (art. 17 DRP) conduce al sinsentido de que la monitorización del producto por el fabricante pueda ser inferior al plazo de responsabilidad del fabricante. La previsión de un periodo de soporte subsidiario más largo, habría conducido a mejorar la seguridad jurídica de los operadores económicos y la sostenibilidad de los productos. Si bien es cierto que el art. 13.8 RCR parte de la premisa de fijar un periodo de soporte singular para cada producto con elementos digitales, no es menos cierto que la subsidiariedad del plazo de cinco años puede conducir a rebajar las expectativas de ciberseguridad de los productos.</w:t>
      </w:r>
    </w:p>
    <w:p>
      <w:pPr>
        <w:pStyle w:val="Normal"/>
        <w:numPr>
          <w:ilvl w:val="0"/>
          <w:numId w:val="7"/>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Bibliografía</w:t>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Atienza Navarro</w:t>
      </w:r>
      <w:r>
        <w:rPr>
          <w:rFonts w:eastAsia="PT Serif" w:cs="PT Serif" w:ascii="PT Serif" w:hAnsi="PT Serif"/>
          <w:color w:val="000000"/>
          <w:sz w:val="20"/>
          <w:szCs w:val="20"/>
        </w:rPr>
        <w:t xml:space="preserve">, María Luisa., «¿Una nueva responsabilidad por productos defectuosos? Notas a la Propuesta de Directiva del Parlamento Europeo y del Consejo sobre responsabilidad por daños causados por productos defectuosos de 28 de septiembre de 2022 (COM/2022/495)», </w:t>
      </w:r>
      <w:r>
        <w:rPr>
          <w:rFonts w:eastAsia="PT Serif" w:cs="PT Serif" w:ascii="PT Serif" w:hAnsi="PT Serif"/>
          <w:i/>
          <w:color w:val="000000"/>
          <w:sz w:val="20"/>
          <w:szCs w:val="20"/>
        </w:rPr>
        <w:t xml:space="preserve">Indret, </w:t>
      </w:r>
      <w:r>
        <w:rPr>
          <w:rFonts w:eastAsia="PT Serif" w:cs="PT Serif" w:ascii="PT Serif" w:hAnsi="PT Serif"/>
          <w:color w:val="000000"/>
          <w:sz w:val="20"/>
          <w:szCs w:val="20"/>
        </w:rPr>
        <w:t>2, 2023, pp. 1 ss.</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Aziz al Kabir</w:t>
      </w:r>
      <w:r>
        <w:rPr>
          <w:rFonts w:eastAsia="PT Serif" w:cs="PT Serif" w:ascii="PT Serif" w:hAnsi="PT Serif"/>
          <w:color w:val="000000"/>
          <w:sz w:val="20"/>
          <w:szCs w:val="20"/>
          <w:lang w:val="en-CA"/>
        </w:rPr>
        <w:t>, Mohammed/</w:t>
      </w:r>
      <w:r>
        <w:rPr>
          <w:rFonts w:eastAsia="PT Serif" w:cs="PT Serif" w:ascii="PT Serif" w:hAnsi="PT Serif"/>
          <w:smallCaps/>
          <w:color w:val="000000"/>
          <w:sz w:val="20"/>
          <w:szCs w:val="20"/>
          <w:lang w:val="en-CA"/>
        </w:rPr>
        <w:t>Elmedany</w:t>
      </w:r>
      <w:r>
        <w:rPr>
          <w:rFonts w:eastAsia="PT Serif" w:cs="PT Serif" w:ascii="PT Serif" w:hAnsi="PT Serif"/>
          <w:color w:val="000000"/>
          <w:sz w:val="20"/>
          <w:szCs w:val="20"/>
          <w:lang w:val="en-CA"/>
        </w:rPr>
        <w:t>, Wael/</w:t>
      </w:r>
      <w:r>
        <w:rPr>
          <w:rFonts w:eastAsia="PT Serif" w:cs="PT Serif" w:ascii="PT Serif" w:hAnsi="PT Serif"/>
          <w:smallCaps/>
          <w:color w:val="000000"/>
          <w:sz w:val="20"/>
          <w:szCs w:val="20"/>
          <w:lang w:val="en-CA"/>
        </w:rPr>
        <w:t>Saeed Sharif</w:t>
      </w:r>
      <w:r>
        <w:rPr>
          <w:rFonts w:eastAsia="PT Serif" w:cs="PT Serif" w:ascii="PT Serif" w:hAnsi="PT Serif"/>
          <w:color w:val="000000"/>
          <w:sz w:val="20"/>
          <w:szCs w:val="20"/>
          <w:lang w:val="en-CA"/>
        </w:rPr>
        <w:t xml:space="preserve">, Mhd., «Securing IoT devices against emerging security threats: challenges and mitigation techniques», </w:t>
      </w:r>
      <w:r>
        <w:rPr>
          <w:rFonts w:eastAsia="PT Serif" w:cs="PT Serif" w:ascii="PT Serif" w:hAnsi="PT Serif"/>
          <w:i/>
          <w:color w:val="000000"/>
          <w:sz w:val="20"/>
          <w:szCs w:val="20"/>
          <w:lang w:val="en-CA"/>
        </w:rPr>
        <w:t>Journal of Cyber Security Technology</w:t>
      </w:r>
      <w:r>
        <w:rPr>
          <w:rFonts w:eastAsia="PT Serif" w:cs="PT Serif" w:ascii="PT Serif" w:hAnsi="PT Serif"/>
          <w:color w:val="000000"/>
          <w:sz w:val="20"/>
          <w:szCs w:val="20"/>
          <w:lang w:val="en-CA"/>
        </w:rPr>
        <w:t>, 7, 2023, pp. 199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lang w:val="en-CA"/>
        </w:rPr>
        <w:t>Bertuzzi</w:t>
      </w:r>
      <w:r>
        <w:rPr>
          <w:rFonts w:eastAsia="PT Serif" w:cs="PT Serif" w:ascii="PT Serif" w:hAnsi="PT Serif"/>
          <w:color w:val="000000"/>
          <w:sz w:val="20"/>
          <w:szCs w:val="20"/>
          <w:lang w:val="en-CA"/>
        </w:rPr>
        <w:t xml:space="preserve">, Luca., «EU Council moves to adjust product lifecycle, reporting in new cybersecurity law», 2023. </w:t>
      </w:r>
      <w:r>
        <w:rPr>
          <w:rFonts w:eastAsia="PT Serif" w:cs="PT Serif" w:ascii="PT Serif" w:hAnsi="PT Serif"/>
          <w:color w:val="000000"/>
          <w:sz w:val="20"/>
          <w:szCs w:val="20"/>
        </w:rPr>
        <w:t xml:space="preserve">Puede consultarse en: </w:t>
      </w:r>
      <w:hyperlink r:id="rId2">
        <w:r>
          <w:rPr>
            <w:rStyle w:val="Style"/>
            <w:rFonts w:eastAsia="PT Serif" w:cs="PT Serif" w:ascii="PT Serif" w:hAnsi="PT Serif"/>
            <w:sz w:val="20"/>
            <w:szCs w:val="20"/>
          </w:rPr>
          <w:t>https://www.euractiv.com/section/tech/news/eu-council-moves-to-adjust-product-lifecycle-reporting-in-new-cybersecurity-law/</w:t>
        </w:r>
      </w:hyperlink>
      <w:r>
        <w:rPr>
          <w:rFonts w:eastAsia="PT Serif" w:cs="PT Serif" w:ascii="PT Serif" w:hAnsi="PT Serif"/>
          <w:sz w:val="20"/>
          <w:szCs w:val="20"/>
        </w:rPr>
        <w:t xml:space="preserve">. </w:t>
      </w:r>
      <w:r>
        <w:rPr>
          <w:rFonts w:eastAsia="PT Serif" w:cs="PT Serif" w:ascii="PT Serif" w:hAnsi="PT Serif"/>
          <w:color w:val="000000"/>
          <w:sz w:val="20"/>
          <w:szCs w:val="20"/>
        </w:rPr>
        <w:t xml:space="preserve">Consulta realizada el día 31 de mayo de 2025. </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Borghetti</w:t>
      </w:r>
      <w:r>
        <w:rPr>
          <w:rFonts w:eastAsia="PT Serif" w:cs="PT Serif" w:ascii="PT Serif" w:hAnsi="PT Serif"/>
          <w:color w:val="000000"/>
          <w:sz w:val="20"/>
          <w:szCs w:val="20"/>
          <w:lang w:val="en-CA"/>
        </w:rPr>
        <w:t xml:space="preserve">, Jean-Sébastien., «Taking EU Product Liability Law seriously: How can the Product Liability Directive effectively contribute to consumer protection?», </w:t>
      </w:r>
      <w:r>
        <w:rPr>
          <w:rFonts w:eastAsia="PT Serif" w:cs="PT Serif" w:ascii="PT Serif" w:hAnsi="PT Serif"/>
          <w:i/>
          <w:color w:val="000000"/>
          <w:sz w:val="20"/>
          <w:szCs w:val="20"/>
          <w:lang w:val="en-CA"/>
        </w:rPr>
        <w:t>French Journal of Legal Policy</w:t>
      </w:r>
      <w:r>
        <w:rPr>
          <w:rFonts w:eastAsia="PT Serif" w:cs="PT Serif" w:ascii="PT Serif" w:hAnsi="PT Serif"/>
          <w:color w:val="000000"/>
          <w:sz w:val="20"/>
          <w:szCs w:val="20"/>
          <w:lang w:val="en-CA"/>
        </w:rPr>
        <w:t>, 1, 2023,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18"/>
          <w:szCs w:val="18"/>
          <w:lang w:val="en-CA"/>
        </w:rPr>
      </w:pPr>
      <w:r>
        <w:rPr>
          <w:rFonts w:eastAsia="PT Serif" w:cs="PT Serif" w:ascii="PT Serif" w:hAnsi="PT Serif"/>
          <w:smallCaps/>
          <w:sz w:val="20"/>
          <w:szCs w:val="20"/>
          <w:lang w:val="en-CA"/>
        </w:rPr>
        <w:t xml:space="preserve">Blythe, </w:t>
      </w:r>
      <w:r>
        <w:rPr>
          <w:rFonts w:eastAsia="PT Serif" w:cs="PT Serif" w:ascii="PT Serif" w:hAnsi="PT Serif"/>
          <w:sz w:val="20"/>
          <w:szCs w:val="20"/>
          <w:lang w:val="en-CA"/>
        </w:rPr>
        <w:t>John M/</w:t>
      </w:r>
      <w:r>
        <w:rPr>
          <w:rFonts w:eastAsia="PT Serif" w:cs="PT Serif" w:ascii="PT Serif" w:hAnsi="PT Serif"/>
          <w:smallCaps/>
          <w:sz w:val="20"/>
          <w:szCs w:val="20"/>
          <w:lang w:val="en-CA"/>
        </w:rPr>
        <w:t xml:space="preserve">Sombaruang, </w:t>
      </w:r>
      <w:r>
        <w:rPr>
          <w:rFonts w:eastAsia="PT Serif" w:cs="PT Serif" w:ascii="PT Serif" w:hAnsi="PT Serif"/>
          <w:sz w:val="20"/>
          <w:szCs w:val="20"/>
          <w:lang w:val="en-CA"/>
        </w:rPr>
        <w:t>Nissy/</w:t>
      </w:r>
      <w:r>
        <w:rPr>
          <w:rFonts w:eastAsia="PT Serif" w:cs="PT Serif" w:ascii="PT Serif" w:hAnsi="PT Serif"/>
          <w:smallCaps/>
          <w:sz w:val="20"/>
          <w:szCs w:val="20"/>
          <w:lang w:val="en-CA"/>
        </w:rPr>
        <w:t xml:space="preserve">Johnson, </w:t>
      </w:r>
      <w:r>
        <w:rPr>
          <w:rFonts w:eastAsia="PT Serif" w:cs="PT Serif" w:ascii="PT Serif" w:hAnsi="PT Serif"/>
          <w:sz w:val="20"/>
          <w:szCs w:val="20"/>
          <w:lang w:val="en-CA"/>
        </w:rPr>
        <w:t xml:space="preserve">Shane D., «What security features and crime prevention advice is communicated in consumer IoT device manuals and support pages?», </w:t>
      </w:r>
      <w:r>
        <w:rPr>
          <w:rFonts w:eastAsia="PT Serif" w:cs="PT Serif" w:ascii="PT Serif" w:hAnsi="PT Serif"/>
          <w:i/>
          <w:sz w:val="20"/>
          <w:szCs w:val="20"/>
          <w:lang w:val="en-CA"/>
        </w:rPr>
        <w:t xml:space="preserve">Journal of cybersecurity, </w:t>
      </w:r>
      <w:r>
        <w:rPr>
          <w:rFonts w:eastAsia="PT Serif" w:cs="PT Serif" w:ascii="PT Serif" w:hAnsi="PT Serif"/>
          <w:sz w:val="20"/>
          <w:szCs w:val="20"/>
          <w:lang w:val="en-CA"/>
        </w:rPr>
        <w:t xml:space="preserve">0, 2019, p. 1-10. </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Bueno Biot</w:t>
      </w:r>
      <w:r>
        <w:rPr>
          <w:rFonts w:eastAsia="PT Serif" w:cs="PT Serif" w:ascii="PT Serif" w:hAnsi="PT Serif"/>
          <w:color w:val="000000"/>
          <w:sz w:val="20"/>
          <w:szCs w:val="20"/>
        </w:rPr>
        <w:t xml:space="preserve">, Álvaro., «La conformidad objetiva de los contenidos y servicios digitales», </w:t>
      </w:r>
      <w:r>
        <w:rPr>
          <w:rFonts w:eastAsia="PT Serif" w:cs="PT Serif" w:ascii="PT Serif" w:hAnsi="PT Serif"/>
          <w:i/>
          <w:color w:val="000000"/>
          <w:sz w:val="20"/>
          <w:szCs w:val="20"/>
        </w:rPr>
        <w:t xml:space="preserve">Revista de Derecho civil, </w:t>
      </w:r>
      <w:r>
        <w:rPr>
          <w:rFonts w:eastAsia="PT Serif" w:cs="PT Serif" w:ascii="PT Serif" w:hAnsi="PT Serif"/>
          <w:color w:val="000000"/>
          <w:sz w:val="20"/>
          <w:szCs w:val="20"/>
        </w:rPr>
        <w:t>1, 2024, p. 185-237.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Burri</w:t>
      </w:r>
      <w:r>
        <w:rPr>
          <w:rFonts w:eastAsia="PT Serif" w:cs="PT Serif" w:ascii="PT Serif" w:hAnsi="PT Serif"/>
          <w:color w:val="000000"/>
          <w:sz w:val="20"/>
          <w:szCs w:val="20"/>
          <w:lang w:val="en-CA"/>
        </w:rPr>
        <w:t>, Mira/</w:t>
      </w:r>
      <w:r>
        <w:rPr>
          <w:rFonts w:eastAsia="PT Serif" w:cs="PT Serif" w:ascii="PT Serif" w:hAnsi="PT Serif"/>
          <w:smallCaps/>
          <w:color w:val="000000"/>
          <w:sz w:val="20"/>
          <w:szCs w:val="20"/>
          <w:lang w:val="en-CA"/>
        </w:rPr>
        <w:t>Zihlmann</w:t>
      </w:r>
      <w:r>
        <w:rPr>
          <w:rFonts w:eastAsia="PT Serif" w:cs="PT Serif" w:ascii="PT Serif" w:hAnsi="PT Serif"/>
          <w:color w:val="000000"/>
          <w:sz w:val="20"/>
          <w:szCs w:val="20"/>
          <w:lang w:val="en-CA"/>
        </w:rPr>
        <w:t>, Zaira., «The Cyber Resilience Act – An Appraisal and Contextualization», Zeitschrift für Europearecht, 2, 2023,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Bygrave</w:t>
      </w:r>
      <w:r>
        <w:rPr>
          <w:rFonts w:eastAsia="PT Serif" w:cs="PT Serif" w:ascii="PT Serif" w:hAnsi="PT Serif"/>
          <w:color w:val="000000"/>
          <w:sz w:val="20"/>
          <w:szCs w:val="20"/>
          <w:lang w:val="en-CA"/>
        </w:rPr>
        <w:t xml:space="preserve">, Lee. A., «Article 25. Data protection by design and by default», en </w:t>
      </w:r>
      <w:r>
        <w:rPr>
          <w:rFonts w:eastAsia="PT Serif" w:cs="PT Serif" w:ascii="PT Serif" w:hAnsi="PT Serif"/>
          <w:smallCaps/>
          <w:color w:val="000000"/>
          <w:sz w:val="20"/>
          <w:szCs w:val="20"/>
          <w:lang w:val="en-CA"/>
        </w:rPr>
        <w:t>Kuner</w:t>
      </w:r>
      <w:r>
        <w:rPr>
          <w:rFonts w:eastAsia="PT Serif" w:cs="PT Serif" w:ascii="PT Serif" w:hAnsi="PT Serif"/>
          <w:color w:val="000000"/>
          <w:sz w:val="20"/>
          <w:szCs w:val="20"/>
          <w:lang w:val="en-CA"/>
        </w:rPr>
        <w:t>, Christopher/</w:t>
      </w:r>
      <w:r>
        <w:rPr>
          <w:rFonts w:eastAsia="PT Serif" w:cs="PT Serif" w:ascii="PT Serif" w:hAnsi="PT Serif"/>
          <w:smallCaps/>
          <w:color w:val="000000"/>
          <w:sz w:val="20"/>
          <w:szCs w:val="20"/>
          <w:lang w:val="en-CA"/>
        </w:rPr>
        <w:t>Bygrave</w:t>
      </w:r>
      <w:r>
        <w:rPr>
          <w:rFonts w:eastAsia="PT Serif" w:cs="PT Serif" w:ascii="PT Serif" w:hAnsi="PT Serif"/>
          <w:color w:val="000000"/>
          <w:sz w:val="20"/>
          <w:szCs w:val="20"/>
          <w:lang w:val="en-CA"/>
        </w:rPr>
        <w:t>, Lee. A/</w:t>
      </w:r>
      <w:r>
        <w:rPr>
          <w:rFonts w:eastAsia="PT Serif" w:cs="PT Serif" w:ascii="PT Serif" w:hAnsi="PT Serif"/>
          <w:smallCaps/>
          <w:color w:val="000000"/>
          <w:sz w:val="20"/>
          <w:szCs w:val="20"/>
          <w:lang w:val="en-CA"/>
        </w:rPr>
        <w:t>Docksey</w:t>
      </w:r>
      <w:r>
        <w:rPr>
          <w:rFonts w:eastAsia="PT Serif" w:cs="PT Serif" w:ascii="PT Serif" w:hAnsi="PT Serif"/>
          <w:color w:val="000000"/>
          <w:sz w:val="20"/>
          <w:szCs w:val="20"/>
          <w:lang w:val="en-CA"/>
        </w:rPr>
        <w:t>, Christopher/</w:t>
      </w:r>
      <w:r>
        <w:rPr>
          <w:rFonts w:eastAsia="PT Serif" w:cs="PT Serif" w:ascii="PT Serif" w:hAnsi="PT Serif"/>
          <w:smallCaps/>
          <w:color w:val="000000"/>
          <w:sz w:val="20"/>
          <w:szCs w:val="20"/>
          <w:lang w:val="en-CA"/>
        </w:rPr>
        <w:t>Drechsler</w:t>
      </w:r>
      <w:r>
        <w:rPr>
          <w:rFonts w:eastAsia="PT Serif" w:cs="PT Serif" w:ascii="PT Serif" w:hAnsi="PT Serif"/>
          <w:color w:val="000000"/>
          <w:sz w:val="20"/>
          <w:szCs w:val="20"/>
          <w:lang w:val="en-CA"/>
        </w:rPr>
        <w:t xml:space="preserve">, Laura (eds.), </w:t>
      </w:r>
      <w:r>
        <w:rPr>
          <w:rFonts w:eastAsia="PT Serif" w:cs="PT Serif" w:ascii="PT Serif" w:hAnsi="PT Serif"/>
          <w:i/>
          <w:color w:val="000000"/>
          <w:sz w:val="20"/>
          <w:szCs w:val="20"/>
          <w:lang w:val="en-CA"/>
        </w:rPr>
        <w:t>The EU General Data Protection Regulation (GDPR): A Commentary</w:t>
      </w:r>
      <w:r>
        <w:rPr>
          <w:rFonts w:eastAsia="PT Serif" w:cs="PT Serif" w:ascii="PT Serif" w:hAnsi="PT Serif"/>
          <w:color w:val="000000"/>
          <w:sz w:val="20"/>
          <w:szCs w:val="20"/>
          <w:lang w:val="en-CA"/>
        </w:rPr>
        <w:t>., Oxford University Press, Londres, 2020, pp,</w:t>
      </w:r>
      <w:r>
        <w:rPr>
          <w:rFonts w:eastAsia="PT Serif" w:cs="PT Serif" w:ascii="PT Serif" w:hAnsi="PT Serif"/>
          <w:b/>
          <w:color w:val="000000"/>
          <w:sz w:val="20"/>
          <w:szCs w:val="20"/>
          <w:lang w:val="en-CA"/>
        </w:rPr>
        <w:t xml:space="preserve"> </w:t>
      </w:r>
      <w:r>
        <w:rPr>
          <w:rFonts w:eastAsia="PT Serif" w:cs="PT Serif" w:ascii="PT Serif" w:hAnsi="PT Serif"/>
          <w:color w:val="000000"/>
          <w:sz w:val="20"/>
          <w:szCs w:val="20"/>
          <w:lang w:val="en-CA"/>
        </w:rPr>
        <w:t>571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Byrne</w:t>
      </w:r>
      <w:r>
        <w:rPr>
          <w:rFonts w:eastAsia="PT Serif" w:cs="PT Serif" w:ascii="PT Serif" w:hAnsi="PT Serif"/>
          <w:color w:val="000000"/>
          <w:sz w:val="20"/>
          <w:szCs w:val="20"/>
          <w:lang w:val="en-CA"/>
        </w:rPr>
        <w:t xml:space="preserve">, Richard E., «Strict Liability and the Scientifically Unknowable Risk», </w:t>
      </w:r>
      <w:r>
        <w:rPr>
          <w:rFonts w:eastAsia="PT Serif" w:cs="PT Serif" w:ascii="PT Serif" w:hAnsi="PT Serif"/>
          <w:i/>
          <w:color w:val="000000"/>
          <w:sz w:val="20"/>
          <w:szCs w:val="20"/>
          <w:lang w:val="en-CA"/>
        </w:rPr>
        <w:t xml:space="preserve">Marquette Law Review, </w:t>
      </w:r>
      <w:r>
        <w:rPr>
          <w:rFonts w:eastAsia="PT Serif" w:cs="PT Serif" w:ascii="PT Serif" w:hAnsi="PT Serif"/>
          <w:color w:val="000000"/>
          <w:sz w:val="20"/>
          <w:szCs w:val="20"/>
          <w:lang w:val="en-CA"/>
        </w:rPr>
        <w:t>4, 1974, pp. 660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 xml:space="preserve">Carrasco Perera, </w:t>
      </w:r>
      <w:r>
        <w:rPr>
          <w:rFonts w:eastAsia="PT Serif" w:cs="PT Serif" w:ascii="PT Serif" w:hAnsi="PT Serif"/>
          <w:color w:val="000000"/>
          <w:sz w:val="20"/>
          <w:szCs w:val="20"/>
        </w:rPr>
        <w:t>Ángel.,</w:t>
      </w:r>
      <w:r>
        <w:rPr>
          <w:rFonts w:eastAsia="PT Serif" w:cs="PT Serif" w:ascii="PT Serif" w:hAnsi="PT Serif"/>
          <w:color w:val="000000"/>
          <w:sz w:val="18"/>
          <w:szCs w:val="18"/>
        </w:rPr>
        <w:t xml:space="preserve"> </w:t>
      </w:r>
      <w:r>
        <w:rPr>
          <w:rFonts w:eastAsia="PT Serif" w:cs="PT Serif" w:ascii="PT Serif" w:hAnsi="PT Serif"/>
          <w:color w:val="000000"/>
          <w:sz w:val="20"/>
          <w:szCs w:val="20"/>
        </w:rPr>
        <w:t xml:space="preserve">«Análisis de la nueva Directiva de responsabilidad por daños causados por productos defectuosos», </w:t>
      </w:r>
      <w:r>
        <w:rPr>
          <w:rFonts w:eastAsia="PT Serif" w:cs="PT Serif" w:ascii="PT Serif" w:hAnsi="PT Serif"/>
          <w:i/>
          <w:color w:val="000000"/>
          <w:sz w:val="20"/>
          <w:szCs w:val="20"/>
        </w:rPr>
        <w:t xml:space="preserve">CESCO, </w:t>
      </w:r>
      <w:r>
        <w:rPr>
          <w:rFonts w:eastAsia="PT Serif" w:cs="PT Serif" w:ascii="PT Serif" w:hAnsi="PT Serif"/>
          <w:color w:val="000000"/>
          <w:sz w:val="20"/>
          <w:szCs w:val="20"/>
        </w:rPr>
        <w:t>2024, p. 1-7.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8"/>
          <w:szCs w:val="28"/>
        </w:rPr>
      </w:pPr>
      <w:r>
        <w:rPr>
          <w:rFonts w:eastAsia="PT Serif" w:cs="PT Serif" w:ascii="PT Serif" w:hAnsi="PT Serif"/>
          <w:smallCaps/>
          <w:color w:val="000000"/>
          <w:sz w:val="20"/>
          <w:szCs w:val="20"/>
        </w:rPr>
        <w:t xml:space="preserve">Cadenas Osuna, </w:t>
      </w:r>
      <w:r>
        <w:rPr>
          <w:rFonts w:eastAsia="PT Serif" w:cs="PT Serif" w:ascii="PT Serif" w:hAnsi="PT Serif"/>
          <w:color w:val="000000"/>
          <w:sz w:val="20"/>
          <w:szCs w:val="20"/>
        </w:rPr>
        <w:t xml:space="preserve">Davinia., «Artículo 145. Culpa del perjudicado”, en </w:t>
      </w:r>
      <w:r>
        <w:rPr>
          <w:rFonts w:eastAsia="PT Serif" w:cs="PT Serif" w:ascii="PT Serif" w:hAnsi="PT Serif"/>
          <w:smallCaps/>
          <w:color w:val="000000"/>
          <w:sz w:val="20"/>
          <w:szCs w:val="20"/>
        </w:rPr>
        <w:t xml:space="preserve">Cañizares Laso, </w:t>
      </w:r>
      <w:r>
        <w:rPr>
          <w:rFonts w:eastAsia="PT Serif" w:cs="PT Serif" w:ascii="PT Serif" w:hAnsi="PT Serif"/>
          <w:color w:val="000000"/>
          <w:sz w:val="20"/>
          <w:szCs w:val="20"/>
        </w:rPr>
        <w:t xml:space="preserve">Ana (Dir.), </w:t>
      </w:r>
      <w:r>
        <w:rPr>
          <w:rFonts w:eastAsia="PT Serif" w:cs="PT Serif" w:ascii="PT Serif" w:hAnsi="PT Serif"/>
          <w:i/>
          <w:color w:val="000000"/>
          <w:sz w:val="20"/>
          <w:szCs w:val="20"/>
        </w:rPr>
        <w:t xml:space="preserve">Comentario al Texto Refundido de la Ley de consumidores y Usuarios, </w:t>
      </w:r>
      <w:r>
        <w:rPr>
          <w:rFonts w:eastAsia="PT Serif" w:cs="PT Serif" w:ascii="PT Serif" w:hAnsi="PT Serif"/>
          <w:color w:val="000000"/>
          <w:sz w:val="20"/>
          <w:szCs w:val="20"/>
        </w:rPr>
        <w:t>t. 2, Tirant lo Blanch, Valencia, 2022, pp. 2151-2161.</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lang w:val="pt-BR"/>
        </w:rPr>
        <w:t>Chiara</w:t>
      </w:r>
      <w:r>
        <w:rPr>
          <w:rFonts w:eastAsia="PT Serif" w:cs="PT Serif" w:ascii="PT Serif" w:hAnsi="PT Serif"/>
          <w:color w:val="000000"/>
          <w:sz w:val="20"/>
          <w:szCs w:val="20"/>
          <w:lang w:val="pt-BR"/>
        </w:rPr>
        <w:t xml:space="preserve">, Pier Giorgio., «The Cyber Resilience Act: the EU Commission’s proposal for a horizontal regulation on cybersecurity for products with digital elements. </w:t>
      </w:r>
      <w:r>
        <w:rPr>
          <w:rFonts w:eastAsia="PT Serif" w:cs="PT Serif" w:ascii="PT Serif" w:hAnsi="PT Serif"/>
          <w:color w:val="000000"/>
          <w:sz w:val="20"/>
          <w:szCs w:val="20"/>
        </w:rPr>
        <w:t>An introduction», International Cybersecurity Law Review, 3, 2022, pp. 255 ss.</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Comisión Europea</w:t>
      </w:r>
      <w:r>
        <w:rPr>
          <w:rFonts w:eastAsia="PT Serif" w:cs="PT Serif" w:ascii="PT Serif" w:hAnsi="PT Serif"/>
          <w:color w:val="000000"/>
          <w:sz w:val="20"/>
          <w:szCs w:val="20"/>
        </w:rPr>
        <w:t>, Comunicación conjunta al Parlamento Europeo, al Consejo, al Comité Económico y Social Europeo y al Comité de las Regiones, Estrategia de ciberseguridad de la Unión Europea: Un ciberespacio abierto, protegido y seguro, Bruselas, 7.2.2013, JOIN(2013) 1 final.</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Comisión Europea</w:t>
      </w:r>
      <w:r>
        <w:rPr>
          <w:rFonts w:eastAsia="PT Serif" w:cs="PT Serif" w:ascii="PT Serif" w:hAnsi="PT Serif"/>
          <w:color w:val="000000"/>
          <w:sz w:val="20"/>
          <w:szCs w:val="20"/>
        </w:rPr>
        <w:t xml:space="preserve">., «Cyber Resilience Act. </w:t>
      </w:r>
      <w:r>
        <w:rPr>
          <w:rFonts w:eastAsia="PT Serif" w:cs="PT Serif" w:ascii="PT Serif" w:hAnsi="PT Serif"/>
          <w:color w:val="000000"/>
          <w:sz w:val="20"/>
          <w:szCs w:val="20"/>
          <w:lang w:val="en-CA"/>
        </w:rPr>
        <w:t xml:space="preserve">New EU cybersecurity rules ensure more secure hardware and software products», 2022, puede consultarse en: </w:t>
      </w:r>
      <w:hyperlink r:id="rId3">
        <w:r>
          <w:rPr>
            <w:rStyle w:val="Style"/>
            <w:rFonts w:eastAsia="PT Serif" w:cs="PT Serif" w:ascii="PT Serif" w:hAnsi="PT Serif"/>
            <w:color w:val="000000"/>
            <w:sz w:val="20"/>
            <w:szCs w:val="20"/>
            <w:lang w:val="en-CA"/>
          </w:rPr>
          <w:t>https://digital-strategy.ec.europa.eu/en/news/new-eu-cybersecurity-rules-ensure-more-secure-hardware-and-software-products</w:t>
        </w:r>
      </w:hyperlink>
      <w:r>
        <w:rPr>
          <w:rFonts w:eastAsia="PT Serif" w:cs="PT Serif" w:ascii="PT Serif" w:hAnsi="PT Serif"/>
          <w:color w:val="000000"/>
          <w:sz w:val="20"/>
          <w:szCs w:val="20"/>
          <w:lang w:val="en-CA"/>
        </w:rPr>
        <w:t xml:space="preserve">. </w:t>
      </w:r>
      <w:r>
        <w:rPr>
          <w:rFonts w:eastAsia="PT Serif" w:cs="PT Serif" w:ascii="PT Serif" w:hAnsi="PT Serif"/>
          <w:color w:val="000000"/>
          <w:sz w:val="20"/>
          <w:szCs w:val="20"/>
        </w:rPr>
        <w:t>Consulta realizada el día 30 de mayo de 2025.</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6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 xml:space="preserve">De Miguel Asensio, </w:t>
      </w:r>
      <w:r>
        <w:rPr>
          <w:rFonts w:eastAsia="PT Serif" w:cs="PT Serif" w:ascii="PT Serif" w:hAnsi="PT Serif"/>
          <w:color w:val="000000"/>
          <w:sz w:val="20"/>
          <w:szCs w:val="20"/>
        </w:rPr>
        <w:t xml:space="preserve">Pedro Alberto., «Derecho a indemnización en materia de datos personales: aspectos internacionales», </w:t>
      </w:r>
      <w:r>
        <w:rPr>
          <w:rFonts w:eastAsia="PT Serif" w:cs="PT Serif" w:ascii="PT Serif" w:hAnsi="PT Serif"/>
          <w:i/>
          <w:color w:val="000000"/>
          <w:sz w:val="20"/>
          <w:szCs w:val="20"/>
        </w:rPr>
        <w:t xml:space="preserve">Cuadernos de Derecho Transnacional, </w:t>
      </w:r>
      <w:r>
        <w:rPr>
          <w:rFonts w:eastAsia="PT Serif" w:cs="PT Serif" w:ascii="PT Serif" w:hAnsi="PT Serif"/>
          <w:color w:val="000000"/>
          <w:sz w:val="20"/>
          <w:szCs w:val="20"/>
        </w:rPr>
        <w:t>2, 2024, p. 487-500.</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Ellul</w:t>
      </w:r>
      <w:r>
        <w:rPr>
          <w:rFonts w:eastAsia="PT Serif" w:cs="PT Serif" w:ascii="PT Serif" w:hAnsi="PT Serif"/>
          <w:color w:val="000000"/>
          <w:sz w:val="20"/>
          <w:szCs w:val="20"/>
          <w:lang w:val="en-CA"/>
        </w:rPr>
        <w:t>, Joshua/</w:t>
      </w:r>
      <w:r>
        <w:rPr>
          <w:rFonts w:eastAsia="PT Serif" w:cs="PT Serif" w:ascii="PT Serif" w:hAnsi="PT Serif"/>
          <w:smallCaps/>
          <w:color w:val="000000"/>
          <w:sz w:val="20"/>
          <w:szCs w:val="20"/>
          <w:lang w:val="en-CA"/>
        </w:rPr>
        <w:t>Paece</w:t>
      </w:r>
      <w:r>
        <w:rPr>
          <w:rFonts w:eastAsia="PT Serif" w:cs="PT Serif" w:ascii="PT Serif" w:hAnsi="PT Serif"/>
          <w:color w:val="000000"/>
          <w:sz w:val="20"/>
          <w:szCs w:val="20"/>
          <w:lang w:val="en-CA"/>
        </w:rPr>
        <w:t>, Gordon. J/</w:t>
      </w:r>
      <w:r>
        <w:rPr>
          <w:rFonts w:eastAsia="PT Serif" w:cs="PT Serif" w:ascii="PT Serif" w:hAnsi="PT Serif"/>
          <w:smallCaps/>
          <w:color w:val="000000"/>
          <w:sz w:val="20"/>
          <w:szCs w:val="20"/>
          <w:lang w:val="en-CA"/>
        </w:rPr>
        <w:t>Revolidis</w:t>
      </w:r>
      <w:r>
        <w:rPr>
          <w:rFonts w:eastAsia="PT Serif" w:cs="PT Serif" w:ascii="PT Serif" w:hAnsi="PT Serif"/>
          <w:color w:val="000000"/>
          <w:sz w:val="20"/>
          <w:szCs w:val="20"/>
          <w:lang w:val="en-CA"/>
        </w:rPr>
        <w:t>, Ioannis/</w:t>
      </w:r>
      <w:r>
        <w:rPr>
          <w:rFonts w:eastAsia="PT Serif" w:cs="PT Serif" w:ascii="PT Serif" w:hAnsi="PT Serif"/>
          <w:smallCaps/>
          <w:color w:val="000000"/>
          <w:sz w:val="20"/>
          <w:szCs w:val="20"/>
          <w:lang w:val="en-CA"/>
        </w:rPr>
        <w:t>Schneider</w:t>
      </w:r>
      <w:r>
        <w:rPr>
          <w:rFonts w:eastAsia="PT Serif" w:cs="PT Serif" w:ascii="PT Serif" w:hAnsi="PT Serif"/>
          <w:color w:val="000000"/>
          <w:sz w:val="20"/>
          <w:szCs w:val="20"/>
          <w:lang w:val="en-CA"/>
        </w:rPr>
        <w:t xml:space="preserve">, Gerardo., «When is good enough good enough? On software assurances», </w:t>
      </w:r>
      <w:r>
        <w:rPr>
          <w:rFonts w:eastAsia="PT Serif" w:cs="PT Serif" w:ascii="PT Serif" w:hAnsi="PT Serif"/>
          <w:i/>
          <w:color w:val="000000"/>
          <w:sz w:val="20"/>
          <w:szCs w:val="20"/>
          <w:lang w:val="en-CA"/>
        </w:rPr>
        <w:t>ERA Forum</w:t>
      </w:r>
      <w:r>
        <w:rPr>
          <w:rFonts w:eastAsia="PT Serif" w:cs="PT Serif" w:ascii="PT Serif" w:hAnsi="PT Serif"/>
          <w:color w:val="000000"/>
          <w:sz w:val="20"/>
          <w:szCs w:val="20"/>
          <w:lang w:val="en-CA"/>
        </w:rPr>
        <w:t>, 23, 2023, pp. 337.</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lang w:val="en-CA"/>
        </w:rPr>
        <w:t>European Law Institute</w:t>
      </w:r>
      <w:r>
        <w:rPr>
          <w:rFonts w:eastAsia="PT Serif" w:cs="PT Serif" w:ascii="PT Serif" w:hAnsi="PT Serif"/>
          <w:color w:val="000000"/>
          <w:sz w:val="20"/>
          <w:szCs w:val="20"/>
          <w:lang w:val="en-CA"/>
        </w:rPr>
        <w:t xml:space="preserve">, «Response of the European Law Institute (ELI) to the European Commission's Public Consultation on Civil Liability. Adapting Liability Rules to the Digital Age and Artificial Intelligence», 2022. </w:t>
      </w:r>
      <w:r>
        <w:rPr>
          <w:rFonts w:eastAsia="PT Serif" w:cs="PT Serif" w:ascii="PT Serif" w:hAnsi="PT Serif"/>
          <w:color w:val="000000"/>
          <w:sz w:val="20"/>
          <w:szCs w:val="20"/>
        </w:rPr>
        <w:t xml:space="preserve">Puede consultarse en: </w:t>
      </w:r>
      <w:hyperlink r:id="rId4">
        <w:r>
          <w:rPr>
            <w:rStyle w:val="Style"/>
            <w:rFonts w:eastAsia="PT Serif" w:cs="PT Serif" w:ascii="PT Serif" w:hAnsi="PT Serif"/>
            <w:color w:val="0000FF"/>
            <w:sz w:val="20"/>
            <w:szCs w:val="20"/>
            <w:u w:val="single"/>
          </w:rPr>
          <w:t>https://europeanlawinstitute.eu/fileadmin/user_upload/p_eli/Publications/Public_Consultation _on_Civil_Liability.pdf</w:t>
        </w:r>
      </w:hyperlink>
      <w:r>
        <w:rPr>
          <w:rFonts w:eastAsia="PT Serif" w:cs="PT Serif" w:ascii="PT Serif" w:hAnsi="PT Serif"/>
          <w:color w:val="000000"/>
          <w:sz w:val="20"/>
          <w:szCs w:val="20"/>
        </w:rPr>
        <w:t>.</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Fairgrieve</w:t>
      </w:r>
      <w:r>
        <w:rPr>
          <w:rFonts w:eastAsia="PT Serif" w:cs="PT Serif" w:ascii="PT Serif" w:hAnsi="PT Serif"/>
          <w:color w:val="000000"/>
          <w:sz w:val="20"/>
          <w:szCs w:val="20"/>
          <w:lang w:val="en-CA"/>
        </w:rPr>
        <w:t>, Duncan/</w:t>
      </w:r>
      <w:r>
        <w:rPr>
          <w:rFonts w:eastAsia="PT Serif" w:cs="PT Serif" w:ascii="PT Serif" w:hAnsi="PT Serif"/>
          <w:smallCaps/>
          <w:color w:val="000000"/>
          <w:sz w:val="20"/>
          <w:szCs w:val="20"/>
          <w:lang w:val="en-CA"/>
        </w:rPr>
        <w:t>Goldberg</w:t>
      </w:r>
      <w:r>
        <w:rPr>
          <w:rFonts w:eastAsia="PT Serif" w:cs="PT Serif" w:ascii="PT Serif" w:hAnsi="PT Serif"/>
          <w:color w:val="000000"/>
          <w:sz w:val="20"/>
          <w:szCs w:val="20"/>
          <w:lang w:val="en-CA"/>
        </w:rPr>
        <w:t xml:space="preserve">, Richard., </w:t>
      </w:r>
      <w:r>
        <w:rPr>
          <w:rFonts w:eastAsia="PT Serif" w:cs="PT Serif" w:ascii="PT Serif" w:hAnsi="PT Serif"/>
          <w:i/>
          <w:color w:val="000000"/>
          <w:sz w:val="20"/>
          <w:szCs w:val="20"/>
          <w:lang w:val="en-CA"/>
        </w:rPr>
        <w:t xml:space="preserve">Product Liability, </w:t>
      </w:r>
      <w:r>
        <w:rPr>
          <w:rFonts w:eastAsia="PT Serif" w:cs="PT Serif" w:ascii="PT Serif" w:hAnsi="PT Serif"/>
          <w:color w:val="000000"/>
          <w:sz w:val="20"/>
          <w:szCs w:val="20"/>
          <w:lang w:val="en-CA"/>
        </w:rPr>
        <w:t>3ª ed., Oxford University Press, 2020.</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Fairgrieve</w:t>
      </w:r>
      <w:r>
        <w:rPr>
          <w:rFonts w:eastAsia="PT Serif" w:cs="PT Serif" w:ascii="PT Serif" w:hAnsi="PT Serif"/>
          <w:color w:val="000000"/>
          <w:sz w:val="20"/>
          <w:szCs w:val="20"/>
          <w:lang w:val="en-CA"/>
        </w:rPr>
        <w:t>, Duncan/</w:t>
      </w:r>
      <w:r>
        <w:rPr>
          <w:rFonts w:eastAsia="PT Serif" w:cs="PT Serif" w:ascii="PT Serif" w:hAnsi="PT Serif"/>
          <w:smallCaps/>
          <w:color w:val="000000"/>
          <w:sz w:val="20"/>
          <w:szCs w:val="20"/>
          <w:lang w:val="en-CA"/>
        </w:rPr>
        <w:t>Howells</w:t>
      </w:r>
      <w:r>
        <w:rPr>
          <w:rFonts w:eastAsia="PT Serif" w:cs="PT Serif" w:ascii="PT Serif" w:hAnsi="PT Serif"/>
          <w:color w:val="000000"/>
          <w:sz w:val="20"/>
          <w:szCs w:val="20"/>
          <w:lang w:val="en-CA"/>
        </w:rPr>
        <w:t xml:space="preserve">, Geraint., </w:t>
      </w:r>
      <w:r>
        <w:rPr>
          <w:rFonts w:eastAsia="PT Serif" w:cs="PT Serif" w:ascii="PT Serif" w:hAnsi="PT Serif"/>
          <w:i/>
          <w:color w:val="000000"/>
          <w:sz w:val="20"/>
          <w:szCs w:val="20"/>
          <w:lang w:val="en-CA"/>
        </w:rPr>
        <w:t>et. ali</w:t>
      </w:r>
      <w:r>
        <w:rPr>
          <w:rFonts w:eastAsia="PT Serif" w:cs="PT Serif" w:ascii="PT Serif" w:hAnsi="PT Serif"/>
          <w:color w:val="000000"/>
          <w:sz w:val="20"/>
          <w:szCs w:val="20"/>
          <w:lang w:val="en-CA"/>
        </w:rPr>
        <w:t xml:space="preserve">., «Product Liability Directive» en </w:t>
      </w:r>
      <w:r>
        <w:rPr>
          <w:rFonts w:eastAsia="PT Serif" w:cs="PT Serif" w:ascii="PT Serif" w:hAnsi="PT Serif"/>
          <w:smallCaps/>
          <w:color w:val="000000"/>
          <w:sz w:val="20"/>
          <w:szCs w:val="20"/>
          <w:lang w:val="en-CA"/>
        </w:rPr>
        <w:t>Machnikowski</w:t>
      </w:r>
      <w:r>
        <w:rPr>
          <w:rFonts w:eastAsia="PT Serif" w:cs="PT Serif" w:ascii="PT Serif" w:hAnsi="PT Serif"/>
          <w:color w:val="000000"/>
          <w:sz w:val="20"/>
          <w:szCs w:val="20"/>
          <w:lang w:val="en-CA"/>
        </w:rPr>
        <w:t xml:space="preserve">, Piotr (ed.), </w:t>
      </w:r>
      <w:hyperlink r:id="rId5">
        <w:r>
          <w:rPr>
            <w:rStyle w:val="Style"/>
            <w:rFonts w:eastAsia="PT Serif" w:cs="PT Serif" w:ascii="PT Serif" w:hAnsi="PT Serif"/>
            <w:i/>
            <w:color w:val="000000"/>
            <w:sz w:val="20"/>
            <w:szCs w:val="20"/>
            <w:lang w:val="en-CA"/>
          </w:rPr>
          <w:t>European product liability (European Group on Tort Law) European product liability: an analysis of the state of the art in the era of new technologies</w:t>
        </w:r>
      </w:hyperlink>
      <w:r>
        <w:rPr>
          <w:rFonts w:eastAsia="PT Serif" w:cs="PT Serif" w:ascii="PT Serif" w:hAnsi="PT Serif"/>
          <w:color w:val="000000"/>
          <w:sz w:val="20"/>
          <w:szCs w:val="20"/>
          <w:lang w:val="en-CA"/>
        </w:rPr>
        <w:t>, Intersentia, Cambridge, 2016, pp. 17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Faure</w:t>
      </w:r>
      <w:r>
        <w:rPr>
          <w:rFonts w:eastAsia="PT Serif" w:cs="PT Serif" w:ascii="PT Serif" w:hAnsi="PT Serif"/>
          <w:color w:val="000000"/>
          <w:sz w:val="20"/>
          <w:szCs w:val="20"/>
          <w:lang w:val="en-CA"/>
        </w:rPr>
        <w:t>, Michael/</w:t>
      </w:r>
      <w:r>
        <w:rPr>
          <w:rFonts w:eastAsia="PT Serif" w:cs="PT Serif" w:ascii="PT Serif" w:hAnsi="PT Serif"/>
          <w:smallCaps/>
          <w:color w:val="000000"/>
          <w:sz w:val="20"/>
          <w:szCs w:val="20"/>
          <w:lang w:val="en-CA"/>
        </w:rPr>
        <w:t>Visscher</w:t>
      </w:r>
      <w:r>
        <w:rPr>
          <w:rFonts w:eastAsia="PT Serif" w:cs="PT Serif" w:ascii="PT Serif" w:hAnsi="PT Serif"/>
          <w:color w:val="000000"/>
          <w:sz w:val="20"/>
          <w:szCs w:val="20"/>
          <w:lang w:val="en-CA"/>
        </w:rPr>
        <w:t>, Louis/</w:t>
      </w:r>
      <w:r>
        <w:rPr>
          <w:rFonts w:eastAsia="PT Serif" w:cs="PT Serif" w:ascii="PT Serif" w:hAnsi="PT Serif"/>
          <w:smallCaps/>
          <w:color w:val="000000"/>
          <w:sz w:val="20"/>
          <w:szCs w:val="20"/>
          <w:lang w:val="en-CA"/>
        </w:rPr>
        <w:t>Weber</w:t>
      </w:r>
      <w:r>
        <w:rPr>
          <w:rFonts w:eastAsia="PT Serif" w:cs="PT Serif" w:ascii="PT Serif" w:hAnsi="PT Serif"/>
          <w:color w:val="000000"/>
          <w:sz w:val="20"/>
          <w:szCs w:val="20"/>
          <w:lang w:val="en-CA"/>
        </w:rPr>
        <w:t xml:space="preserve">, Franziska., «Liability for Unknown Risks – A Law and Economics Perspective», </w:t>
      </w:r>
      <w:r>
        <w:rPr>
          <w:rFonts w:eastAsia="PT Serif" w:cs="PT Serif" w:ascii="PT Serif" w:hAnsi="PT Serif"/>
          <w:i/>
          <w:color w:val="000000"/>
          <w:sz w:val="20"/>
          <w:szCs w:val="20"/>
          <w:lang w:val="en-CA"/>
        </w:rPr>
        <w:t xml:space="preserve">European Journal of Tort Law, </w:t>
      </w:r>
      <w:r>
        <w:rPr>
          <w:rFonts w:eastAsia="PT Serif" w:cs="PT Serif" w:ascii="PT Serif" w:hAnsi="PT Serif"/>
          <w:color w:val="000000"/>
          <w:sz w:val="20"/>
          <w:szCs w:val="20"/>
          <w:lang w:val="en-CA"/>
        </w:rPr>
        <w:t>2, 2016, pp. 198.</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4"/>
          <w:szCs w:val="24"/>
          <w:lang w:val="en-CA"/>
        </w:rPr>
      </w:pPr>
      <w:r>
        <w:rPr>
          <w:rFonts w:eastAsia="PT Serif" w:cs="PT Serif" w:ascii="PT Serif" w:hAnsi="PT Serif"/>
          <w:smallCaps/>
          <w:color w:val="000000"/>
          <w:sz w:val="20"/>
          <w:szCs w:val="20"/>
          <w:lang w:val="en-CA"/>
        </w:rPr>
        <w:t xml:space="preserve">F. Franco, </w:t>
      </w:r>
      <w:r>
        <w:rPr>
          <w:rFonts w:eastAsia="PT Serif" w:cs="PT Serif" w:ascii="PT Serif" w:hAnsi="PT Serif"/>
          <w:color w:val="000000"/>
          <w:sz w:val="20"/>
          <w:szCs w:val="20"/>
          <w:lang w:val="en-CA"/>
        </w:rPr>
        <w:t>Muriel/</w:t>
      </w:r>
      <w:r>
        <w:rPr>
          <w:rFonts w:eastAsia="PT Serif" w:cs="PT Serif" w:ascii="PT Serif" w:hAnsi="PT Serif"/>
          <w:smallCaps/>
          <w:color w:val="000000"/>
          <w:sz w:val="20"/>
          <w:szCs w:val="20"/>
          <w:lang w:val="en-CA"/>
        </w:rPr>
        <w:t xml:space="preserve">Künzler, </w:t>
      </w:r>
      <w:r>
        <w:rPr>
          <w:rFonts w:eastAsia="PT Serif" w:cs="PT Serif" w:ascii="PT Serif" w:hAnsi="PT Serif"/>
          <w:color w:val="000000"/>
          <w:sz w:val="20"/>
          <w:szCs w:val="20"/>
          <w:lang w:val="en-CA"/>
        </w:rPr>
        <w:t>Fabian/</w:t>
      </w:r>
      <w:r>
        <w:rPr>
          <w:rFonts w:eastAsia="PT Serif" w:cs="PT Serif" w:ascii="PT Serif" w:hAnsi="PT Serif"/>
          <w:smallCaps/>
          <w:color w:val="000000"/>
          <w:sz w:val="20"/>
          <w:szCs w:val="20"/>
          <w:lang w:val="en-CA"/>
        </w:rPr>
        <w:t xml:space="preserve">Von Der Assen, </w:t>
      </w:r>
      <w:r>
        <w:rPr>
          <w:rFonts w:eastAsia="PT Serif" w:cs="PT Serif" w:ascii="PT Serif" w:hAnsi="PT Serif"/>
          <w:color w:val="000000"/>
          <w:sz w:val="20"/>
          <w:szCs w:val="20"/>
          <w:lang w:val="en-CA"/>
        </w:rPr>
        <w:t>Jan/</w:t>
      </w:r>
      <w:r>
        <w:rPr>
          <w:rFonts w:eastAsia="PT Serif" w:cs="PT Serif" w:ascii="PT Serif" w:hAnsi="PT Serif"/>
          <w:smallCaps/>
          <w:color w:val="000000"/>
          <w:sz w:val="20"/>
          <w:szCs w:val="20"/>
          <w:lang w:val="en-CA"/>
        </w:rPr>
        <w:t xml:space="preserve">Feng, </w:t>
      </w:r>
      <w:r>
        <w:rPr>
          <w:rFonts w:eastAsia="PT Serif" w:cs="PT Serif" w:ascii="PT Serif" w:hAnsi="PT Serif"/>
          <w:color w:val="000000"/>
          <w:sz w:val="20"/>
          <w:szCs w:val="20"/>
          <w:lang w:val="en-CA"/>
        </w:rPr>
        <w:t>Chao/</w:t>
      </w:r>
      <w:r>
        <w:rPr>
          <w:rFonts w:eastAsia="PT Serif" w:cs="PT Serif" w:ascii="PT Serif" w:hAnsi="PT Serif"/>
          <w:smallCaps/>
          <w:color w:val="000000"/>
          <w:sz w:val="20"/>
          <w:szCs w:val="20"/>
          <w:lang w:val="en-CA"/>
        </w:rPr>
        <w:t xml:space="preserve">Stiller, </w:t>
      </w:r>
      <w:r>
        <w:rPr>
          <w:rFonts w:eastAsia="PT Serif" w:cs="PT Serif" w:ascii="PT Serif" w:hAnsi="PT Serif"/>
          <w:color w:val="000000"/>
          <w:sz w:val="20"/>
          <w:szCs w:val="20"/>
          <w:lang w:val="en-CA"/>
        </w:rPr>
        <w:t xml:space="preserve">Burkhard., «RCVaR: An economic approach to estimate cyberattacks costs using data from industry reports», </w:t>
      </w:r>
      <w:r>
        <w:rPr>
          <w:rFonts w:eastAsia="PT Serif" w:cs="PT Serif" w:ascii="PT Serif" w:hAnsi="PT Serif"/>
          <w:i/>
          <w:color w:val="000000"/>
          <w:sz w:val="20"/>
          <w:szCs w:val="20"/>
          <w:lang w:val="en-CA"/>
        </w:rPr>
        <w:t xml:space="preserve">Computers &amp; Security, </w:t>
      </w:r>
      <w:r>
        <w:rPr>
          <w:rFonts w:eastAsia="PT Serif" w:cs="PT Serif" w:ascii="PT Serif" w:hAnsi="PT Serif"/>
          <w:color w:val="000000"/>
          <w:sz w:val="20"/>
          <w:szCs w:val="20"/>
          <w:lang w:val="en-CA"/>
        </w:rPr>
        <w:t>139, 2024, p. 1-13.</w:t>
      </w:r>
    </w:p>
    <w:p>
      <w:pPr>
        <w:pStyle w:val="Normal"/>
        <w:spacing w:before="0" w:after="0"/>
        <w:jc w:val="both"/>
        <w:rPr>
          <w:rFonts w:ascii="PT Serif" w:hAnsi="PT Serif" w:eastAsia="PT Serif" w:cs="PT Serif"/>
          <w:smallCaps/>
          <w:color w:val="000000"/>
          <w:sz w:val="20"/>
          <w:szCs w:val="20"/>
          <w:lang w:val="en-CA"/>
        </w:rPr>
      </w:pPr>
      <w:r>
        <w:rPr>
          <w:rFonts w:eastAsia="PT Serif" w:cs="PT Serif" w:ascii="PT Serif" w:hAnsi="PT Serif"/>
          <w:smallCaps/>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lang w:val="en-CA"/>
        </w:rPr>
        <w:t>Friedman</w:t>
      </w:r>
      <w:r>
        <w:rPr>
          <w:rFonts w:eastAsia="PT Serif" w:cs="PT Serif" w:ascii="PT Serif" w:hAnsi="PT Serif"/>
          <w:color w:val="000000"/>
          <w:sz w:val="20"/>
          <w:szCs w:val="20"/>
          <w:lang w:val="en-CA"/>
        </w:rPr>
        <w:t xml:space="preserve">, Vlad., «On The Edge: Solving The Challenges Of Edge Computing In The Era Of IoT», puede consultarse en: </w:t>
      </w:r>
      <w:hyperlink r:id="rId6">
        <w:r>
          <w:rPr>
            <w:rStyle w:val="Style"/>
            <w:rFonts w:eastAsia="PT Serif" w:cs="PT Serif" w:ascii="PT Serif" w:hAnsi="PT Serif"/>
            <w:color w:val="000000"/>
            <w:sz w:val="20"/>
            <w:szCs w:val="20"/>
            <w:lang w:val="en-CA"/>
          </w:rPr>
          <w:t>https://www.databank.com/resources/blogs/solving-edge-computing-challenges-in-era-of-iot/</w:t>
        </w:r>
      </w:hyperlink>
      <w:r>
        <w:rPr>
          <w:rFonts w:eastAsia="PT Serif" w:cs="PT Serif" w:ascii="PT Serif" w:hAnsi="PT Serif"/>
          <w:color w:val="000000"/>
          <w:sz w:val="20"/>
          <w:szCs w:val="20"/>
          <w:lang w:val="en-CA"/>
        </w:rPr>
        <w:t xml:space="preserve">. </w:t>
      </w:r>
      <w:r>
        <w:rPr>
          <w:rFonts w:eastAsia="PT Serif" w:cs="PT Serif" w:ascii="PT Serif" w:hAnsi="PT Serif"/>
          <w:color w:val="000000"/>
          <w:sz w:val="20"/>
          <w:szCs w:val="20"/>
        </w:rPr>
        <w:t>Consulta realizada en fecha 11 de junio de 2025.</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Gómez Ligüerre</w:t>
      </w:r>
      <w:r>
        <w:rPr>
          <w:rFonts w:eastAsia="PT Serif" w:cs="PT Serif" w:ascii="PT Serif" w:hAnsi="PT Serif"/>
          <w:color w:val="000000"/>
          <w:sz w:val="20"/>
          <w:szCs w:val="20"/>
        </w:rPr>
        <w:t xml:space="preserve">, Carlos., «La Propuesta de Directiva sobre responsabilidad por daños causados por productos defectuosos», </w:t>
      </w:r>
      <w:r>
        <w:rPr>
          <w:rFonts w:eastAsia="PT Serif" w:cs="PT Serif" w:ascii="PT Serif" w:hAnsi="PT Serif"/>
          <w:i/>
          <w:color w:val="000000"/>
          <w:sz w:val="20"/>
          <w:szCs w:val="20"/>
        </w:rPr>
        <w:t>Indret,</w:t>
      </w:r>
      <w:r>
        <w:rPr>
          <w:rFonts w:eastAsia="PT Serif" w:cs="PT Serif" w:ascii="PT Serif" w:hAnsi="PT Serif"/>
          <w:color w:val="000000"/>
          <w:sz w:val="20"/>
          <w:szCs w:val="20"/>
        </w:rPr>
        <w:t xml:space="preserve"> 4, 2022, pp. 1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Gómez Ligüerre</w:t>
      </w:r>
      <w:r>
        <w:rPr>
          <w:rFonts w:eastAsia="PT Serif" w:cs="PT Serif" w:ascii="PT Serif" w:hAnsi="PT Serif"/>
          <w:color w:val="000000"/>
          <w:sz w:val="20"/>
          <w:szCs w:val="20"/>
        </w:rPr>
        <w:t>, Carlos/</w:t>
      </w:r>
      <w:r>
        <w:rPr>
          <w:rFonts w:eastAsia="PT Serif" w:cs="PT Serif" w:ascii="PT Serif" w:hAnsi="PT Serif"/>
          <w:smallCaps/>
          <w:color w:val="000000"/>
          <w:sz w:val="20"/>
          <w:szCs w:val="20"/>
        </w:rPr>
        <w:t xml:space="preserve">Piñeiro Salguero, </w:t>
      </w:r>
      <w:r>
        <w:rPr>
          <w:rFonts w:eastAsia="PT Serif" w:cs="PT Serif" w:ascii="PT Serif" w:hAnsi="PT Serif"/>
          <w:color w:val="000000"/>
          <w:sz w:val="20"/>
          <w:szCs w:val="20"/>
        </w:rPr>
        <w:t xml:space="preserve">José., «Responsabilidad solidaria, intervención de tercero y culpa del perjudicado», en </w:t>
      </w:r>
      <w:r>
        <w:rPr>
          <w:rFonts w:eastAsia="PT Serif" w:cs="PT Serif" w:ascii="PT Serif" w:hAnsi="PT Serif"/>
          <w:smallCaps/>
          <w:color w:val="000000"/>
          <w:sz w:val="20"/>
          <w:szCs w:val="20"/>
        </w:rPr>
        <w:t>Salvador Coderch</w:t>
      </w:r>
      <w:r>
        <w:rPr>
          <w:rFonts w:eastAsia="PT Serif" w:cs="PT Serif" w:ascii="PT Serif" w:hAnsi="PT Serif"/>
          <w:color w:val="000000"/>
          <w:sz w:val="20"/>
          <w:szCs w:val="20"/>
        </w:rPr>
        <w:t xml:space="preserve">, Pablo., </w:t>
      </w:r>
      <w:r>
        <w:rPr>
          <w:rFonts w:eastAsia="PT Serif" w:cs="PT Serif" w:ascii="PT Serif" w:hAnsi="PT Serif"/>
          <w:smallCaps/>
          <w:color w:val="000000"/>
          <w:sz w:val="20"/>
          <w:szCs w:val="20"/>
        </w:rPr>
        <w:t>Gómez Pomar</w:t>
      </w:r>
      <w:r>
        <w:rPr>
          <w:rFonts w:eastAsia="PT Serif" w:cs="PT Serif" w:ascii="PT Serif" w:hAnsi="PT Serif"/>
          <w:color w:val="000000"/>
          <w:sz w:val="20"/>
          <w:szCs w:val="20"/>
        </w:rPr>
        <w:t xml:space="preserve">, Fernando (dirs.), </w:t>
      </w:r>
      <w:r>
        <w:rPr>
          <w:rFonts w:eastAsia="PT Serif" w:cs="PT Serif" w:ascii="PT Serif" w:hAnsi="PT Serif"/>
          <w:i/>
          <w:color w:val="000000"/>
          <w:sz w:val="20"/>
          <w:szCs w:val="20"/>
        </w:rPr>
        <w:t>Tratado de responsabilidad civil del fabricante</w:t>
      </w:r>
      <w:r>
        <w:rPr>
          <w:rFonts w:eastAsia="PT Serif" w:cs="PT Serif" w:ascii="PT Serif" w:hAnsi="PT Serif"/>
          <w:color w:val="000000"/>
          <w:sz w:val="20"/>
          <w:szCs w:val="20"/>
        </w:rPr>
        <w:t>, Aranzadi, Pamplona, 2008, pp. 249-414.</w:t>
      </w:r>
    </w:p>
    <w:p>
      <w:pPr>
        <w:pStyle w:val="Normal"/>
        <w:spacing w:before="0" w:after="0"/>
        <w:jc w:val="both"/>
        <w:rPr>
          <w:rFonts w:ascii="PT Serif" w:hAnsi="PT Serif" w:eastAsia="PT Serif" w:cs="PT Serif"/>
          <w:smallCaps/>
          <w:color w:val="EE0000"/>
          <w:sz w:val="20"/>
          <w:szCs w:val="20"/>
        </w:rPr>
      </w:pPr>
      <w:r>
        <w:rPr>
          <w:rFonts w:eastAsia="PT Serif" w:cs="PT Serif" w:ascii="PT Serif" w:hAnsi="PT Serif"/>
          <w:smallCaps/>
          <w:color w:val="EE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Greengard,</w:t>
      </w:r>
      <w:r>
        <w:rPr>
          <w:rFonts w:eastAsia="PT Serif" w:cs="PT Serif" w:ascii="PT Serif" w:hAnsi="PT Serif"/>
          <w:color w:val="000000"/>
          <w:sz w:val="20"/>
          <w:szCs w:val="20"/>
          <w:lang w:val="en-CA"/>
        </w:rPr>
        <w:t xml:space="preserve"> Samuel., </w:t>
      </w:r>
      <w:r>
        <w:rPr>
          <w:rFonts w:eastAsia="PT Serif" w:cs="PT Serif" w:ascii="PT Serif" w:hAnsi="PT Serif"/>
          <w:i/>
          <w:color w:val="000000"/>
          <w:sz w:val="20"/>
          <w:szCs w:val="20"/>
          <w:lang w:val="en-CA"/>
        </w:rPr>
        <w:t xml:space="preserve">The internet of things, </w:t>
      </w:r>
      <w:r>
        <w:rPr>
          <w:rFonts w:eastAsia="PT Serif" w:cs="PT Serif" w:ascii="PT Serif" w:hAnsi="PT Serif"/>
          <w:color w:val="000000"/>
          <w:sz w:val="20"/>
          <w:szCs w:val="20"/>
          <w:lang w:val="en-CA"/>
        </w:rPr>
        <w:t>2ª ed., The Mitt Press, Londres, 2021.</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 xml:space="preserve">Grupo de Trabajo “Protección de datos” del Artículo 29, </w:t>
      </w:r>
      <w:r>
        <w:rPr>
          <w:rFonts w:eastAsia="PT Serif" w:cs="PT Serif" w:ascii="PT Serif" w:hAnsi="PT Serif"/>
          <w:color w:val="000000"/>
          <w:sz w:val="20"/>
          <w:szCs w:val="20"/>
        </w:rPr>
        <w:t>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w:t>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Harari</w:t>
      </w:r>
      <w:r>
        <w:rPr>
          <w:rFonts w:eastAsia="PT Serif" w:cs="PT Serif" w:ascii="PT Serif" w:hAnsi="PT Serif"/>
          <w:color w:val="000000"/>
          <w:sz w:val="20"/>
          <w:szCs w:val="20"/>
        </w:rPr>
        <w:t xml:space="preserve">, Yuval Noah., </w:t>
      </w:r>
      <w:r>
        <w:rPr>
          <w:rFonts w:eastAsia="PT Serif" w:cs="PT Serif" w:ascii="PT Serif" w:hAnsi="PT Serif"/>
          <w:i/>
          <w:color w:val="000000"/>
          <w:sz w:val="20"/>
          <w:szCs w:val="20"/>
        </w:rPr>
        <w:t>21 lliçons per al segle XXI</w:t>
      </w:r>
      <w:r>
        <w:rPr>
          <w:rFonts w:eastAsia="PT Serif" w:cs="PT Serif" w:ascii="PT Serif" w:hAnsi="PT Serif"/>
          <w:color w:val="000000"/>
          <w:sz w:val="20"/>
          <w:szCs w:val="20"/>
        </w:rPr>
        <w:t>, La Butxaca, 2021.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4"/>
          <w:szCs w:val="24"/>
        </w:rPr>
      </w:pPr>
      <w:r>
        <w:rPr>
          <w:rFonts w:eastAsia="PT Serif" w:cs="PT Serif" w:ascii="PT Serif" w:hAnsi="PT Serif"/>
          <w:smallCaps/>
          <w:color w:val="000000"/>
          <w:sz w:val="20"/>
          <w:szCs w:val="20"/>
        </w:rPr>
        <w:t>Harari</w:t>
      </w:r>
      <w:r>
        <w:rPr>
          <w:rFonts w:eastAsia="PT Serif" w:cs="PT Serif" w:ascii="PT Serif" w:hAnsi="PT Serif"/>
          <w:color w:val="000000"/>
          <w:sz w:val="20"/>
          <w:szCs w:val="20"/>
        </w:rPr>
        <w:t xml:space="preserve">, Yuval Noah., </w:t>
      </w:r>
      <w:r>
        <w:rPr>
          <w:rFonts w:eastAsia="PT Serif" w:cs="PT Serif" w:ascii="PT Serif" w:hAnsi="PT Serif"/>
          <w:i/>
          <w:color w:val="000000"/>
          <w:sz w:val="20"/>
          <w:szCs w:val="20"/>
        </w:rPr>
        <w:t>21 lliçons per al segle XXI</w:t>
      </w:r>
      <w:r>
        <w:rPr>
          <w:rFonts w:eastAsia="PT Serif" w:cs="PT Serif" w:ascii="PT Serif" w:hAnsi="PT Serif"/>
          <w:color w:val="000000"/>
          <w:sz w:val="20"/>
          <w:szCs w:val="20"/>
        </w:rPr>
        <w:t>, La Butxaca, 2021.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Herbosa Martínez</w:t>
      </w:r>
      <w:r>
        <w:rPr>
          <w:rFonts w:eastAsia="PT Serif" w:cs="PT Serif" w:ascii="PT Serif" w:hAnsi="PT Serif"/>
          <w:color w:val="000000"/>
          <w:sz w:val="20"/>
          <w:szCs w:val="20"/>
        </w:rPr>
        <w:t xml:space="preserve">, Inmaculada., «Encaje de los sistemas de IA en la definición de producto en la legislación de productos defectuosos. Análisis de la legislación vigente con la vista puesta en la Propuesta de Directiva del Parlamento europeo y del Consejo de 28 de septiembre de 2022 (COM/2022/495)», </w:t>
      </w:r>
      <w:r>
        <w:rPr>
          <w:rFonts w:eastAsia="PT Serif" w:cs="PT Serif" w:ascii="PT Serif" w:hAnsi="PT Serif"/>
          <w:i/>
          <w:color w:val="000000"/>
          <w:sz w:val="20"/>
          <w:szCs w:val="20"/>
        </w:rPr>
        <w:t xml:space="preserve">Indret, </w:t>
      </w:r>
      <w:r>
        <w:rPr>
          <w:rFonts w:eastAsia="PT Serif" w:cs="PT Serif" w:ascii="PT Serif" w:hAnsi="PT Serif"/>
          <w:color w:val="000000"/>
          <w:sz w:val="20"/>
          <w:szCs w:val="20"/>
        </w:rPr>
        <w:t>3, 2024, pp. 52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Herrera de las Heras</w:t>
      </w:r>
      <w:r>
        <w:rPr>
          <w:rFonts w:eastAsia="PT Serif" w:cs="PT Serif" w:ascii="PT Serif" w:hAnsi="PT Serif"/>
          <w:color w:val="000000"/>
          <w:sz w:val="20"/>
          <w:szCs w:val="20"/>
        </w:rPr>
        <w:t xml:space="preserve">, Ramón., </w:t>
      </w:r>
      <w:r>
        <w:rPr>
          <w:rFonts w:eastAsia="PT Serif" w:cs="PT Serif" w:ascii="PT Serif" w:hAnsi="PT Serif"/>
          <w:i/>
          <w:color w:val="000000"/>
          <w:sz w:val="20"/>
          <w:szCs w:val="20"/>
        </w:rPr>
        <w:t>Aspectos legales de la inteligencia artificial. Personalidad jurídica de los robots, protección de datos y responsabilidad civil</w:t>
      </w:r>
      <w:r>
        <w:rPr>
          <w:rFonts w:eastAsia="PT Serif" w:cs="PT Serif" w:ascii="PT Serif" w:hAnsi="PT Serif"/>
          <w:color w:val="000000"/>
          <w:sz w:val="20"/>
          <w:szCs w:val="20"/>
        </w:rPr>
        <w:t>, Dykinson, Madrid, 2022.</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18"/>
          <w:szCs w:val="18"/>
          <w:lang w:val="en-CA"/>
        </w:rPr>
      </w:pPr>
      <w:r>
        <w:rPr>
          <w:rFonts w:eastAsia="PT Serif" w:cs="PT Serif" w:ascii="PT Serif" w:hAnsi="PT Serif"/>
          <w:color w:val="000000"/>
          <w:sz w:val="18"/>
          <w:szCs w:val="18"/>
        </w:rPr>
        <w:t xml:space="preserve"> </w:t>
      </w:r>
      <w:r>
        <w:rPr>
          <w:rFonts w:eastAsia="PT Serif" w:cs="PT Serif" w:ascii="PT Serif" w:hAnsi="PT Serif"/>
          <w:smallCaps/>
          <w:sz w:val="20"/>
          <w:szCs w:val="20"/>
          <w:lang w:val="en-CA"/>
        </w:rPr>
        <w:t xml:space="preserve">Kalamees, </w:t>
      </w:r>
      <w:r>
        <w:rPr>
          <w:rFonts w:eastAsia="PT Serif" w:cs="PT Serif" w:ascii="PT Serif" w:hAnsi="PT Serif"/>
          <w:sz w:val="20"/>
          <w:szCs w:val="20"/>
          <w:lang w:val="en-CA"/>
        </w:rPr>
        <w:t xml:space="preserve">Piia., «Goods With Digital Elements and The Seller’s Updating Obligation», </w:t>
      </w:r>
      <w:r>
        <w:rPr>
          <w:rFonts w:eastAsia="PT Serif" w:cs="PT Serif" w:ascii="PT Serif" w:hAnsi="PT Serif"/>
          <w:i/>
          <w:sz w:val="20"/>
          <w:szCs w:val="20"/>
          <w:lang w:val="en-CA"/>
        </w:rPr>
        <w:t xml:space="preserve">JIPITEC, </w:t>
      </w:r>
      <w:r>
        <w:rPr>
          <w:rFonts w:eastAsia="PT Serif" w:cs="PT Serif" w:ascii="PT Serif" w:hAnsi="PT Serif"/>
          <w:sz w:val="20"/>
          <w:szCs w:val="20"/>
          <w:lang w:val="en-CA"/>
        </w:rPr>
        <w:t>2, 2021, p. 131-147.</w:t>
      </w:r>
    </w:p>
    <w:p>
      <w:pPr>
        <w:pStyle w:val="Normal"/>
        <w:spacing w:before="0" w:after="0"/>
        <w:jc w:val="both"/>
        <w:rPr>
          <w:rFonts w:ascii="PT Serif" w:hAnsi="PT Serif" w:eastAsia="PT Serif" w:cs="PT Serif"/>
          <w:i/>
          <w:i/>
          <w:color w:val="000000"/>
          <w:sz w:val="20"/>
          <w:szCs w:val="20"/>
          <w:lang w:val="en-CA"/>
        </w:rPr>
      </w:pPr>
      <w:r>
        <w:rPr>
          <w:rFonts w:eastAsia="PT Serif" w:cs="PT Serif" w:ascii="PT Serif" w:hAnsi="PT Serif"/>
          <w:i/>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Kosta</w:t>
      </w:r>
      <w:r>
        <w:rPr>
          <w:rFonts w:eastAsia="PT Serif" w:cs="PT Serif" w:ascii="PT Serif" w:hAnsi="PT Serif"/>
          <w:color w:val="000000"/>
          <w:sz w:val="20"/>
          <w:szCs w:val="20"/>
          <w:lang w:val="en-CA"/>
        </w:rPr>
        <w:t xml:space="preserve">, Eleni., «Article 35. Data protection impact assessment and prior consultation», en </w:t>
      </w:r>
      <w:r>
        <w:rPr>
          <w:rFonts w:eastAsia="PT Serif" w:cs="PT Serif" w:ascii="PT Serif" w:hAnsi="PT Serif"/>
          <w:smallCaps/>
          <w:color w:val="000000"/>
          <w:sz w:val="20"/>
          <w:szCs w:val="20"/>
          <w:lang w:val="en-CA"/>
        </w:rPr>
        <w:t>Kuner</w:t>
      </w:r>
      <w:r>
        <w:rPr>
          <w:rFonts w:eastAsia="PT Serif" w:cs="PT Serif" w:ascii="PT Serif" w:hAnsi="PT Serif"/>
          <w:color w:val="000000"/>
          <w:sz w:val="20"/>
          <w:szCs w:val="20"/>
          <w:lang w:val="en-CA"/>
        </w:rPr>
        <w:t>, Christopher/</w:t>
      </w:r>
      <w:r>
        <w:rPr>
          <w:rFonts w:eastAsia="PT Serif" w:cs="PT Serif" w:ascii="PT Serif" w:hAnsi="PT Serif"/>
          <w:smallCaps/>
          <w:color w:val="000000"/>
          <w:sz w:val="20"/>
          <w:szCs w:val="20"/>
          <w:lang w:val="en-CA"/>
        </w:rPr>
        <w:t>Bygrave</w:t>
      </w:r>
      <w:r>
        <w:rPr>
          <w:rFonts w:eastAsia="PT Serif" w:cs="PT Serif" w:ascii="PT Serif" w:hAnsi="PT Serif"/>
          <w:color w:val="000000"/>
          <w:sz w:val="20"/>
          <w:szCs w:val="20"/>
          <w:lang w:val="en-CA"/>
        </w:rPr>
        <w:t>, Lee. A/</w:t>
      </w:r>
      <w:r>
        <w:rPr>
          <w:rFonts w:eastAsia="PT Serif" w:cs="PT Serif" w:ascii="PT Serif" w:hAnsi="PT Serif"/>
          <w:smallCaps/>
          <w:color w:val="000000"/>
          <w:sz w:val="20"/>
          <w:szCs w:val="20"/>
          <w:lang w:val="en-CA"/>
        </w:rPr>
        <w:t>Docksey</w:t>
      </w:r>
      <w:r>
        <w:rPr>
          <w:rFonts w:eastAsia="PT Serif" w:cs="PT Serif" w:ascii="PT Serif" w:hAnsi="PT Serif"/>
          <w:color w:val="000000"/>
          <w:sz w:val="20"/>
          <w:szCs w:val="20"/>
          <w:lang w:val="en-CA"/>
        </w:rPr>
        <w:t>, Christopher/</w:t>
      </w:r>
      <w:r>
        <w:rPr>
          <w:rFonts w:eastAsia="PT Serif" w:cs="PT Serif" w:ascii="PT Serif" w:hAnsi="PT Serif"/>
          <w:smallCaps/>
          <w:color w:val="000000"/>
          <w:sz w:val="20"/>
          <w:szCs w:val="20"/>
          <w:lang w:val="en-CA"/>
        </w:rPr>
        <w:t>Drechsler</w:t>
      </w:r>
      <w:r>
        <w:rPr>
          <w:rFonts w:eastAsia="PT Serif" w:cs="PT Serif" w:ascii="PT Serif" w:hAnsi="PT Serif"/>
          <w:color w:val="000000"/>
          <w:sz w:val="20"/>
          <w:szCs w:val="20"/>
          <w:lang w:val="en-CA"/>
        </w:rPr>
        <w:t xml:space="preserve">, Laura (eds.), </w:t>
      </w:r>
      <w:r>
        <w:rPr>
          <w:rFonts w:eastAsia="PT Serif" w:cs="PT Serif" w:ascii="PT Serif" w:hAnsi="PT Serif"/>
          <w:i/>
          <w:color w:val="000000"/>
          <w:sz w:val="20"/>
          <w:szCs w:val="20"/>
          <w:lang w:val="en-CA"/>
        </w:rPr>
        <w:t>The EU General Data Protection Regulation (GDPR): A Commentary</w:t>
      </w:r>
      <w:r>
        <w:rPr>
          <w:rFonts w:eastAsia="PT Serif" w:cs="PT Serif" w:ascii="PT Serif" w:hAnsi="PT Serif"/>
          <w:color w:val="000000"/>
          <w:sz w:val="20"/>
          <w:szCs w:val="20"/>
          <w:lang w:val="en-CA"/>
        </w:rPr>
        <w:t>., Oxford University Press, Londres, 2020, pp,</w:t>
      </w:r>
      <w:r>
        <w:rPr>
          <w:rFonts w:eastAsia="PT Serif" w:cs="PT Serif" w:ascii="PT Serif" w:hAnsi="PT Serif"/>
          <w:b/>
          <w:color w:val="000000"/>
          <w:sz w:val="20"/>
          <w:szCs w:val="20"/>
          <w:lang w:val="en-CA"/>
        </w:rPr>
        <w:t xml:space="preserve"> </w:t>
      </w:r>
      <w:r>
        <w:rPr>
          <w:rFonts w:eastAsia="PT Serif" w:cs="PT Serif" w:ascii="PT Serif" w:hAnsi="PT Serif"/>
          <w:color w:val="000000"/>
          <w:sz w:val="20"/>
          <w:szCs w:val="20"/>
          <w:lang w:val="en-CA"/>
        </w:rPr>
        <w:t>665.</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4"/>
          <w:szCs w:val="24"/>
          <w:lang w:val="en-CA"/>
        </w:rPr>
      </w:pPr>
      <w:r>
        <w:rPr>
          <w:rFonts w:eastAsia="PT Serif" w:cs="PT Serif" w:ascii="PT Serif" w:hAnsi="PT Serif"/>
          <w:smallCaps/>
          <w:color w:val="000000"/>
          <w:sz w:val="20"/>
          <w:szCs w:val="20"/>
          <w:lang w:val="en-CA"/>
        </w:rPr>
        <w:t xml:space="preserve">Li, </w:t>
      </w:r>
      <w:r>
        <w:rPr>
          <w:rFonts w:eastAsia="PT Serif" w:cs="PT Serif" w:ascii="PT Serif" w:hAnsi="PT Serif"/>
          <w:color w:val="000000"/>
          <w:sz w:val="20"/>
          <w:szCs w:val="20"/>
          <w:lang w:val="en-CA"/>
        </w:rPr>
        <w:t>Shu</w:t>
      </w:r>
      <w:r>
        <w:rPr>
          <w:rFonts w:eastAsia="PT Serif" w:cs="PT Serif" w:ascii="PT Serif" w:hAnsi="PT Serif"/>
          <w:smallCaps/>
          <w:color w:val="000000"/>
          <w:sz w:val="20"/>
          <w:szCs w:val="20"/>
          <w:lang w:val="en-CA"/>
        </w:rPr>
        <w:t xml:space="preserve">/Faure, </w:t>
      </w:r>
      <w:r>
        <w:rPr>
          <w:rFonts w:eastAsia="PT Serif" w:cs="PT Serif" w:ascii="PT Serif" w:hAnsi="PT Serif"/>
          <w:color w:val="000000"/>
          <w:sz w:val="20"/>
          <w:szCs w:val="20"/>
          <w:lang w:val="en-CA"/>
        </w:rPr>
        <w:t>Michael</w:t>
      </w:r>
      <w:r>
        <w:rPr>
          <w:rFonts w:eastAsia="PT Serif" w:cs="PT Serif" w:ascii="PT Serif" w:hAnsi="PT Serif"/>
          <w:smallCaps/>
          <w:color w:val="000000"/>
          <w:sz w:val="20"/>
          <w:szCs w:val="20"/>
          <w:lang w:val="en-CA"/>
        </w:rPr>
        <w:t>., «</w:t>
      </w:r>
      <w:r>
        <w:rPr>
          <w:rFonts w:eastAsia="PT Serif" w:cs="PT Serif" w:ascii="PT Serif" w:hAnsi="PT Serif"/>
          <w:color w:val="000000"/>
          <w:sz w:val="20"/>
          <w:szCs w:val="20"/>
          <w:lang w:val="en-CA"/>
        </w:rPr>
        <w:t xml:space="preserve">The Revised Product Liability Directive: A Law and Economics Analysis», </w:t>
      </w:r>
      <w:r>
        <w:rPr>
          <w:rFonts w:eastAsia="PT Serif" w:cs="PT Serif" w:ascii="PT Serif" w:hAnsi="PT Serif"/>
          <w:i/>
          <w:color w:val="000000"/>
          <w:sz w:val="20"/>
          <w:szCs w:val="20"/>
          <w:lang w:val="en-CA"/>
        </w:rPr>
        <w:t xml:space="preserve">Journal of European Tort Law, </w:t>
      </w:r>
      <w:r>
        <w:rPr>
          <w:rFonts w:eastAsia="PT Serif" w:cs="PT Serif" w:ascii="PT Serif" w:hAnsi="PT Serif"/>
          <w:color w:val="000000"/>
          <w:sz w:val="20"/>
          <w:szCs w:val="20"/>
          <w:lang w:val="en-CA"/>
        </w:rPr>
        <w:t>2, 2024, p. 140-171.</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Marín López</w:t>
      </w:r>
      <w:r>
        <w:rPr>
          <w:rFonts w:eastAsia="PT Serif" w:cs="PT Serif" w:ascii="PT Serif" w:hAnsi="PT Serif"/>
          <w:color w:val="000000"/>
          <w:sz w:val="20"/>
          <w:szCs w:val="20"/>
        </w:rPr>
        <w:t xml:space="preserve">, Manuel Jesús., «Productos peligrosos (no seguros) y medidas de protección del consumidor: el artículo 37 del Reglamento 2023/988, de seguridad general de los productos», </w:t>
      </w:r>
      <w:r>
        <w:rPr>
          <w:rFonts w:eastAsia="PT Serif" w:cs="PT Serif" w:ascii="PT Serif" w:hAnsi="PT Serif"/>
          <w:i/>
          <w:color w:val="000000"/>
          <w:sz w:val="20"/>
          <w:szCs w:val="20"/>
        </w:rPr>
        <w:t>CESCO</w:t>
      </w:r>
      <w:r>
        <w:rPr>
          <w:rFonts w:eastAsia="PT Serif" w:cs="PT Serif" w:ascii="PT Serif" w:hAnsi="PT Serif"/>
          <w:color w:val="000000"/>
          <w:sz w:val="20"/>
          <w:szCs w:val="20"/>
        </w:rPr>
        <w:t>, 46, 2023, pp. 87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Miller</w:t>
      </w:r>
      <w:r>
        <w:rPr>
          <w:rFonts w:eastAsia="PT Serif" w:cs="PT Serif" w:ascii="PT Serif" w:hAnsi="PT Serif"/>
          <w:color w:val="000000"/>
          <w:sz w:val="20"/>
          <w:szCs w:val="20"/>
          <w:lang w:val="en-CA"/>
        </w:rPr>
        <w:t xml:space="preserve">, Kevin L., «What we talk about when we talk about 'reasonable cybersecurity': a proactive and adaptive approach», </w:t>
      </w:r>
      <w:r>
        <w:rPr>
          <w:rFonts w:eastAsia="PT Serif" w:cs="PT Serif" w:ascii="PT Serif" w:hAnsi="PT Serif"/>
          <w:i/>
          <w:color w:val="000000"/>
          <w:sz w:val="20"/>
          <w:szCs w:val="20"/>
          <w:lang w:val="en-CA"/>
        </w:rPr>
        <w:t xml:space="preserve">Florida Bar Journal, </w:t>
      </w:r>
      <w:r>
        <w:rPr>
          <w:rFonts w:eastAsia="PT Serif" w:cs="PT Serif" w:ascii="PT Serif" w:hAnsi="PT Serif"/>
          <w:color w:val="000000"/>
          <w:sz w:val="20"/>
          <w:szCs w:val="20"/>
          <w:lang w:val="en-CA"/>
        </w:rPr>
        <w:t>90-8, 2016,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bookmarkStart w:id="3" w:name="_heading=h.t4pclqha2r45"/>
      <w:bookmarkEnd w:id="3"/>
      <w:r>
        <w:rPr>
          <w:rFonts w:eastAsia="PT Serif" w:cs="PT Serif" w:ascii="PT Serif" w:hAnsi="PT Serif"/>
          <w:smallCaps/>
          <w:color w:val="000000"/>
          <w:sz w:val="20"/>
          <w:szCs w:val="20"/>
        </w:rPr>
        <w:t>Martín-Casals</w:t>
      </w:r>
      <w:r>
        <w:rPr>
          <w:rFonts w:eastAsia="PT Serif" w:cs="PT Serif" w:ascii="PT Serif" w:hAnsi="PT Serif"/>
          <w:color w:val="000000"/>
          <w:sz w:val="20"/>
          <w:szCs w:val="20"/>
        </w:rPr>
        <w:t xml:space="preserve">, Miquel., «Las propuestas de la Unión Europea para regular la responsabilidad civil por los daños causados por sistemas de inteligencia artificial», </w:t>
      </w:r>
      <w:r>
        <w:rPr>
          <w:rFonts w:eastAsia="PT Serif" w:cs="PT Serif" w:ascii="PT Serif" w:hAnsi="PT Serif"/>
          <w:i/>
          <w:color w:val="000000"/>
          <w:sz w:val="20"/>
          <w:szCs w:val="20"/>
        </w:rPr>
        <w:t xml:space="preserve">Indret, </w:t>
      </w:r>
      <w:r>
        <w:rPr>
          <w:rFonts w:eastAsia="PT Serif" w:cs="PT Serif" w:ascii="PT Serif" w:hAnsi="PT Serif"/>
          <w:color w:val="000000"/>
          <w:sz w:val="20"/>
          <w:szCs w:val="20"/>
        </w:rPr>
        <w:t>3, 2023, pp. 55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Mueck</w:t>
      </w:r>
      <w:r>
        <w:rPr>
          <w:rFonts w:eastAsia="PT Serif" w:cs="PT Serif" w:ascii="PT Serif" w:hAnsi="PT Serif"/>
          <w:color w:val="000000"/>
          <w:sz w:val="20"/>
          <w:szCs w:val="20"/>
          <w:lang w:val="en-CA"/>
        </w:rPr>
        <w:t>, Marcus/</w:t>
      </w:r>
      <w:r>
        <w:rPr>
          <w:rFonts w:eastAsia="PT Serif" w:cs="PT Serif" w:ascii="PT Serif" w:hAnsi="PT Serif"/>
          <w:smallCaps/>
          <w:color w:val="000000"/>
          <w:sz w:val="20"/>
          <w:szCs w:val="20"/>
          <w:lang w:val="en-CA"/>
        </w:rPr>
        <w:t>Roberts</w:t>
      </w:r>
      <w:r>
        <w:rPr>
          <w:rFonts w:eastAsia="PT Serif" w:cs="PT Serif" w:ascii="PT Serif" w:hAnsi="PT Serif"/>
          <w:color w:val="000000"/>
          <w:sz w:val="20"/>
          <w:szCs w:val="20"/>
          <w:lang w:val="en-CA"/>
        </w:rPr>
        <w:t>, Taylor/</w:t>
      </w:r>
      <w:r>
        <w:rPr>
          <w:rFonts w:eastAsia="PT Serif" w:cs="PT Serif" w:ascii="PT Serif" w:hAnsi="PT Serif"/>
          <w:smallCaps/>
          <w:color w:val="000000"/>
          <w:sz w:val="20"/>
          <w:szCs w:val="20"/>
          <w:lang w:val="en-CA"/>
        </w:rPr>
        <w:t>Du Boispéan</w:t>
      </w:r>
      <w:r>
        <w:rPr>
          <w:rFonts w:eastAsia="PT Serif" w:cs="PT Serif" w:ascii="PT Serif" w:hAnsi="PT Serif"/>
          <w:color w:val="000000"/>
          <w:sz w:val="20"/>
          <w:szCs w:val="20"/>
          <w:lang w:val="en-CA"/>
        </w:rPr>
        <w:t>, Stéphane/</w:t>
      </w:r>
      <w:r>
        <w:rPr>
          <w:rFonts w:eastAsia="PT Serif" w:cs="PT Serif" w:ascii="PT Serif" w:hAnsi="PT Serif"/>
          <w:smallCaps/>
          <w:color w:val="000000"/>
          <w:sz w:val="20"/>
          <w:szCs w:val="20"/>
          <w:lang w:val="en-CA"/>
        </w:rPr>
        <w:t>Gaie</w:t>
      </w:r>
      <w:r>
        <w:rPr>
          <w:rFonts w:eastAsia="PT Serif" w:cs="PT Serif" w:ascii="PT Serif" w:hAnsi="PT Serif"/>
          <w:color w:val="000000"/>
          <w:sz w:val="20"/>
          <w:szCs w:val="20"/>
          <w:lang w:val="en-CA"/>
        </w:rPr>
        <w:t xml:space="preserve">, Christophe., «E 4. Introduction to the European Cyber Resilience Act», en </w:t>
      </w:r>
      <w:r>
        <w:rPr>
          <w:rFonts w:eastAsia="PT Serif" w:cs="PT Serif" w:ascii="PT Serif" w:hAnsi="PT Serif"/>
          <w:smallCaps/>
          <w:color w:val="000000"/>
          <w:sz w:val="20"/>
          <w:szCs w:val="20"/>
          <w:lang w:val="en-CA"/>
        </w:rPr>
        <w:t>Mueck</w:t>
      </w:r>
      <w:r>
        <w:rPr>
          <w:rFonts w:eastAsia="PT Serif" w:cs="PT Serif" w:ascii="PT Serif" w:hAnsi="PT Serif"/>
          <w:color w:val="000000"/>
          <w:sz w:val="20"/>
          <w:szCs w:val="20"/>
          <w:lang w:val="en-CA"/>
        </w:rPr>
        <w:t>, Marcus/</w:t>
      </w:r>
      <w:r>
        <w:rPr>
          <w:rFonts w:eastAsia="PT Serif" w:cs="PT Serif" w:ascii="PT Serif" w:hAnsi="PT Serif"/>
          <w:smallCaps/>
          <w:color w:val="000000"/>
          <w:sz w:val="20"/>
          <w:szCs w:val="20"/>
          <w:lang w:val="en-CA"/>
        </w:rPr>
        <w:t>Gaie</w:t>
      </w:r>
      <w:r>
        <w:rPr>
          <w:rFonts w:eastAsia="PT Serif" w:cs="PT Serif" w:ascii="PT Serif" w:hAnsi="PT Serif"/>
          <w:color w:val="000000"/>
          <w:sz w:val="20"/>
          <w:szCs w:val="20"/>
          <w:lang w:val="en-CA"/>
        </w:rPr>
        <w:t xml:space="preserve">, Christophe (eds.), </w:t>
      </w:r>
      <w:r>
        <w:rPr>
          <w:rFonts w:eastAsia="PT Serif" w:cs="PT Serif" w:ascii="PT Serif" w:hAnsi="PT Serif"/>
          <w:i/>
          <w:color w:val="000000"/>
          <w:sz w:val="20"/>
          <w:szCs w:val="20"/>
          <w:lang w:val="en-CA"/>
        </w:rPr>
        <w:t>European Digital Regulations</w:t>
      </w:r>
      <w:r>
        <w:rPr>
          <w:rFonts w:eastAsia="PT Serif" w:cs="PT Serif" w:ascii="PT Serif" w:hAnsi="PT Serif"/>
          <w:color w:val="000000"/>
          <w:sz w:val="20"/>
          <w:szCs w:val="20"/>
          <w:lang w:val="en-CA"/>
        </w:rPr>
        <w:t>, Springer Nature, 2025, pp. 91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Nikolinakos</w:t>
      </w:r>
      <w:r>
        <w:rPr>
          <w:rFonts w:eastAsia="PT Serif" w:cs="PT Serif" w:ascii="PT Serif" w:hAnsi="PT Serif"/>
          <w:color w:val="000000"/>
          <w:sz w:val="20"/>
          <w:szCs w:val="20"/>
          <w:lang w:val="en-CA"/>
        </w:rPr>
        <w:t xml:space="preserve">, Nikos Th., </w:t>
      </w:r>
      <w:r>
        <w:rPr>
          <w:rFonts w:eastAsia="PT Serif" w:cs="PT Serif" w:ascii="PT Serif" w:hAnsi="PT Serif"/>
          <w:i/>
          <w:color w:val="000000"/>
          <w:sz w:val="20"/>
          <w:szCs w:val="20"/>
          <w:lang w:val="en-CA"/>
        </w:rPr>
        <w:t xml:space="preserve">Adapting the EU Civil Liability Regime to the Digital Age: Artifcial Intelligence, Robotics, and Other Emerging Technologies, </w:t>
      </w:r>
      <w:r>
        <w:rPr>
          <w:rFonts w:eastAsia="PT Serif" w:cs="PT Serif" w:ascii="PT Serif" w:hAnsi="PT Serif"/>
          <w:color w:val="000000"/>
          <w:sz w:val="20"/>
          <w:szCs w:val="20"/>
          <w:lang w:val="en-CA"/>
        </w:rPr>
        <w:t>Springer, 2024.</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4"/>
          <w:szCs w:val="24"/>
        </w:rPr>
      </w:pPr>
      <w:r>
        <w:rPr>
          <w:rFonts w:eastAsia="PT Serif" w:cs="PT Serif" w:ascii="PT Serif" w:hAnsi="PT Serif"/>
          <w:smallCaps/>
          <w:color w:val="000000"/>
          <w:sz w:val="20"/>
          <w:szCs w:val="20"/>
        </w:rPr>
        <w:t xml:space="preserve">Parra Lucán, </w:t>
      </w:r>
      <w:r>
        <w:rPr>
          <w:rFonts w:eastAsia="PT Serif" w:cs="PT Serif" w:ascii="PT Serif" w:hAnsi="PT Serif"/>
          <w:color w:val="000000"/>
          <w:sz w:val="20"/>
          <w:szCs w:val="20"/>
        </w:rPr>
        <w:t xml:space="preserve">Mª Ángeles., </w:t>
      </w:r>
      <w:r>
        <w:rPr>
          <w:rFonts w:eastAsia="PT Serif" w:cs="PT Serif" w:ascii="PT Serif" w:hAnsi="PT Serif"/>
          <w:i/>
          <w:color w:val="000000"/>
          <w:sz w:val="20"/>
          <w:szCs w:val="20"/>
        </w:rPr>
        <w:t>La protección del consumidor frente a los daños. Responsabilidad civil del fabricante y del prestador de servicios</w:t>
      </w:r>
      <w:r>
        <w:rPr>
          <w:rFonts w:eastAsia="PT Serif" w:cs="PT Serif" w:ascii="PT Serif" w:hAnsi="PT Serif"/>
          <w:color w:val="000000"/>
          <w:sz w:val="20"/>
          <w:szCs w:val="20"/>
        </w:rPr>
        <w:t>, Reus, Madrid, 2011.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i/>
          <w:i/>
          <w:color w:val="000000"/>
          <w:sz w:val="20"/>
          <w:szCs w:val="20"/>
        </w:rPr>
      </w:pPr>
      <w:r>
        <w:rPr>
          <w:rFonts w:eastAsia="PT Serif" w:cs="PT Serif" w:ascii="PT Serif" w:hAnsi="PT Serif"/>
          <w:smallCaps/>
          <w:color w:val="000000"/>
          <w:sz w:val="20"/>
          <w:szCs w:val="20"/>
        </w:rPr>
        <w:t>Pazos Castro</w:t>
      </w:r>
      <w:r>
        <w:rPr>
          <w:rFonts w:eastAsia="PT Serif" w:cs="PT Serif" w:ascii="PT Serif" w:hAnsi="PT Serif"/>
          <w:color w:val="000000"/>
          <w:sz w:val="20"/>
          <w:szCs w:val="20"/>
        </w:rPr>
        <w:t xml:space="preserve">, Ricardo., «El carácter defectuoso del producto en la nueva Directiva europea 2024/2853», </w:t>
      </w:r>
      <w:r>
        <w:rPr>
          <w:rFonts w:eastAsia="PT Serif" w:cs="PT Serif" w:ascii="PT Serif" w:hAnsi="PT Serif"/>
          <w:i/>
          <w:color w:val="000000"/>
          <w:sz w:val="20"/>
          <w:szCs w:val="20"/>
        </w:rPr>
        <w:t xml:space="preserve">Revista de Internet, Derecho y Política, </w:t>
      </w:r>
      <w:r>
        <w:rPr>
          <w:rFonts w:eastAsia="PT Serif" w:cs="PT Serif" w:ascii="PT Serif" w:hAnsi="PT Serif"/>
          <w:color w:val="000000"/>
          <w:sz w:val="20"/>
          <w:szCs w:val="20"/>
        </w:rPr>
        <w:t xml:space="preserve">43, 2025, pp. 1 ss. </w:t>
      </w:r>
      <w:r>
        <w:rPr>
          <w:rFonts w:eastAsia="PT Serif" w:cs="PT Serif" w:ascii="PT Serif" w:hAnsi="PT Serif"/>
          <w:i/>
          <w:color w:val="000000"/>
          <w:sz w:val="20"/>
          <w:szCs w:val="20"/>
        </w:rPr>
        <w:t xml:space="preserve"> </w:t>
      </w:r>
    </w:p>
    <w:p>
      <w:pPr>
        <w:pStyle w:val="Normal"/>
        <w:spacing w:before="0" w:after="0"/>
        <w:jc w:val="both"/>
        <w:rPr>
          <w:rFonts w:ascii="PT Serif" w:hAnsi="PT Serif" w:eastAsia="PT Serif" w:cs="PT Serif"/>
          <w:i/>
          <w:i/>
          <w:color w:val="000000"/>
          <w:sz w:val="20"/>
          <w:szCs w:val="20"/>
        </w:rPr>
      </w:pPr>
      <w:r>
        <w:rPr>
          <w:rFonts w:eastAsia="PT Serif" w:cs="PT Serif" w:ascii="PT Serif" w:hAnsi="PT Serif"/>
          <w:i/>
          <w:color w:val="000000"/>
          <w:sz w:val="20"/>
          <w:szCs w:val="20"/>
        </w:rPr>
      </w:r>
    </w:p>
    <w:p>
      <w:pPr>
        <w:pStyle w:val="Normal"/>
        <w:spacing w:before="0" w:after="0"/>
        <w:jc w:val="both"/>
        <w:rPr>
          <w:rFonts w:ascii="PT Serif" w:hAnsi="PT Serif" w:eastAsia="PT Serif" w:cs="PT Serif"/>
          <w:color w:val="000000"/>
        </w:rPr>
      </w:pPr>
      <w:r>
        <w:rPr>
          <w:rFonts w:eastAsia="PT Serif" w:cs="PT Serif" w:ascii="PT Serif" w:hAnsi="PT Serif"/>
          <w:smallCaps/>
          <w:color w:val="000000"/>
          <w:sz w:val="20"/>
          <w:szCs w:val="20"/>
        </w:rPr>
        <w:t xml:space="preserve">Pérez García, </w:t>
      </w:r>
      <w:r>
        <w:rPr>
          <w:rFonts w:eastAsia="PT Serif" w:cs="PT Serif" w:ascii="PT Serif" w:hAnsi="PT Serif"/>
          <w:color w:val="000000"/>
          <w:sz w:val="20"/>
          <w:szCs w:val="20"/>
        </w:rPr>
        <w:t xml:space="preserve">Máximo Juan., «La responsabilidad por los daños causados por productos defectuosos: análisis de la Directiva (UE) 2024/2853 y una propuesta de lege ferenda de incorporación al Ordenamiento español», </w:t>
      </w:r>
      <w:r>
        <w:rPr>
          <w:rFonts w:eastAsia="PT Serif" w:cs="PT Serif" w:ascii="PT Serif" w:hAnsi="PT Serif"/>
          <w:i/>
          <w:color w:val="000000"/>
          <w:sz w:val="20"/>
          <w:szCs w:val="20"/>
        </w:rPr>
        <w:t xml:space="preserve">Indret, </w:t>
      </w:r>
      <w:r>
        <w:rPr>
          <w:rFonts w:eastAsia="PT Serif" w:cs="PT Serif" w:ascii="PT Serif" w:hAnsi="PT Serif"/>
          <w:color w:val="000000"/>
          <w:sz w:val="20"/>
          <w:szCs w:val="20"/>
        </w:rPr>
        <w:t>3, 2025, p. 206-239.</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Raiz Shaffique</w:t>
      </w:r>
      <w:r>
        <w:rPr>
          <w:rFonts w:eastAsia="PT Serif" w:cs="PT Serif" w:ascii="PT Serif" w:hAnsi="PT Serif"/>
          <w:color w:val="000000"/>
          <w:sz w:val="20"/>
          <w:szCs w:val="20"/>
          <w:lang w:val="en-CA"/>
        </w:rPr>
        <w:t xml:space="preserve">, Mohammed., «Cyber Resilience Act 2022: A silver bullet for cybersecurity of IoT devices or a shot in the dark?», </w:t>
      </w:r>
      <w:r>
        <w:rPr>
          <w:rFonts w:eastAsia="PT Serif" w:cs="PT Serif" w:ascii="PT Serif" w:hAnsi="PT Serif"/>
          <w:i/>
          <w:color w:val="000000"/>
          <w:sz w:val="20"/>
          <w:szCs w:val="20"/>
          <w:lang w:val="en-CA"/>
        </w:rPr>
        <w:t>Computer Law &amp; Security Review</w:t>
      </w:r>
      <w:r>
        <w:rPr>
          <w:rFonts w:eastAsia="PT Serif" w:cs="PT Serif" w:ascii="PT Serif" w:hAnsi="PT Serif"/>
          <w:color w:val="000000"/>
          <w:sz w:val="20"/>
          <w:szCs w:val="20"/>
          <w:lang w:val="en-CA"/>
        </w:rPr>
        <w:t>, 54, 2024,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Ramos González</w:t>
      </w:r>
      <w:r>
        <w:rPr>
          <w:rFonts w:eastAsia="PT Serif" w:cs="PT Serif" w:ascii="PT Serif" w:hAnsi="PT Serif"/>
          <w:color w:val="000000"/>
          <w:sz w:val="20"/>
          <w:szCs w:val="20"/>
        </w:rPr>
        <w:t>, Sonia/</w:t>
      </w:r>
      <w:r>
        <w:rPr>
          <w:rFonts w:eastAsia="PT Serif" w:cs="PT Serif" w:ascii="PT Serif" w:hAnsi="PT Serif"/>
          <w:smallCaps/>
          <w:color w:val="000000"/>
          <w:sz w:val="20"/>
          <w:szCs w:val="20"/>
        </w:rPr>
        <w:t>Rubí Puig</w:t>
      </w:r>
      <w:r>
        <w:rPr>
          <w:rFonts w:eastAsia="PT Serif" w:cs="PT Serif" w:ascii="PT Serif" w:hAnsi="PT Serif"/>
          <w:color w:val="000000"/>
          <w:sz w:val="20"/>
          <w:szCs w:val="20"/>
        </w:rPr>
        <w:t xml:space="preserve">, Antoni., «Causas de exoneración de responsabilidad», en </w:t>
      </w:r>
      <w:r>
        <w:rPr>
          <w:rFonts w:eastAsia="PT Serif" w:cs="PT Serif" w:ascii="PT Serif" w:hAnsi="PT Serif"/>
          <w:smallCaps/>
          <w:color w:val="000000"/>
          <w:sz w:val="20"/>
          <w:szCs w:val="20"/>
        </w:rPr>
        <w:t>Salvador Coderch</w:t>
      </w:r>
      <w:r>
        <w:rPr>
          <w:rFonts w:eastAsia="PT Serif" w:cs="PT Serif" w:ascii="PT Serif" w:hAnsi="PT Serif"/>
          <w:color w:val="000000"/>
          <w:sz w:val="20"/>
          <w:szCs w:val="20"/>
        </w:rPr>
        <w:t>, Pablo/</w:t>
      </w:r>
      <w:r>
        <w:rPr>
          <w:rFonts w:eastAsia="PT Serif" w:cs="PT Serif" w:ascii="PT Serif" w:hAnsi="PT Serif"/>
          <w:smallCaps/>
          <w:color w:val="000000"/>
          <w:sz w:val="20"/>
          <w:szCs w:val="20"/>
        </w:rPr>
        <w:t>Gómez Pomar</w:t>
      </w:r>
      <w:r>
        <w:rPr>
          <w:rFonts w:eastAsia="PT Serif" w:cs="PT Serif" w:ascii="PT Serif" w:hAnsi="PT Serif"/>
          <w:color w:val="000000"/>
          <w:sz w:val="20"/>
          <w:szCs w:val="20"/>
        </w:rPr>
        <w:t xml:space="preserve">, Fernando (dirs.), </w:t>
      </w:r>
      <w:r>
        <w:rPr>
          <w:rFonts w:eastAsia="PT Serif" w:cs="PT Serif" w:ascii="PT Serif" w:hAnsi="PT Serif"/>
          <w:i/>
          <w:color w:val="000000"/>
          <w:sz w:val="20"/>
          <w:szCs w:val="20"/>
        </w:rPr>
        <w:t>Tratado de responsabilidad civil del fabricante</w:t>
      </w:r>
      <w:r>
        <w:rPr>
          <w:rFonts w:eastAsia="PT Serif" w:cs="PT Serif" w:ascii="PT Serif" w:hAnsi="PT Serif"/>
          <w:color w:val="000000"/>
          <w:sz w:val="20"/>
          <w:szCs w:val="20"/>
        </w:rPr>
        <w:t>, Aranzadi, Pamplona, 2008, pp. 533-551.</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0"/>
        <w:jc w:val="both"/>
        <w:rPr>
          <w:rFonts w:ascii="PT Serif" w:hAnsi="PT Serif" w:eastAsia="PT Serif" w:cs="PT Serif"/>
          <w:color w:val="EE0000"/>
          <w:sz w:val="24"/>
          <w:szCs w:val="24"/>
          <w:lang w:val="en-CA"/>
        </w:rPr>
      </w:pPr>
      <w:r>
        <w:rPr>
          <w:rFonts w:eastAsia="PT Serif" w:cs="PT Serif" w:ascii="PT Serif" w:hAnsi="PT Serif"/>
          <w:smallCaps/>
          <w:color w:val="000000"/>
          <w:sz w:val="20"/>
          <w:szCs w:val="20"/>
          <w:lang w:val="en-CA"/>
        </w:rPr>
        <w:t xml:space="preserve">Romanosky, </w:t>
      </w:r>
      <w:r>
        <w:rPr>
          <w:rFonts w:eastAsia="PT Serif" w:cs="PT Serif" w:ascii="PT Serif" w:hAnsi="PT Serif"/>
          <w:color w:val="000000"/>
          <w:sz w:val="20"/>
          <w:szCs w:val="20"/>
          <w:lang w:val="en-CA"/>
        </w:rPr>
        <w:t xml:space="preserve">Sasha., «Examining the costs and causes of cyber incidents», </w:t>
      </w:r>
      <w:r>
        <w:rPr>
          <w:rFonts w:eastAsia="PT Serif" w:cs="PT Serif" w:ascii="PT Serif" w:hAnsi="PT Serif"/>
          <w:i/>
          <w:color w:val="000000"/>
          <w:sz w:val="20"/>
          <w:szCs w:val="20"/>
          <w:lang w:val="en-CA"/>
        </w:rPr>
        <w:t xml:space="preserve">Journal of Cybsersecurity, </w:t>
      </w:r>
      <w:r>
        <w:rPr>
          <w:rFonts w:eastAsia="PT Serif" w:cs="PT Serif" w:ascii="PT Serif" w:hAnsi="PT Serif"/>
          <w:color w:val="000000"/>
          <w:sz w:val="20"/>
          <w:szCs w:val="20"/>
          <w:lang w:val="en-CA"/>
        </w:rPr>
        <w:t>2, 2016, p. 121-135.</w:t>
      </w:r>
    </w:p>
    <w:p>
      <w:pPr>
        <w:pStyle w:val="Normal"/>
        <w:spacing w:before="0" w:after="0"/>
        <w:jc w:val="both"/>
        <w:rPr>
          <w:rFonts w:ascii="PT Serif" w:hAnsi="PT Serif" w:eastAsia="PT Serif" w:cs="PT Serif"/>
          <w:color w:val="EE0000"/>
          <w:sz w:val="20"/>
          <w:szCs w:val="20"/>
          <w:lang w:val="en-CA"/>
        </w:rPr>
      </w:pPr>
      <w:r>
        <w:rPr>
          <w:rFonts w:eastAsia="PT Serif" w:cs="PT Serif" w:ascii="PT Serif" w:hAnsi="PT Serif"/>
          <w:color w:val="EE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Roytman</w:t>
      </w:r>
      <w:r>
        <w:rPr>
          <w:rFonts w:eastAsia="PT Serif" w:cs="PT Serif" w:ascii="PT Serif" w:hAnsi="PT Serif"/>
          <w:color w:val="000000"/>
          <w:sz w:val="20"/>
          <w:szCs w:val="20"/>
          <w:lang w:val="en-CA"/>
        </w:rPr>
        <w:t>, Michael/</w:t>
      </w:r>
      <w:r>
        <w:rPr>
          <w:rFonts w:eastAsia="PT Serif" w:cs="PT Serif" w:ascii="PT Serif" w:hAnsi="PT Serif"/>
          <w:smallCaps/>
          <w:color w:val="000000"/>
          <w:sz w:val="20"/>
          <w:szCs w:val="20"/>
          <w:lang w:val="en-CA"/>
        </w:rPr>
        <w:t>Bellis</w:t>
      </w:r>
      <w:r>
        <w:rPr>
          <w:rFonts w:eastAsia="PT Serif" w:cs="PT Serif" w:ascii="PT Serif" w:hAnsi="PT Serif"/>
          <w:color w:val="000000"/>
          <w:sz w:val="20"/>
          <w:szCs w:val="20"/>
          <w:lang w:val="en-CA"/>
        </w:rPr>
        <w:t xml:space="preserve">, Ed., </w:t>
      </w:r>
      <w:r>
        <w:rPr>
          <w:rFonts w:eastAsia="PT Serif" w:cs="PT Serif" w:ascii="PT Serif" w:hAnsi="PT Serif"/>
          <w:i/>
          <w:color w:val="000000"/>
          <w:sz w:val="20"/>
          <w:szCs w:val="20"/>
          <w:lang w:val="en-CA"/>
        </w:rPr>
        <w:t>Modern Vulnerability Management. Predictive Cybersecurity</w:t>
      </w:r>
      <w:r>
        <w:rPr>
          <w:rFonts w:eastAsia="PT Serif" w:cs="PT Serif" w:ascii="PT Serif" w:hAnsi="PT Serif"/>
          <w:color w:val="000000"/>
          <w:sz w:val="20"/>
          <w:szCs w:val="20"/>
          <w:lang w:val="en-CA"/>
        </w:rPr>
        <w:t>, Artech House, Londres, 2023.</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4"/>
          <w:szCs w:val="24"/>
        </w:rPr>
      </w:pPr>
      <w:r>
        <w:rPr>
          <w:rFonts w:eastAsia="PT Serif" w:cs="PT Serif" w:ascii="PT Serif" w:hAnsi="PT Serif"/>
          <w:smallCaps/>
          <w:color w:val="000000"/>
          <w:sz w:val="20"/>
          <w:szCs w:val="20"/>
        </w:rPr>
        <w:t xml:space="preserve">Rubí Puig, </w:t>
      </w:r>
      <w:r>
        <w:rPr>
          <w:rFonts w:eastAsia="PT Serif" w:cs="PT Serif" w:ascii="PT Serif" w:hAnsi="PT Serif"/>
          <w:color w:val="000000"/>
          <w:sz w:val="20"/>
          <w:szCs w:val="20"/>
        </w:rPr>
        <w:t xml:space="preserve">Antoni., «Daños por infracciones del derecho a la protección de datos personales. El remedio indemnizatorio del artículo 82 RGPD», </w:t>
      </w:r>
      <w:r>
        <w:rPr>
          <w:rFonts w:eastAsia="PT Serif" w:cs="PT Serif" w:ascii="PT Serif" w:hAnsi="PT Serif"/>
          <w:i/>
          <w:color w:val="000000"/>
          <w:sz w:val="20"/>
          <w:szCs w:val="20"/>
        </w:rPr>
        <w:t xml:space="preserve">Revista de Derecho Civil, </w:t>
      </w:r>
      <w:r>
        <w:rPr>
          <w:rFonts w:eastAsia="PT Serif" w:cs="PT Serif" w:ascii="PT Serif" w:hAnsi="PT Serif"/>
          <w:color w:val="000000"/>
          <w:sz w:val="20"/>
          <w:szCs w:val="20"/>
        </w:rPr>
        <w:t>4, 2018, p. 53-87.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ind w:left="708"/>
        <w:jc w:val="both"/>
        <w:rPr>
          <w:rFonts w:ascii="PT Serif" w:hAnsi="PT Serif" w:eastAsia="PT Serif" w:cs="PT Serif"/>
          <w:color w:val="000000"/>
          <w:sz w:val="24"/>
          <w:szCs w:val="24"/>
        </w:rPr>
      </w:pPr>
      <w:r>
        <w:rPr>
          <w:rFonts w:eastAsia="PT Serif" w:cs="PT Serif" w:ascii="PT Serif" w:hAnsi="PT Serif"/>
          <w:color w:val="000000"/>
          <w:sz w:val="20"/>
          <w:szCs w:val="20"/>
        </w:rPr>
        <w:t xml:space="preserve">«Inteligencia artificial y daños indemnizables», en </w:t>
      </w:r>
      <w:r>
        <w:rPr>
          <w:rFonts w:eastAsia="PT Serif" w:cs="PT Serif" w:ascii="PT Serif" w:hAnsi="PT Serif"/>
          <w:smallCaps/>
          <w:color w:val="000000"/>
          <w:sz w:val="20"/>
          <w:szCs w:val="20"/>
        </w:rPr>
        <w:t xml:space="preserve">Álvarez Lata, </w:t>
      </w:r>
      <w:r>
        <w:rPr>
          <w:rFonts w:eastAsia="PT Serif" w:cs="PT Serif" w:ascii="PT Serif" w:hAnsi="PT Serif"/>
          <w:color w:val="000000"/>
          <w:sz w:val="20"/>
          <w:szCs w:val="20"/>
        </w:rPr>
        <w:t xml:space="preserve">Natalia, (coord.), </w:t>
      </w:r>
      <w:r>
        <w:rPr>
          <w:rFonts w:eastAsia="PT Serif" w:cs="PT Serif" w:ascii="PT Serif" w:hAnsi="PT Serif"/>
          <w:i/>
          <w:color w:val="000000"/>
          <w:sz w:val="20"/>
          <w:szCs w:val="20"/>
        </w:rPr>
        <w:t>Derecho de contratos, responsabilidad extracontractual e inteligencia artificial</w:t>
      </w:r>
      <w:r>
        <w:rPr>
          <w:rFonts w:eastAsia="PT Serif" w:cs="PT Serif" w:ascii="PT Serif" w:hAnsi="PT Serif"/>
          <w:color w:val="000000"/>
          <w:sz w:val="20"/>
          <w:szCs w:val="20"/>
        </w:rPr>
        <w:t>, Asociación de Profesoras y Profesores de Derecho Civil, Aranzadi, Las Rozas (Madrid), 2024, p. 621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Ruíz García</w:t>
      </w:r>
      <w:r>
        <w:rPr>
          <w:rFonts w:eastAsia="PT Serif" w:cs="PT Serif" w:ascii="PT Serif" w:hAnsi="PT Serif"/>
          <w:color w:val="000000"/>
          <w:sz w:val="20"/>
          <w:szCs w:val="20"/>
        </w:rPr>
        <w:t>, Carlos Alberto/</w:t>
      </w:r>
      <w:r>
        <w:rPr>
          <w:rFonts w:eastAsia="PT Serif" w:cs="PT Serif" w:ascii="PT Serif" w:hAnsi="PT Serif"/>
          <w:smallCaps/>
          <w:color w:val="000000"/>
          <w:sz w:val="20"/>
          <w:szCs w:val="20"/>
        </w:rPr>
        <w:t>Marín García</w:t>
      </w:r>
      <w:r>
        <w:rPr>
          <w:rFonts w:eastAsia="PT Serif" w:cs="PT Serif" w:ascii="PT Serif" w:hAnsi="PT Serif"/>
          <w:color w:val="000000"/>
          <w:sz w:val="20"/>
          <w:szCs w:val="20"/>
        </w:rPr>
        <w:t xml:space="preserve">, Ignacio., «Producto inseguro y producto defectuoso», </w:t>
      </w:r>
      <w:r>
        <w:rPr>
          <w:rFonts w:eastAsia="PT Serif" w:cs="PT Serif" w:ascii="PT Serif" w:hAnsi="PT Serif"/>
          <w:i/>
          <w:color w:val="000000"/>
          <w:sz w:val="20"/>
          <w:szCs w:val="20"/>
        </w:rPr>
        <w:t xml:space="preserve">Indret, </w:t>
      </w:r>
      <w:r>
        <w:rPr>
          <w:rFonts w:eastAsia="PT Serif" w:cs="PT Serif" w:ascii="PT Serif" w:hAnsi="PT Serif"/>
          <w:color w:val="000000"/>
          <w:sz w:val="20"/>
          <w:szCs w:val="20"/>
        </w:rPr>
        <w:t>4, 2006, pp. 1-20.</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Salvador Coderch</w:t>
      </w:r>
      <w:r>
        <w:rPr>
          <w:rFonts w:eastAsia="PT Serif" w:cs="PT Serif" w:ascii="PT Serif" w:hAnsi="PT Serif"/>
          <w:color w:val="000000"/>
          <w:sz w:val="20"/>
          <w:szCs w:val="20"/>
        </w:rPr>
        <w:t>, Pablo/</w:t>
      </w:r>
      <w:r>
        <w:rPr>
          <w:rFonts w:eastAsia="PT Serif" w:cs="PT Serif" w:ascii="PT Serif" w:hAnsi="PT Serif"/>
          <w:smallCaps/>
          <w:color w:val="000000"/>
          <w:sz w:val="20"/>
          <w:szCs w:val="20"/>
        </w:rPr>
        <w:t>Solé Feliu</w:t>
      </w:r>
      <w:r>
        <w:rPr>
          <w:rFonts w:eastAsia="PT Serif" w:cs="PT Serif" w:ascii="PT Serif" w:hAnsi="PT Serif"/>
          <w:color w:val="000000"/>
          <w:sz w:val="20"/>
          <w:szCs w:val="20"/>
        </w:rPr>
        <w:t xml:space="preserve">, Josep, </w:t>
      </w:r>
      <w:r>
        <w:rPr>
          <w:rFonts w:eastAsia="PT Serif" w:cs="PT Serif" w:ascii="PT Serif" w:hAnsi="PT Serif"/>
          <w:i/>
          <w:color w:val="000000"/>
          <w:sz w:val="20"/>
          <w:szCs w:val="20"/>
        </w:rPr>
        <w:t xml:space="preserve">Brujos y aprendices: los riesgos de desarrollo en la responsabilidad de producto, </w:t>
      </w:r>
      <w:r>
        <w:rPr>
          <w:rFonts w:eastAsia="PT Serif" w:cs="PT Serif" w:ascii="PT Serif" w:hAnsi="PT Serif"/>
          <w:color w:val="000000"/>
          <w:sz w:val="20"/>
          <w:szCs w:val="20"/>
        </w:rPr>
        <w:t>Marcial Pons, Madrid, 1999.</w:t>
      </w:r>
    </w:p>
    <w:p>
      <w:pPr>
        <w:pStyle w:val="Normal"/>
        <w:spacing w:before="0" w:after="0"/>
        <w:jc w:val="both"/>
        <w:rPr>
          <w:rFonts w:ascii="PT Serif" w:hAnsi="PT Serif" w:eastAsia="PT Serif" w:cs="PT Serif"/>
          <w:smallCaps/>
          <w:color w:val="EE0000"/>
          <w:sz w:val="20"/>
          <w:szCs w:val="20"/>
        </w:rPr>
      </w:pPr>
      <w:r>
        <w:rPr>
          <w:rFonts w:eastAsia="PT Serif" w:cs="PT Serif" w:ascii="PT Serif" w:hAnsi="PT Serif"/>
          <w:smallCaps/>
          <w:color w:val="EE0000"/>
          <w:sz w:val="20"/>
          <w:szCs w:val="20"/>
        </w:rPr>
      </w:r>
    </w:p>
    <w:p>
      <w:pPr>
        <w:pStyle w:val="Normal"/>
        <w:spacing w:before="0" w:after="0"/>
        <w:jc w:val="both"/>
        <w:rPr>
          <w:rFonts w:ascii="PT Serif" w:hAnsi="PT Serif" w:eastAsia="PT Serif" w:cs="PT Serif"/>
          <w:color w:val="000000"/>
          <w:sz w:val="20"/>
          <w:szCs w:val="20"/>
        </w:rPr>
      </w:pPr>
      <w:r>
        <w:rPr>
          <w:rFonts w:eastAsia="PT Serif" w:cs="PT Serif" w:ascii="PT Serif" w:hAnsi="PT Serif"/>
          <w:smallCaps/>
          <w:color w:val="000000"/>
          <w:sz w:val="20"/>
          <w:szCs w:val="20"/>
        </w:rPr>
        <w:t>Salvador Coderch</w:t>
      </w:r>
      <w:r>
        <w:rPr>
          <w:rFonts w:eastAsia="PT Serif" w:cs="PT Serif" w:ascii="PT Serif" w:hAnsi="PT Serif"/>
          <w:color w:val="000000"/>
          <w:sz w:val="20"/>
          <w:szCs w:val="20"/>
        </w:rPr>
        <w:t>, Pablo/</w:t>
      </w:r>
      <w:r>
        <w:rPr>
          <w:rFonts w:eastAsia="PT Serif" w:cs="PT Serif" w:ascii="PT Serif" w:hAnsi="PT Serif"/>
          <w:smallCaps/>
          <w:color w:val="000000"/>
          <w:sz w:val="20"/>
          <w:szCs w:val="20"/>
        </w:rPr>
        <w:t>Rubí Puig</w:t>
      </w:r>
      <w:r>
        <w:rPr>
          <w:rFonts w:eastAsia="PT Serif" w:cs="PT Serif" w:ascii="PT Serif" w:hAnsi="PT Serif"/>
          <w:color w:val="000000"/>
          <w:sz w:val="20"/>
          <w:szCs w:val="20"/>
        </w:rPr>
        <w:t xml:space="preserve">, Antonio., «Causas de exoneración de la responsabilidad. Excepción por riesgos de desarrollo», en </w:t>
      </w:r>
      <w:r>
        <w:rPr>
          <w:rFonts w:eastAsia="PT Serif" w:cs="PT Serif" w:ascii="PT Serif" w:hAnsi="PT Serif"/>
          <w:smallCaps/>
          <w:color w:val="000000"/>
          <w:sz w:val="20"/>
          <w:szCs w:val="20"/>
        </w:rPr>
        <w:t>Salvador Coderch</w:t>
      </w:r>
      <w:r>
        <w:rPr>
          <w:rFonts w:eastAsia="PT Serif" w:cs="PT Serif" w:ascii="PT Serif" w:hAnsi="PT Serif"/>
          <w:color w:val="000000"/>
          <w:sz w:val="20"/>
          <w:szCs w:val="20"/>
        </w:rPr>
        <w:t>, Pablo/</w:t>
      </w:r>
      <w:r>
        <w:rPr>
          <w:rFonts w:eastAsia="PT Serif" w:cs="PT Serif" w:ascii="PT Serif" w:hAnsi="PT Serif"/>
          <w:smallCaps/>
          <w:color w:val="000000"/>
          <w:sz w:val="20"/>
          <w:szCs w:val="20"/>
        </w:rPr>
        <w:t>Gómez Pomar</w:t>
      </w:r>
      <w:r>
        <w:rPr>
          <w:rFonts w:eastAsia="PT Serif" w:cs="PT Serif" w:ascii="PT Serif" w:hAnsi="PT Serif"/>
          <w:color w:val="000000"/>
          <w:sz w:val="20"/>
          <w:szCs w:val="20"/>
        </w:rPr>
        <w:t xml:space="preserve">, Fernando (dirs.), </w:t>
      </w:r>
      <w:r>
        <w:rPr>
          <w:rFonts w:eastAsia="PT Serif" w:cs="PT Serif" w:ascii="PT Serif" w:hAnsi="PT Serif"/>
          <w:i/>
          <w:color w:val="000000"/>
          <w:sz w:val="20"/>
          <w:szCs w:val="20"/>
        </w:rPr>
        <w:t>Tratado de responsabilidad civil del fabricante</w:t>
      </w:r>
      <w:r>
        <w:rPr>
          <w:rFonts w:eastAsia="PT Serif" w:cs="PT Serif" w:ascii="PT Serif" w:hAnsi="PT Serif"/>
          <w:color w:val="000000"/>
          <w:sz w:val="20"/>
          <w:szCs w:val="20"/>
        </w:rPr>
        <w:t>, Aranzadi, Pamplona, 2008, pp. 585-646.</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0"/>
        <w:jc w:val="both"/>
        <w:rPr>
          <w:rFonts w:ascii="PT Serif" w:hAnsi="PT Serif" w:eastAsia="PT Serif" w:cs="PT Serif"/>
          <w:color w:val="EE0000"/>
          <w:sz w:val="24"/>
          <w:szCs w:val="24"/>
        </w:rPr>
      </w:pPr>
      <w:r>
        <w:rPr>
          <w:rFonts w:eastAsia="PT Serif" w:cs="PT Serif" w:ascii="PT Serif" w:hAnsi="PT Serif"/>
          <w:smallCaps/>
          <w:color w:val="000000"/>
          <w:sz w:val="20"/>
          <w:szCs w:val="20"/>
        </w:rPr>
        <w:t xml:space="preserve">Sánchez Lería, </w:t>
      </w:r>
      <w:r>
        <w:rPr>
          <w:rFonts w:eastAsia="PT Serif" w:cs="PT Serif" w:ascii="PT Serif" w:hAnsi="PT Serif"/>
          <w:color w:val="000000"/>
          <w:sz w:val="20"/>
          <w:szCs w:val="20"/>
        </w:rPr>
        <w:t xml:space="preserve">Reyes., «Mercado digital y protección del consumidor: a propósito de la Directiva 770/2019 y su transposición al ordenamiento jurídico español», </w:t>
      </w:r>
      <w:r>
        <w:rPr>
          <w:rFonts w:eastAsia="PT Serif" w:cs="PT Serif" w:ascii="PT Serif" w:hAnsi="PT Serif"/>
          <w:i/>
          <w:color w:val="000000"/>
          <w:sz w:val="20"/>
          <w:szCs w:val="20"/>
        </w:rPr>
        <w:t xml:space="preserve">Indret, </w:t>
      </w:r>
      <w:r>
        <w:rPr>
          <w:rFonts w:eastAsia="PT Serif" w:cs="PT Serif" w:ascii="PT Serif" w:hAnsi="PT Serif"/>
          <w:color w:val="000000"/>
          <w:sz w:val="20"/>
          <w:szCs w:val="20"/>
        </w:rPr>
        <w:t>4, 2021, p. 33-87.</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Schmittner</w:t>
      </w:r>
      <w:r>
        <w:rPr>
          <w:rFonts w:eastAsia="PT Serif" w:cs="PT Serif" w:ascii="PT Serif" w:hAnsi="PT Serif"/>
          <w:color w:val="000000"/>
          <w:sz w:val="20"/>
          <w:szCs w:val="20"/>
          <w:lang w:val="en-CA"/>
        </w:rPr>
        <w:t>, Christoph/</w:t>
      </w:r>
      <w:r>
        <w:rPr>
          <w:rFonts w:eastAsia="PT Serif" w:cs="PT Serif" w:ascii="PT Serif" w:hAnsi="PT Serif"/>
          <w:smallCaps/>
          <w:color w:val="000000"/>
          <w:sz w:val="20"/>
          <w:szCs w:val="20"/>
          <w:lang w:val="en-CA"/>
        </w:rPr>
        <w:t>Veledar</w:t>
      </w:r>
      <w:r>
        <w:rPr>
          <w:rFonts w:eastAsia="PT Serif" w:cs="PT Serif" w:ascii="PT Serif" w:hAnsi="PT Serif"/>
          <w:color w:val="000000"/>
          <w:sz w:val="20"/>
          <w:szCs w:val="20"/>
          <w:lang w:val="en-CA"/>
        </w:rPr>
        <w:t>, Omar/</w:t>
      </w:r>
      <w:r>
        <w:rPr>
          <w:rFonts w:eastAsia="PT Serif" w:cs="PT Serif" w:ascii="PT Serif" w:hAnsi="PT Serif"/>
          <w:smallCaps/>
          <w:color w:val="000000"/>
          <w:sz w:val="20"/>
          <w:szCs w:val="20"/>
          <w:lang w:val="en-CA"/>
        </w:rPr>
        <w:t>Faschang</w:t>
      </w:r>
      <w:r>
        <w:rPr>
          <w:rFonts w:eastAsia="PT Serif" w:cs="PT Serif" w:ascii="PT Serif" w:hAnsi="PT Serif"/>
          <w:color w:val="000000"/>
          <w:sz w:val="20"/>
          <w:szCs w:val="20"/>
          <w:lang w:val="en-CA"/>
        </w:rPr>
        <w:t>, Thomas/</w:t>
      </w:r>
      <w:r>
        <w:rPr>
          <w:rFonts w:eastAsia="PT Serif" w:cs="PT Serif" w:ascii="PT Serif" w:hAnsi="PT Serif"/>
          <w:smallCaps/>
          <w:color w:val="000000"/>
          <w:sz w:val="20"/>
          <w:szCs w:val="20"/>
          <w:lang w:val="en-CA"/>
        </w:rPr>
        <w:t>Macher</w:t>
      </w:r>
      <w:r>
        <w:rPr>
          <w:rFonts w:eastAsia="PT Serif" w:cs="PT Serif" w:ascii="PT Serif" w:hAnsi="PT Serif"/>
          <w:color w:val="000000"/>
          <w:sz w:val="20"/>
          <w:szCs w:val="20"/>
          <w:lang w:val="en-CA"/>
        </w:rPr>
        <w:t>, Georg/</w:t>
      </w:r>
      <w:r>
        <w:rPr>
          <w:rFonts w:eastAsia="PT Serif" w:cs="PT Serif" w:ascii="PT Serif" w:hAnsi="PT Serif"/>
          <w:smallCaps/>
          <w:color w:val="000000"/>
          <w:sz w:val="20"/>
          <w:szCs w:val="20"/>
          <w:lang w:val="en-CA"/>
        </w:rPr>
        <w:t>Brenner</w:t>
      </w:r>
      <w:r>
        <w:rPr>
          <w:rFonts w:eastAsia="PT Serif" w:cs="PT Serif" w:ascii="PT Serif" w:hAnsi="PT Serif"/>
          <w:color w:val="000000"/>
          <w:sz w:val="20"/>
          <w:szCs w:val="20"/>
          <w:lang w:val="en-CA"/>
        </w:rPr>
        <w:t xml:space="preserve">, Eugen., «Fostering Cyber Resilience in Europe: An In-Depth Exploration of the Cyber Resilience Act», en </w:t>
      </w:r>
      <w:r>
        <w:rPr>
          <w:rFonts w:eastAsia="PT Serif" w:cs="PT Serif" w:ascii="PT Serif" w:hAnsi="PT Serif"/>
          <w:smallCaps/>
          <w:color w:val="000000"/>
          <w:sz w:val="20"/>
          <w:szCs w:val="20"/>
          <w:lang w:val="en-CA"/>
        </w:rPr>
        <w:t>Ylmaz</w:t>
      </w:r>
      <w:r>
        <w:rPr>
          <w:rFonts w:eastAsia="PT Serif" w:cs="PT Serif" w:ascii="PT Serif" w:hAnsi="PT Serif"/>
          <w:color w:val="000000"/>
          <w:sz w:val="20"/>
          <w:szCs w:val="20"/>
          <w:lang w:val="en-CA"/>
        </w:rPr>
        <w:t>, Murat/</w:t>
      </w:r>
      <w:r>
        <w:rPr>
          <w:rFonts w:eastAsia="PT Serif" w:cs="PT Serif" w:ascii="PT Serif" w:hAnsi="PT Serif"/>
          <w:smallCaps/>
          <w:color w:val="000000"/>
          <w:sz w:val="20"/>
          <w:szCs w:val="20"/>
          <w:lang w:val="en-CA"/>
        </w:rPr>
        <w:t>Clarke</w:t>
      </w:r>
      <w:r>
        <w:rPr>
          <w:rFonts w:eastAsia="PT Serif" w:cs="PT Serif" w:ascii="PT Serif" w:hAnsi="PT Serif"/>
          <w:color w:val="000000"/>
          <w:sz w:val="20"/>
          <w:szCs w:val="20"/>
          <w:lang w:val="en-CA"/>
        </w:rPr>
        <w:t>, Paul/</w:t>
      </w:r>
      <w:r>
        <w:rPr>
          <w:rFonts w:eastAsia="PT Serif" w:cs="PT Serif" w:ascii="PT Serif" w:hAnsi="PT Serif"/>
          <w:smallCaps/>
          <w:color w:val="000000"/>
          <w:sz w:val="20"/>
          <w:szCs w:val="20"/>
          <w:lang w:val="en-CA"/>
        </w:rPr>
        <w:t>Rile</w:t>
      </w:r>
      <w:r>
        <w:rPr>
          <w:rFonts w:eastAsia="PT Serif" w:cs="PT Serif" w:ascii="PT Serif" w:hAnsi="PT Serif"/>
          <w:color w:val="000000"/>
          <w:sz w:val="20"/>
          <w:szCs w:val="20"/>
          <w:lang w:val="en-CA"/>
        </w:rPr>
        <w:t>, Andreas/</w:t>
      </w:r>
      <w:r>
        <w:rPr>
          <w:rFonts w:eastAsia="PT Serif" w:cs="PT Serif" w:ascii="PT Serif" w:hAnsi="PT Serif"/>
          <w:smallCaps/>
          <w:color w:val="000000"/>
          <w:sz w:val="20"/>
          <w:szCs w:val="20"/>
          <w:lang w:val="en-CA"/>
        </w:rPr>
        <w:t>Messnarz</w:t>
      </w:r>
      <w:r>
        <w:rPr>
          <w:rFonts w:eastAsia="PT Serif" w:cs="PT Serif" w:ascii="PT Serif" w:hAnsi="PT Serif"/>
          <w:color w:val="000000"/>
          <w:sz w:val="20"/>
          <w:szCs w:val="20"/>
          <w:lang w:val="en-CA"/>
        </w:rPr>
        <w:t>, Richard/</w:t>
      </w:r>
      <w:r>
        <w:rPr>
          <w:rFonts w:eastAsia="PT Serif" w:cs="PT Serif" w:ascii="PT Serif" w:hAnsi="PT Serif"/>
          <w:smallCaps/>
          <w:color w:val="000000"/>
          <w:sz w:val="20"/>
          <w:szCs w:val="20"/>
          <w:lang w:val="en-CA"/>
        </w:rPr>
        <w:t>Greiner</w:t>
      </w:r>
      <w:r>
        <w:rPr>
          <w:rFonts w:eastAsia="PT Serif" w:cs="PT Serif" w:ascii="PT Serif" w:hAnsi="PT Serif"/>
          <w:color w:val="000000"/>
          <w:sz w:val="20"/>
          <w:szCs w:val="20"/>
          <w:lang w:val="en-CA"/>
        </w:rPr>
        <w:t>, Christian/</w:t>
      </w:r>
      <w:r>
        <w:rPr>
          <w:rFonts w:eastAsia="PT Serif" w:cs="PT Serif" w:ascii="PT Serif" w:hAnsi="PT Serif"/>
          <w:smallCaps/>
          <w:color w:val="000000"/>
          <w:sz w:val="20"/>
          <w:szCs w:val="20"/>
          <w:lang w:val="en-CA"/>
        </w:rPr>
        <w:t>Peisl</w:t>
      </w:r>
      <w:r>
        <w:rPr>
          <w:rFonts w:eastAsia="PT Serif" w:cs="PT Serif" w:ascii="PT Serif" w:hAnsi="PT Serif"/>
          <w:color w:val="000000"/>
          <w:sz w:val="20"/>
          <w:szCs w:val="20"/>
          <w:lang w:val="en-CA"/>
        </w:rPr>
        <w:t xml:space="preserve">, Thomas (eds.), </w:t>
      </w:r>
      <w:r>
        <w:rPr>
          <w:rFonts w:eastAsia="PT Serif" w:cs="PT Serif" w:ascii="PT Serif" w:hAnsi="PT Serif"/>
          <w:i/>
          <w:color w:val="000000"/>
          <w:sz w:val="20"/>
          <w:szCs w:val="20"/>
          <w:lang w:val="en-CA"/>
        </w:rPr>
        <w:t xml:space="preserve">Systems, Software and Services Process Improvement, </w:t>
      </w:r>
      <w:r>
        <w:rPr>
          <w:rFonts w:eastAsia="PT Serif" w:cs="PT Serif" w:ascii="PT Serif" w:hAnsi="PT Serif"/>
          <w:color w:val="000000"/>
          <w:sz w:val="20"/>
          <w:szCs w:val="20"/>
          <w:lang w:val="en-CA"/>
        </w:rPr>
        <w:t>Springer Nature Switzerland AG, 2024, pp. 390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Veldt</w:t>
      </w:r>
      <w:r>
        <w:rPr>
          <w:rFonts w:eastAsia="PT Serif" w:cs="PT Serif" w:ascii="PT Serif" w:hAnsi="PT Serif"/>
          <w:color w:val="000000"/>
          <w:sz w:val="20"/>
          <w:szCs w:val="20"/>
          <w:lang w:val="en-CA"/>
        </w:rPr>
        <w:t xml:space="preserve">, Gitta., «The New Product Liability Proposal – Fit for the Digital Age or in Need of Shaping Up? An Analysis of the Draft Product Liability Directive», </w:t>
      </w:r>
      <w:r>
        <w:rPr>
          <w:rFonts w:eastAsia="PT Serif" w:cs="PT Serif" w:ascii="PT Serif" w:hAnsi="PT Serif"/>
          <w:i/>
          <w:color w:val="000000"/>
          <w:sz w:val="20"/>
          <w:szCs w:val="20"/>
          <w:lang w:val="en-CA"/>
        </w:rPr>
        <w:t xml:space="preserve">European Journal of Consumer and Market Law, </w:t>
      </w:r>
      <w:r>
        <w:rPr>
          <w:rFonts w:eastAsia="PT Serif" w:cs="PT Serif" w:ascii="PT Serif" w:hAnsi="PT Serif"/>
          <w:color w:val="000000"/>
          <w:sz w:val="20"/>
          <w:szCs w:val="20"/>
          <w:lang w:val="en-CA"/>
        </w:rPr>
        <w:t>1, 2023, pp. 24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Wagner</w:t>
      </w:r>
      <w:r>
        <w:rPr>
          <w:rFonts w:eastAsia="PT Serif" w:cs="PT Serif" w:ascii="PT Serif" w:hAnsi="PT Serif"/>
          <w:color w:val="000000"/>
          <w:sz w:val="20"/>
          <w:szCs w:val="20"/>
          <w:lang w:val="en-CA"/>
        </w:rPr>
        <w:t xml:space="preserve">, Gerhard., «Liability Rules for the Digital Age - Aiming for the Brussels Effect», </w:t>
      </w:r>
      <w:r>
        <w:rPr>
          <w:rFonts w:eastAsia="PT Serif" w:cs="PT Serif" w:ascii="PT Serif" w:hAnsi="PT Serif"/>
          <w:i/>
          <w:color w:val="000000"/>
          <w:sz w:val="20"/>
          <w:szCs w:val="20"/>
          <w:lang w:val="en-CA"/>
        </w:rPr>
        <w:t xml:space="preserve">Journal of European Tort Law, </w:t>
      </w:r>
      <w:r>
        <w:rPr>
          <w:rFonts w:eastAsia="PT Serif" w:cs="PT Serif" w:ascii="PT Serif" w:hAnsi="PT Serif"/>
          <w:color w:val="000000"/>
          <w:sz w:val="20"/>
          <w:szCs w:val="20"/>
          <w:lang w:val="en-CA"/>
        </w:rPr>
        <w:t>3, 2022, pp. 191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4"/>
          <w:szCs w:val="24"/>
          <w:lang w:val="en-CA"/>
        </w:rPr>
      </w:pPr>
      <w:r>
        <w:rPr>
          <w:rFonts w:eastAsia="PT Serif" w:cs="PT Serif" w:ascii="PT Serif" w:hAnsi="PT Serif"/>
          <w:smallCaps/>
          <w:color w:val="000000"/>
          <w:sz w:val="20"/>
          <w:szCs w:val="20"/>
          <w:lang w:val="en-CA"/>
        </w:rPr>
        <w:t xml:space="preserve">Whittam, </w:t>
      </w:r>
      <w:r>
        <w:rPr>
          <w:rFonts w:eastAsia="PT Serif" w:cs="PT Serif" w:ascii="PT Serif" w:hAnsi="PT Serif"/>
          <w:color w:val="000000"/>
          <w:sz w:val="20"/>
          <w:szCs w:val="20"/>
          <w:lang w:val="en-CA"/>
        </w:rPr>
        <w:t xml:space="preserve">Sadie., «Mind the compensation gap: towards a new European regime addressing civil liability in the age of AI», </w:t>
      </w:r>
      <w:r>
        <w:rPr>
          <w:rFonts w:eastAsia="PT Serif" w:cs="PT Serif" w:ascii="PT Serif" w:hAnsi="PT Serif"/>
          <w:i/>
          <w:color w:val="000000"/>
          <w:sz w:val="20"/>
          <w:szCs w:val="20"/>
          <w:lang w:val="en-CA"/>
        </w:rPr>
        <w:t>International Journal of Law and Information Technology</w:t>
      </w:r>
      <w:r>
        <w:rPr>
          <w:rFonts w:eastAsia="PT Serif" w:cs="PT Serif" w:ascii="PT Serif" w:hAnsi="PT Serif"/>
          <w:color w:val="000000"/>
          <w:sz w:val="20"/>
          <w:szCs w:val="20"/>
          <w:lang w:val="en-CA"/>
        </w:rPr>
        <w:t>, 30, 2022, pp. 249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smallCaps/>
          <w:color w:val="000000"/>
          <w:sz w:val="20"/>
          <w:szCs w:val="20"/>
          <w:lang w:val="en-CA"/>
        </w:rPr>
        <w:t>Zirnstein</w:t>
      </w:r>
      <w:r>
        <w:rPr>
          <w:rFonts w:eastAsia="PT Serif" w:cs="PT Serif" w:ascii="PT Serif" w:hAnsi="PT Serif"/>
          <w:color w:val="000000"/>
          <w:sz w:val="20"/>
          <w:szCs w:val="20"/>
          <w:lang w:val="en-CA"/>
        </w:rPr>
        <w:t>, Yannick/</w:t>
      </w:r>
      <w:r>
        <w:rPr>
          <w:rFonts w:eastAsia="PT Serif" w:cs="PT Serif" w:ascii="PT Serif" w:hAnsi="PT Serif"/>
          <w:smallCaps/>
          <w:color w:val="000000"/>
          <w:sz w:val="20"/>
          <w:szCs w:val="20"/>
          <w:lang w:val="en-CA"/>
        </w:rPr>
        <w:t>Lin Lee</w:t>
      </w:r>
      <w:r>
        <w:rPr>
          <w:rFonts w:eastAsia="PT Serif" w:cs="PT Serif" w:ascii="PT Serif" w:hAnsi="PT Serif"/>
          <w:color w:val="000000"/>
          <w:sz w:val="20"/>
          <w:szCs w:val="20"/>
          <w:lang w:val="en-CA"/>
        </w:rPr>
        <w:t>, Yue/</w:t>
      </w:r>
      <w:r>
        <w:rPr>
          <w:rFonts w:eastAsia="PT Serif" w:cs="PT Serif" w:ascii="PT Serif" w:hAnsi="PT Serif"/>
          <w:smallCaps/>
          <w:color w:val="000000"/>
          <w:sz w:val="20"/>
          <w:szCs w:val="20"/>
          <w:lang w:val="en-CA"/>
        </w:rPr>
        <w:t>Ge</w:t>
      </w:r>
      <w:r>
        <w:rPr>
          <w:rFonts w:eastAsia="PT Serif" w:cs="PT Serif" w:ascii="PT Serif" w:hAnsi="PT Serif"/>
          <w:color w:val="000000"/>
          <w:sz w:val="20"/>
          <w:szCs w:val="20"/>
          <w:lang w:val="en-CA"/>
        </w:rPr>
        <w:t xml:space="preserve">, Amanda., «Evolving Cybersecurity Landscape – Comparing the Regulatory Approaches in the EU, in China and in Singapore — An Analysis of Legislative Approaches to Key Issues in Tackling a Global Phenomenon», </w:t>
      </w:r>
      <w:r>
        <w:rPr>
          <w:rFonts w:eastAsia="PT Serif" w:cs="PT Serif" w:ascii="PT Serif" w:hAnsi="PT Serif"/>
          <w:i/>
          <w:color w:val="000000"/>
          <w:sz w:val="20"/>
          <w:szCs w:val="20"/>
          <w:lang w:val="en-CA"/>
        </w:rPr>
        <w:t>Computer Law Review Inetrnational</w:t>
      </w:r>
      <w:r>
        <w:rPr>
          <w:rFonts w:eastAsia="PT Serif" w:cs="PT Serif" w:ascii="PT Serif" w:hAnsi="PT Serif"/>
          <w:color w:val="000000"/>
          <w:sz w:val="20"/>
          <w:szCs w:val="20"/>
          <w:lang w:val="en-CA"/>
        </w:rPr>
        <w:t>, 6, 2022, pp. 165 ss.</w:t>
      </w:r>
    </w:p>
    <w:p>
      <w:pPr>
        <w:pStyle w:val="Normal"/>
        <w:spacing w:lineRule="auto" w:line="240" w:before="0" w:after="0"/>
        <w:jc w:val="both"/>
        <w:rPr>
          <w:rFonts w:ascii="PT Serif" w:hAnsi="PT Serif" w:eastAsia="PT Serif" w:cs="PT Serif"/>
          <w:sz w:val="20"/>
          <w:szCs w:val="20"/>
          <w:lang w:val="en-CA"/>
        </w:rPr>
      </w:pPr>
      <w:r>
        <w:rPr>
          <w:rFonts w:eastAsia="PT Serif" w:cs="PT Serif" w:ascii="PT Serif" w:hAnsi="PT Serif"/>
          <w:sz w:val="20"/>
          <w:szCs w:val="20"/>
          <w:lang w:val="en-CA"/>
        </w:rPr>
      </w:r>
    </w:p>
    <w:sectPr>
      <w:footnotePr>
        <w:numFmt w:val="decimal"/>
      </w:footnotePr>
      <w:type w:val="nextPage"/>
      <w:pgSz w:w="11906" w:h="16838"/>
      <w:pgMar w:left="1701" w:right="1701" w:gutter="0" w:header="0" w:top="1417"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Liberation Sans">
    <w:altName w:val="Arial"/>
    <w:charset w:val="01"/>
    <w:family w:val="swiss"/>
    <w:pitch w:val="variable"/>
  </w:font>
  <w:font w:name="Times New Roman">
    <w:charset w:val="01"/>
    <w:family w:val="roman"/>
    <w:pitch w:val="variable"/>
  </w:font>
  <w:font w:name="PT Serif">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76"/>
        <w:jc w:val="both"/>
        <w:rPr>
          <w:rFonts w:ascii="Times New Roman" w:hAnsi="Times New Roman" w:cs="Times New Roman"/>
          <w:lang w:val="en-US"/>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 xml:space="preserve">GREENGARD, Samuel., </w:t>
      </w:r>
      <w:r>
        <w:rPr>
          <w:rFonts w:cs="Times New Roman" w:ascii="Times New Roman" w:hAnsi="Times New Roman"/>
          <w:i/>
          <w:iCs/>
          <w:lang w:val="en-US"/>
        </w:rPr>
        <w:t xml:space="preserve">The internet of things, </w:t>
      </w:r>
      <w:r>
        <w:rPr>
          <w:rFonts w:cs="Times New Roman" w:ascii="Times New Roman" w:hAnsi="Times New Roman"/>
          <w:lang w:val="en-US"/>
        </w:rPr>
        <w:t xml:space="preserve">2ª ed., The Mitt Press, Londres, 2021, 14-21. </w:t>
      </w:r>
    </w:p>
  </w:footnote>
  <w:footnote w:id="3">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 xml:space="preserve">FRIEDMAN, Vlad., “On The Edge: Solving The Challenges Of Edge Computing In The Era Of IoT”, puede consultarse en: </w:t>
      </w:r>
      <w:hyperlink r:id="rId1">
        <w:r>
          <w:rPr>
            <w:rStyle w:val="Hyperlink"/>
            <w:rFonts w:cs="Times New Roman" w:ascii="Times New Roman" w:hAnsi="Times New Roman"/>
            <w:lang w:val="en-US"/>
          </w:rPr>
          <w:t>https://www.databank.com/resources/blogs/solving-edge-computing-challenges-in-era-of-iot/</w:t>
        </w:r>
      </w:hyperlink>
      <w:r>
        <w:rPr>
          <w:rFonts w:cs="Times New Roman" w:ascii="Times New Roman" w:hAnsi="Times New Roman"/>
          <w:lang w:val="en-US"/>
        </w:rPr>
        <w:t xml:space="preserve">. </w:t>
      </w:r>
      <w:r>
        <w:rPr>
          <w:rFonts w:cs="Times New Roman" w:ascii="Times New Roman" w:hAnsi="Times New Roman"/>
          <w:lang w:val="es-ES"/>
        </w:rPr>
        <w:t xml:space="preserve">Consulta realizada en fecha 11 de junio de 2025. </w:t>
      </w:r>
    </w:p>
  </w:footnote>
  <w:footnote w:id="4">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Por todos, </w:t>
      </w:r>
      <w:r>
        <w:rPr>
          <w:rFonts w:cs="Times New Roman" w:ascii="Times New Roman" w:hAnsi="Times New Roman"/>
          <w:i/>
          <w:iCs/>
          <w:lang w:val="es-ES"/>
        </w:rPr>
        <w:t>vid.</w:t>
      </w:r>
      <w:r>
        <w:rPr>
          <w:rFonts w:cs="Times New Roman" w:ascii="Times New Roman" w:hAnsi="Times New Roman"/>
          <w:lang w:val="es-ES"/>
        </w:rPr>
        <w:t xml:space="preserve"> HARARI, Yuval Noah., </w:t>
      </w:r>
      <w:r>
        <w:rPr>
          <w:rFonts w:cs="Times New Roman" w:ascii="Times New Roman" w:hAnsi="Times New Roman"/>
          <w:i/>
          <w:iCs/>
          <w:lang w:val="es-ES"/>
        </w:rPr>
        <w:t>21 lecciones para el siglo XXI</w:t>
      </w:r>
      <w:r>
        <w:rPr>
          <w:rFonts w:cs="Times New Roman" w:ascii="Times New Roman" w:hAnsi="Times New Roman"/>
          <w:lang w:val="es-ES"/>
        </w:rPr>
        <w:t>, Debate, 2021, p. 81-133.</w:t>
      </w:r>
    </w:p>
  </w:footnote>
  <w:footnote w:id="5">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Basta con citar la legislación europea que se ha adoptado en los últimos diez años en materia de protección de datos personales en general (Reglamento (UE) 2016/679, de datos personales; Reglamento (UE) 2022/868, de gobernanza de datos) y la aplicable en diferentes ámbitos, como el sanitario (Reglamento (UE) 2025/327, de datos de salud) o de la conducción autónoma, además de otros Reglamentos aplicables al ámbito de la ciberseguridad (Reglamento 2019/881, de ciberseguridad y Directiva (UE) 2022/2555).</w:t>
      </w:r>
    </w:p>
  </w:footnote>
  <w:footnote w:id="6">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Directiva (UE) 2024/2853 del Parlamento Europeo y del Consejo, de 23 de octubre de 2024, sobre responsabilidad por los daños causados por productos defectuosos y por la que se deroga la Directiva 85/374/CEE del Consejo. DOUE núm. 2853, de 18 de noviembre de 2024. La legislación sobre daños causados por productos defectuosos se ha reformado para abordar los retos de la digitalización de los productos.</w:t>
      </w:r>
    </w:p>
  </w:footnote>
  <w:footnote w:id="7">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Reglamento UE) 2024/2847 del Parlamento Europeo y del Consejo, de 23 de octubre de 2024, relativo a los requisitos horizontales de ciberseguridad para los productos con elementos digitales y por el que se modifica el Reglamento (UE) nº 168/2013 y el Reglamento (UE) 2019/1020 y la Directiva (UE) 2020/1828 (Reglamento de Ciberresiliencia).  DOUE núm. 2847, de 20 de noviembre de 2024. </w:t>
      </w:r>
    </w:p>
  </w:footnote>
  <w:footnote w:id="8">
    <w:p>
      <w:pPr>
        <w:pStyle w:val="Normal"/>
        <w:spacing w:lineRule="auto" w:line="276" w:before="0" w:after="0"/>
        <w:jc w:val="both"/>
        <w:rPr>
          <w:rFonts w:ascii="Times New Roman" w:hAnsi="Times New Roman" w:eastAsia="Times New Roman" w:cs="Times New Roman"/>
          <w:sz w:val="20"/>
          <w:szCs w:val="20"/>
          <w:lang w:val="es-ES"/>
        </w:rPr>
      </w:pPr>
      <w:r>
        <w:rPr>
          <w:rStyle w:val="FootnoteCharacters"/>
        </w:rPr>
        <w:footnoteRef/>
      </w:r>
      <w:r>
        <w:rPr>
          <w:rFonts w:eastAsia="Times New Roman" w:cs="Times New Roman" w:ascii="Times New Roman" w:hAnsi="Times New Roman"/>
          <w:sz w:val="20"/>
          <w:szCs w:val="20"/>
          <w:lang w:val="es-ES"/>
        </w:rPr>
        <w:t xml:space="preserve"> </w:t>
      </w:r>
      <w:r>
        <w:rPr>
          <w:rFonts w:eastAsia="Times New Roman" w:cs="Times New Roman" w:ascii="Times New Roman" w:hAnsi="Times New Roman"/>
          <w:sz w:val="20"/>
          <w:szCs w:val="20"/>
          <w:lang w:val="es-ES"/>
        </w:rPr>
        <w:t xml:space="preserve">COMISIÓN EUROPEA, Comunicación conjunta al Parlamento Europeo, al Consejo, al Comité Económico y Social Europeo y al Comité de las Regiones, </w:t>
      </w:r>
      <w:r>
        <w:rPr>
          <w:rFonts w:eastAsia="Times New Roman" w:cs="Times New Roman" w:ascii="Times New Roman" w:hAnsi="Times New Roman"/>
          <w:i/>
          <w:sz w:val="20"/>
          <w:szCs w:val="20"/>
          <w:lang w:val="es-ES"/>
        </w:rPr>
        <w:t xml:space="preserve">Estrategia de ciberseguridad de la Unión Europea: Un ciberespacio abierto, protegido y seguro, </w:t>
      </w:r>
      <w:r>
        <w:rPr>
          <w:rFonts w:eastAsia="Times New Roman" w:cs="Times New Roman" w:ascii="Times New Roman" w:hAnsi="Times New Roman"/>
          <w:sz w:val="20"/>
          <w:szCs w:val="20"/>
          <w:lang w:val="es-ES"/>
        </w:rPr>
        <w:t xml:space="preserve">Bruselas, 7.2.2013, JOIN(2013) 1 final. En un mundo globalizado donde internet se ha convertido en esencial para sectores clave de la economía y de la sociedad (servicios financieros, santidad, energía, transporte, etc), ha convertido en necesaria la adopción de una estrategia global para hacer frente a los riesgos y amenazas existentes en el ciberespacio. En el marco de la Estrategia de Ciberseguridad de la Unión Europea, se fijan las siguientes prioridades y medidas estratégicas: Lograr la ciberresiliencia, reducir drásticamente la ciberdelincuencia, desarrollar estrategias y capacidades de ciberdefensa vinculadas a la Política Común de Seguridad y Defensa (PCSD), desarrollar recursos industriales y tecnológicos de ciberseguridad, establecer una política internacional coherente del ciberespacio para la Unión Europea y promover los valores esenciales de la UE. Dentro del desarrollo tecnológico de ciberseguridad, y en lo tocante a este trabajo, la Comisión Europea pretende crear un mercado único de productos de ciberseguridad. Es en este punto donde los fabricantes de productos con elementos digitales se erigen como una pieza clave para conseguir que la ciberseguridad de sus productos se convierta en una prioridad para los consumidores, en aras a conseguir unos productos más ciberresilientes, infranqueables frente amenazas y ataques de terceros. </w:t>
      </w:r>
    </w:p>
  </w:footnote>
  <w:footnote w:id="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12 RCR: </w:t>
      </w:r>
      <w:r>
        <w:rPr>
          <w:rFonts w:eastAsia="Times New Roman" w:cs="Times New Roman" w:ascii="Times New Roman" w:hAnsi="Times New Roman"/>
          <w:i/>
          <w:color w:val="000000"/>
          <w:sz w:val="20"/>
          <w:szCs w:val="20"/>
          <w:lang w:val="es-ES"/>
        </w:rPr>
        <w:t>“Por otra parte, los sitios web que no admiten la funcionalidad de un producto con elementos digitales o los servicios en la nube diseñados y desarrollados fuera de la responsabilidad de un fabricante de un producto con elementos digitales no entran en el ámbito de aplicación del presente Reglamento.</w:t>
      </w:r>
      <w:r>
        <w:rPr>
          <w:rFonts w:eastAsia="Times New Roman" w:cs="Times New Roman" w:ascii="Times New Roman" w:hAnsi="Times New Roman"/>
          <w:color w:val="000000"/>
          <w:highlight w:val="white"/>
          <w:lang w:val="es-ES"/>
        </w:rPr>
        <w:t xml:space="preserve"> </w:t>
      </w:r>
      <w:r>
        <w:rPr>
          <w:rFonts w:eastAsia="Times New Roman" w:cs="Times New Roman" w:ascii="Times New Roman" w:hAnsi="Times New Roman"/>
          <w:i/>
          <w:color w:val="000000"/>
          <w:sz w:val="20"/>
          <w:szCs w:val="20"/>
          <w:lang w:val="es-ES"/>
        </w:rPr>
        <w:t xml:space="preserve">La Directiva (UE) 2022/2555 se aplica a los servicios de computación en la nube y a los modelos de servicios en nube, como la infraestructura como servicio (IaaS), la plataforma como servicio (PaaS), el software como servicio (SaaS) y la red como servicio (NaaS).” </w:t>
      </w:r>
      <w:r>
        <w:rPr>
          <w:rFonts w:eastAsia="Times New Roman" w:cs="Times New Roman" w:ascii="Times New Roman" w:hAnsi="Times New Roman"/>
          <w:color w:val="000000"/>
          <w:sz w:val="20"/>
          <w:szCs w:val="20"/>
        </w:rPr>
        <w:t xml:space="preserve">En este sentido, </w:t>
      </w:r>
      <w:r>
        <w:rPr>
          <w:rFonts w:eastAsia="Times New Roman" w:cs="Times New Roman" w:ascii="Times New Roman" w:hAnsi="Times New Roman"/>
          <w:i/>
          <w:color w:val="000000"/>
          <w:sz w:val="20"/>
          <w:szCs w:val="20"/>
        </w:rPr>
        <w:t>vid.</w:t>
      </w:r>
      <w:r>
        <w:rPr>
          <w:rFonts w:eastAsia="Times New Roman" w:cs="Times New Roman" w:ascii="Times New Roman" w:hAnsi="Times New Roman"/>
          <w:color w:val="000000"/>
          <w:sz w:val="20"/>
          <w:szCs w:val="20"/>
        </w:rPr>
        <w:t xml:space="preserve"> CHIARA, Pier Giorgio., “The Cyber Resilience Act: the EU Commission’s proposal for a horizontal regulation on cybersecurity for products with digital elements. An introduction”, </w:t>
      </w:r>
      <w:r>
        <w:rPr>
          <w:rFonts w:eastAsia="Times New Roman" w:cs="Times New Roman" w:ascii="Times New Roman" w:hAnsi="Times New Roman"/>
          <w:i/>
          <w:color w:val="000000"/>
          <w:sz w:val="20"/>
          <w:szCs w:val="20"/>
        </w:rPr>
        <w:t xml:space="preserve">International Cybersecurity Law Review, </w:t>
      </w:r>
      <w:r>
        <w:rPr>
          <w:rFonts w:eastAsia="Times New Roman" w:cs="Times New Roman" w:ascii="Times New Roman" w:hAnsi="Times New Roman"/>
          <w:color w:val="000000"/>
          <w:sz w:val="20"/>
          <w:szCs w:val="20"/>
        </w:rPr>
        <w:t>núm. 3, 2002,</w:t>
      </w:r>
      <w:r>
        <w:rPr>
          <w:rFonts w:eastAsia="Times New Roman" w:cs="Times New Roman" w:ascii="Times New Roman" w:hAnsi="Times New Roman"/>
          <w:i/>
          <w:color w:val="000000"/>
          <w:sz w:val="20"/>
          <w:szCs w:val="20"/>
        </w:rPr>
        <w:t xml:space="preserve"> </w:t>
      </w:r>
      <w:r>
        <w:rPr>
          <w:rFonts w:eastAsia="Times New Roman" w:cs="Times New Roman" w:ascii="Times New Roman" w:hAnsi="Times New Roman"/>
          <w:color w:val="000000"/>
          <w:sz w:val="20"/>
          <w:szCs w:val="20"/>
        </w:rPr>
        <w:t xml:space="preserve">p. 258, 269. BURRI, Mira., ZIHLMANN, Zaira., “The Cyber Resilience Act – An Appraisal and Contextualization”, </w:t>
      </w:r>
      <w:r>
        <w:rPr>
          <w:rFonts w:eastAsia="Times New Roman" w:cs="Times New Roman" w:ascii="Times New Roman" w:hAnsi="Times New Roman"/>
          <w:i/>
          <w:color w:val="000000"/>
          <w:sz w:val="20"/>
          <w:szCs w:val="20"/>
        </w:rPr>
        <w:t xml:space="preserve">Zeitschrift für Europearecht, </w:t>
      </w:r>
      <w:r>
        <w:rPr>
          <w:rFonts w:eastAsia="Times New Roman" w:cs="Times New Roman" w:ascii="Times New Roman" w:hAnsi="Times New Roman"/>
          <w:color w:val="000000"/>
          <w:sz w:val="20"/>
          <w:szCs w:val="20"/>
        </w:rPr>
        <w:t xml:space="preserve">núm, 2, 2023, p. 19. </w:t>
      </w:r>
    </w:p>
  </w:footnote>
  <w:footnote w:id="10">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Directiva (UE) 2022/2555 del Parlamento Europeo y del Consejo de 14 de diciembre de 2022 relativa a las medidas destinadas a garantizar un elevado nivel común de ciberseguridad en toda la Unión, por la que se modifican el Reglamento (UE) nº 910/2014 y la Directiva (UE) 2018/1972 y por la que se deroga la Directiva (UE) 2016/1148 (Directiva SRI 2). </w:t>
      </w:r>
      <w:r>
        <w:rPr>
          <w:rFonts w:eastAsia="Times New Roman" w:cs="Times New Roman" w:ascii="Times New Roman" w:hAnsi="Times New Roman"/>
          <w:color w:val="000000"/>
          <w:sz w:val="20"/>
          <w:szCs w:val="20"/>
        </w:rPr>
        <w:t>DOUE núm. 333, de 27 de diciembre de 2022. </w:t>
      </w:r>
    </w:p>
  </w:footnote>
  <w:footnote w:id="11">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RAIZ SHAFFIQUE, Mohammed., “Cyber Resilience Act 2022: A silver bullet for cybersecurity of IoT devices or a shot in the dark?”, Computer Law &amp; Security Review, núm. 54, 2024, p. 4-5. </w:t>
      </w:r>
    </w:p>
  </w:footnote>
  <w:footnote w:id="1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AZIZ AL KABIR, Mohammed., ELMEDANY, Wael., y SAEED SHARIF, Mhd., “Securing IoT devices against emerging security threats: challenges and mitigation techniques”, </w:t>
      </w:r>
      <w:r>
        <w:rPr>
          <w:rFonts w:eastAsia="Times New Roman" w:cs="Times New Roman" w:ascii="Times New Roman" w:hAnsi="Times New Roman"/>
          <w:i/>
          <w:color w:val="000000"/>
          <w:sz w:val="20"/>
          <w:szCs w:val="20"/>
        </w:rPr>
        <w:t>Journal of Cyber Security Technology</w:t>
      </w:r>
      <w:r>
        <w:rPr>
          <w:rFonts w:eastAsia="Times New Roman" w:cs="Times New Roman" w:ascii="Times New Roman" w:hAnsi="Times New Roman"/>
          <w:color w:val="000000"/>
          <w:sz w:val="20"/>
          <w:szCs w:val="20"/>
        </w:rPr>
        <w:t xml:space="preserve">, núm. 7, 2023, p. 199-200. </w:t>
      </w:r>
      <w:r>
        <w:rPr>
          <w:rFonts w:eastAsia="Times New Roman" w:cs="Times New Roman" w:ascii="Times New Roman" w:hAnsi="Times New Roman"/>
          <w:color w:val="000000"/>
          <w:sz w:val="20"/>
          <w:szCs w:val="20"/>
          <w:lang w:val="es-ES"/>
        </w:rPr>
        <w:t xml:space="preserve">El RCR pone especial atención en la etapa previa a la introducción en el mercado o puesta en servicio del producto, a pesar de que también se ocupa de la gestión de los riesgos del producto una vez se ha introducido en el mercado. El legislador europeo se ha percatado de que los fabricantes se centran, fundamentalmente, en mejorar la ciberseguridad de sus productos, relegando su seguridad. Es por ello que mediante la declaración de conformidad se pretende que solo se introduzcan en el mercado productos seguros. </w:t>
      </w:r>
    </w:p>
  </w:footnote>
  <w:footnote w:id="1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Los productos sanitarios y los productos para el diagnóstico in vitro se regulan, respectivamente, por los Reglamentos 2017/745 y 2017/746. Los vehículos, en tanto que incorporan sistemas y componentes digitales, se rigen por lo dispuesto en el Reglamento (UE) 2019/2144, especialmente en lo que se refiere a los sistemas de gestión de la ciberseguridad certificado y a las actualizaciones de los programas informáticos. Asimismo, en el ámbito de la aviación, para la certificación de los requisitos esenciales de ciberseguridad de la aeronavegabilidad debe tener en cuenta el Reglamento (UE) 2018/1139 (considerando núm. 27 y art. 2 RCR). </w:t>
      </w:r>
    </w:p>
  </w:footnote>
  <w:footnote w:id="14">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Art. 3.15 Directiva SRI 2: </w:t>
      </w:r>
      <w:r>
        <w:rPr>
          <w:rFonts w:eastAsia="Times New Roman" w:cs="Times New Roman" w:ascii="Times New Roman" w:hAnsi="Times New Roman"/>
          <w:i/>
          <w:color w:val="000000"/>
          <w:sz w:val="20"/>
          <w:szCs w:val="20"/>
          <w:lang w:val="es-ES"/>
        </w:rPr>
        <w:t>“«vulnerabilidad»: deficiencia, susceptibilidad o fallo de productos de TIC o servicios de TIC que puede ser aprovechado por una ciberamenaza”</w:t>
      </w:r>
      <w:r>
        <w:rPr>
          <w:rFonts w:eastAsia="Times New Roman" w:cs="Times New Roman" w:ascii="Times New Roman" w:hAnsi="Times New Roman"/>
          <w:color w:val="000000"/>
          <w:sz w:val="20"/>
          <w:szCs w:val="20"/>
          <w:lang w:val="es-ES"/>
        </w:rPr>
        <w:t xml:space="preserve">. </w:t>
      </w:r>
    </w:p>
  </w:footnote>
  <w:footnote w:id="15">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ROYTMAN, Michael., y BELLIS, Ed., Modern Vulnerability Management. Predictive Cybersecurity., Artech House, Londres, 2023, p. 4. Es posible identificar las vulnerabilidades aprovechables con las amenazas de ciberseguridad (</w:t>
      </w:r>
      <w:r>
        <w:rPr>
          <w:rFonts w:eastAsia="Times New Roman" w:cs="Times New Roman" w:ascii="Times New Roman" w:hAnsi="Times New Roman"/>
          <w:i/>
          <w:color w:val="000000"/>
          <w:sz w:val="20"/>
          <w:szCs w:val="20"/>
        </w:rPr>
        <w:t>threats</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i/>
          <w:color w:val="000000"/>
          <w:sz w:val="20"/>
          <w:szCs w:val="20"/>
        </w:rPr>
        <w:t>“a vulnerability is distinct from a threat, which is the potential for a specific actor to exploit, or take advantage of, a vulnerability. Tens of thousands of vulnerabilities are discovered each year, but only a small fraction become threats. A vulnerability becomes a threat when an exploit (code that compromises a vulnerability) is written.”</w:t>
      </w:r>
    </w:p>
  </w:footnote>
  <w:footnote w:id="16">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ROYTMAN, Michael., y BELLIS, Ed., Modern Vulnerability Management</w:t>
      </w:r>
      <w:r>
        <w:rPr>
          <w:rFonts w:eastAsia="Times New Roman" w:cs="Times New Roman" w:ascii="Times New Roman" w:hAnsi="Times New Roman"/>
          <w:i/>
          <w:color w:val="000000"/>
          <w:sz w:val="20"/>
          <w:szCs w:val="20"/>
        </w:rPr>
        <w:t>…, op.cit.,</w:t>
      </w:r>
      <w:r>
        <w:rPr>
          <w:rFonts w:eastAsia="Times New Roman" w:cs="Times New Roman" w:ascii="Times New Roman" w:hAnsi="Times New Roman"/>
          <w:color w:val="000000"/>
          <w:sz w:val="20"/>
          <w:szCs w:val="20"/>
        </w:rPr>
        <w:t xml:space="preserve"> p. 5. </w:t>
      </w:r>
      <w:r>
        <w:rPr>
          <w:rFonts w:eastAsia="Times New Roman" w:cs="Times New Roman" w:ascii="Times New Roman" w:hAnsi="Times New Roman"/>
          <w:i/>
          <w:color w:val="000000"/>
          <w:sz w:val="20"/>
          <w:szCs w:val="20"/>
        </w:rPr>
        <w:t>“An exploitation is the actual event of using an exploit to take advantage of a vulnerability. This is the threat becoming materialized, coming to pass.”</w:t>
      </w:r>
    </w:p>
  </w:footnote>
  <w:footnote w:id="17">
    <w:p>
      <w:pPr>
        <w:pStyle w:val="Normal"/>
        <w:spacing w:lineRule="auto" w:line="276" w:before="0" w:after="0"/>
        <w:jc w:val="both"/>
        <w:rPr>
          <w:rFonts w:ascii="Times New Roman" w:hAnsi="Times New Roman" w:eastAsia="Times New Roman" w:cs="Times New Roman"/>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i/>
          <w:sz w:val="20"/>
          <w:szCs w:val="20"/>
        </w:rPr>
        <w:t>Vid</w:t>
      </w:r>
      <w:r>
        <w:rPr>
          <w:rFonts w:eastAsia="Times New Roman" w:cs="Times New Roman" w:ascii="Times New Roman" w:hAnsi="Times New Roman"/>
          <w:sz w:val="20"/>
          <w:szCs w:val="20"/>
        </w:rPr>
        <w:t xml:space="preserve">. Anexo I Parte I RCR. </w:t>
      </w:r>
    </w:p>
  </w:footnote>
  <w:footnote w:id="18">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ZIRNSTEIN, Yannick., LIN LEE, Yue., GE, Amanda., “Evolving Cybersecurity Landscape – Comparing the Regulatory Approaches in the EU, in China and in Singapore — An Analysis of Legislative Approaches to Key Issues in Tackling a Global Phenomenon”, Computer Law Review Inetrnational, núm. 6, 2002, p. 167. </w:t>
      </w:r>
    </w:p>
  </w:footnote>
  <w:footnote w:id="19">
    <w:p>
      <w:pPr>
        <w:pStyle w:val="Normal"/>
        <w:spacing w:lineRule="auto" w:line="276" w:before="0" w:after="0"/>
        <w:jc w:val="both"/>
        <w:rPr>
          <w:rFonts w:ascii="Times New Roman" w:hAnsi="Times New Roman" w:eastAsia="Times New Roman" w:cs="Times New Roman"/>
          <w:i/>
          <w:i/>
          <w:sz w:val="20"/>
          <w:szCs w:val="20"/>
          <w:lang w:val="es-ES"/>
        </w:rPr>
      </w:pPr>
      <w:r>
        <w:rPr>
          <w:rStyle w:val="FootnoteCharacters"/>
        </w:rPr>
        <w:footnoteRef/>
      </w:r>
      <w:r>
        <w:rPr>
          <w:rFonts w:eastAsia="Times New Roman" w:cs="Times New Roman" w:ascii="Times New Roman" w:hAnsi="Times New Roman"/>
          <w:sz w:val="20"/>
          <w:szCs w:val="20"/>
          <w:lang w:val="es-ES"/>
        </w:rPr>
        <w:t xml:space="preserve"> </w:t>
      </w:r>
      <w:r>
        <w:rPr>
          <w:rFonts w:eastAsia="Times New Roman" w:cs="Times New Roman" w:ascii="Times New Roman" w:hAnsi="Times New Roman"/>
          <w:sz w:val="20"/>
          <w:szCs w:val="20"/>
          <w:lang w:val="es-ES"/>
        </w:rPr>
        <w:t xml:space="preserve">Art. 6.a) RCR: </w:t>
      </w:r>
      <w:r>
        <w:rPr>
          <w:rFonts w:eastAsia="Times New Roman" w:cs="Times New Roman" w:ascii="Times New Roman" w:hAnsi="Times New Roman"/>
          <w:i/>
          <w:sz w:val="20"/>
          <w:szCs w:val="20"/>
          <w:lang w:val="es-ES"/>
        </w:rPr>
        <w:t>“Solo se procederá a la comercialización de los productos con elementos digitales si:</w:t>
      </w:r>
    </w:p>
    <w:p>
      <w:pPr>
        <w:pStyle w:val="Normal"/>
        <w:spacing w:lineRule="auto" w:line="276" w:before="0" w:after="0"/>
        <w:jc w:val="both"/>
        <w:rPr>
          <w:rFonts w:ascii="Times New Roman" w:hAnsi="Times New Roman" w:eastAsia="Times New Roman" w:cs="Times New Roman"/>
          <w:i/>
          <w:i/>
          <w:sz w:val="20"/>
          <w:szCs w:val="20"/>
          <w:lang w:val="es-ES"/>
        </w:rPr>
      </w:pPr>
      <w:r>
        <w:rPr>
          <w:rFonts w:eastAsia="Times New Roman" w:cs="Times New Roman" w:ascii="Times New Roman" w:hAnsi="Times New Roman"/>
          <w:i/>
          <w:sz w:val="20"/>
          <w:szCs w:val="20"/>
          <w:lang w:val="es-ES"/>
        </w:rPr>
        <w:t xml:space="preserve">a) cumplen los requisitos esenciales de ciberseguridad establecidos en el anexo I, parte I, a condición de que los productos hayan sido instalados de manera adecuada, mantenidos y utilizados para su finalidad prevista o en condiciones que se puedan prever razonablemente y, en su caso, de que se hayan instalado las actualizaciones de seguridad necesarias”. </w:t>
      </w:r>
    </w:p>
  </w:footnote>
  <w:footnote w:id="20">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Desde mi punto de vista, el correcto entendimiento de “los riesgos existentes” que aparecen en el primer criterio del Anexo I Parte I RCR deben valorarse considerando el uso razonablemente previsible del producto y el uso indebido razonablemente del producto. Este enfoque se sustenta sobre la base de lo prevenido en el Reglamento (UE) 2023/988 del Parlamento Europeo y del Consejo de 10 de mayo de 2023 relativo a la seguridad general de los productos. La definición de “riesgo grave” del art. 3.5) de dicho reglamento contempla el “uso normal y previsible del producto”. </w:t>
      </w:r>
    </w:p>
  </w:footnote>
  <w:footnote w:id="21">
    <w:p>
      <w:pPr>
        <w:pStyle w:val="Normal"/>
        <w:spacing w:lineRule="auto" w:line="276" w:before="0" w:after="0"/>
        <w:jc w:val="both"/>
        <w:rPr>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MILLER, Kevin L., “What we talk about when we talk about 'reasonable cybersecurity': a proactive and adaptive approach”, en </w:t>
      </w:r>
      <w:r>
        <w:rPr>
          <w:rFonts w:eastAsia="Times New Roman" w:cs="Times New Roman" w:ascii="Times New Roman" w:hAnsi="Times New Roman"/>
          <w:i/>
          <w:sz w:val="20"/>
          <w:szCs w:val="20"/>
        </w:rPr>
        <w:t xml:space="preserve">Florida Bar Journal, </w:t>
      </w:r>
      <w:r>
        <w:rPr>
          <w:rFonts w:eastAsia="Times New Roman" w:cs="Times New Roman" w:ascii="Times New Roman" w:hAnsi="Times New Roman"/>
          <w:sz w:val="20"/>
          <w:szCs w:val="20"/>
        </w:rPr>
        <w:t>vol. 90, núm. 8, 2016, 5-6.</w:t>
      </w:r>
      <w:r>
        <w:rPr>
          <w:sz w:val="20"/>
          <w:szCs w:val="20"/>
        </w:rPr>
        <w:t xml:space="preserve"> </w:t>
      </w:r>
    </w:p>
  </w:footnote>
  <w:footnote w:id="2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Considerando núm. 32 RCR. </w:t>
      </w:r>
    </w:p>
  </w:footnote>
  <w:footnote w:id="23">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w:t>
      </w:r>
      <w:r>
        <w:rPr>
          <w:rFonts w:eastAsia="Times New Roman" w:cs="Times New Roman" w:ascii="Times New Roman" w:hAnsi="Times New Roman"/>
          <w:color w:val="000000"/>
          <w:sz w:val="20"/>
          <w:szCs w:val="20"/>
          <w:lang w:val="en-US"/>
        </w:rPr>
        <w:t xml:space="preserve">DOUE núm. 119, de 4 de mayo de 2016. </w:t>
      </w:r>
    </w:p>
  </w:footnote>
  <w:footnote w:id="24">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BYGRAVE, Lee. A., “Article 25. Data protection by design and by default”, en KUNER, Christopher., BYGRAVE, Lee. A., DOCKSEY, Christopher y DRECHSLER, Laura (eds.), </w:t>
      </w:r>
      <w:r>
        <w:rPr>
          <w:rFonts w:eastAsia="Times New Roman" w:cs="Times New Roman" w:ascii="Times New Roman" w:hAnsi="Times New Roman"/>
          <w:i/>
          <w:color w:val="000000"/>
          <w:sz w:val="20"/>
          <w:szCs w:val="20"/>
          <w:lang w:val="en-US"/>
        </w:rPr>
        <w:t>The EU General Data Protection Regulation (GDPR): A Commentary</w:t>
      </w:r>
      <w:r>
        <w:rPr>
          <w:rFonts w:eastAsia="Times New Roman" w:cs="Times New Roman" w:ascii="Times New Roman" w:hAnsi="Times New Roman"/>
          <w:color w:val="000000"/>
          <w:sz w:val="20"/>
          <w:szCs w:val="20"/>
          <w:lang w:val="en-US"/>
        </w:rPr>
        <w:t>., Oxford University Press, Londres, 2020, p,</w:t>
      </w:r>
      <w:r>
        <w:rPr>
          <w:rFonts w:eastAsia="Times New Roman" w:cs="Times New Roman" w:ascii="Times New Roman" w:hAnsi="Times New Roman"/>
          <w:b/>
          <w:color w:val="000000"/>
          <w:sz w:val="20"/>
          <w:szCs w:val="20"/>
          <w:lang w:val="en-US"/>
        </w:rPr>
        <w:t xml:space="preserve"> </w:t>
      </w:r>
      <w:r>
        <w:rPr>
          <w:rFonts w:eastAsia="Times New Roman" w:cs="Times New Roman" w:ascii="Times New Roman" w:hAnsi="Times New Roman"/>
          <w:color w:val="000000"/>
          <w:sz w:val="20"/>
          <w:szCs w:val="20"/>
          <w:lang w:val="en-US"/>
        </w:rPr>
        <w:t>571-581.</w:t>
      </w:r>
    </w:p>
  </w:footnote>
  <w:footnote w:id="2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KOSTA, Eleni., “Article 35. Data protection impact assessment and prior consultation”, en KUNER, Christopher., BYGRAVE, Lee. A., DOCKSEY, Christopher y DRECHSLER, Laura (eds.), </w:t>
      </w:r>
      <w:r>
        <w:rPr>
          <w:rFonts w:eastAsia="Times New Roman" w:cs="Times New Roman" w:ascii="Times New Roman" w:hAnsi="Times New Roman"/>
          <w:i/>
          <w:color w:val="000000"/>
          <w:sz w:val="20"/>
          <w:szCs w:val="20"/>
          <w:lang w:val="en-US"/>
        </w:rPr>
        <w:t>The EU General Data Protection Regulation (GDPR): A Commentary</w:t>
      </w:r>
      <w:r>
        <w:rPr>
          <w:rFonts w:eastAsia="Times New Roman" w:cs="Times New Roman" w:ascii="Times New Roman" w:hAnsi="Times New Roman"/>
          <w:color w:val="000000"/>
          <w:sz w:val="20"/>
          <w:szCs w:val="20"/>
          <w:lang w:val="en-US"/>
        </w:rPr>
        <w:t>., Oxford University Press, Londres, 2020, p,</w:t>
      </w:r>
      <w:r>
        <w:rPr>
          <w:rFonts w:eastAsia="Times New Roman" w:cs="Times New Roman" w:ascii="Times New Roman" w:hAnsi="Times New Roman"/>
          <w:b/>
          <w:color w:val="000000"/>
          <w:sz w:val="20"/>
          <w:szCs w:val="20"/>
          <w:lang w:val="en-US"/>
        </w:rPr>
        <w:t xml:space="preserve"> </w:t>
      </w:r>
      <w:r>
        <w:rPr>
          <w:rFonts w:eastAsia="Times New Roman" w:cs="Times New Roman" w:ascii="Times New Roman" w:hAnsi="Times New Roman"/>
          <w:color w:val="000000"/>
          <w:sz w:val="20"/>
          <w:szCs w:val="20"/>
          <w:lang w:val="en-US"/>
        </w:rPr>
        <w:t xml:space="preserve">571-581. </w:t>
      </w:r>
      <w:r>
        <w:rPr>
          <w:rFonts w:eastAsia="Times New Roman" w:cs="Times New Roman" w:ascii="Times New Roman" w:hAnsi="Times New Roman"/>
          <w:color w:val="000000"/>
          <w:sz w:val="20"/>
          <w:szCs w:val="20"/>
          <w:lang w:val="es-ES"/>
        </w:rPr>
        <w:t>GRUPO DE TRABAJO "PROTECCIÓN DE DATOS" DEL ARTÍCULO 29, 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 Salvo las excepciones que contempla el propio RGPD, será necesario realizar una evaluación de impacto cuando el tratamiento de datos personales “entrañe probablemente un riesgo alto”. En este sentido, la posibilidad de que los productos con elementos digitales traten datos sensibles o muy personales (art. 9 RGPD), obliga a realizar una evaluación de impacto. En caso de duda sobre si la operación de tratamiento requiere la evaluación de impacto, el Grupo de Trabajo del Artículo 29 recomienda realizarla.</w:t>
      </w:r>
    </w:p>
  </w:footnote>
  <w:footnote w:id="26">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46 RCR: </w:t>
      </w:r>
      <w:r>
        <w:rPr>
          <w:rFonts w:eastAsia="Times New Roman" w:cs="Times New Roman" w:ascii="Times New Roman" w:hAnsi="Times New Roman"/>
          <w:i/>
          <w:color w:val="000000"/>
          <w:sz w:val="20"/>
          <w:szCs w:val="20"/>
          <w:lang w:val="es-ES"/>
        </w:rPr>
        <w:t xml:space="preserve">“Las categorías de productos críticos con elementos digitales establecidas en el presente Reglamento tienen una funcionalidad relacionada con la ciberseguridad y desempeñan una función que conlleva un riesgo significativo de efectos adversos en términos de intensidad y capacidad para perturbar, controlar o dañar un gran número de otros productos con elementos digitales mediante manipulación directa.” </w:t>
      </w:r>
      <w:r>
        <w:rPr>
          <w:rFonts w:eastAsia="Times New Roman" w:cs="Times New Roman" w:ascii="Times New Roman" w:hAnsi="Times New Roman"/>
          <w:color w:val="000000"/>
          <w:sz w:val="20"/>
          <w:szCs w:val="20"/>
          <w:lang w:val="en-US"/>
        </w:rPr>
        <w:t xml:space="preserve">SCHMITTNER, Christoph., VELEDAR, Omar., FASCHANG, Thomas., MACHER, Georg., BRENNER, Eugen., “Fostering Cyber Resilience in Europe: An In-Depth Exploration of the Cyber Resilience Act”, en YLMAZ, Murat., CLARKE, Paul., RILE, Andreas., MESSNARZ, Richard., GREINER, Christian., PEISL, Thomas (eds.), </w:t>
      </w:r>
      <w:r>
        <w:rPr>
          <w:rFonts w:eastAsia="Times New Roman" w:cs="Times New Roman" w:ascii="Times New Roman" w:hAnsi="Times New Roman"/>
          <w:i/>
          <w:color w:val="000000"/>
          <w:sz w:val="20"/>
          <w:szCs w:val="20"/>
          <w:lang w:val="en-US"/>
        </w:rPr>
        <w:t xml:space="preserve">Systems, Software and Services Process Improvement, </w:t>
      </w:r>
      <w:r>
        <w:rPr>
          <w:rFonts w:eastAsia="Times New Roman" w:cs="Times New Roman" w:ascii="Times New Roman" w:hAnsi="Times New Roman"/>
          <w:color w:val="000000"/>
          <w:sz w:val="20"/>
          <w:szCs w:val="20"/>
          <w:lang w:val="en-US"/>
        </w:rPr>
        <w:t>Springer Nature Switzerland AG, 2024, 398.</w:t>
      </w:r>
    </w:p>
  </w:footnote>
  <w:footnote w:id="27">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BURRI, Mira., ZIHLMANN, Zaira., “The Cyber Resilience Act”</w:t>
      </w:r>
      <w:r>
        <w:rPr>
          <w:rFonts w:eastAsia="Times New Roman" w:cs="Times New Roman" w:ascii="Times New Roman" w:hAnsi="Times New Roman"/>
          <w:i/>
          <w:color w:val="000000"/>
          <w:sz w:val="20"/>
          <w:szCs w:val="20"/>
          <w:lang w:val="en-US"/>
        </w:rPr>
        <w:t xml:space="preserve">…, op.cit., </w:t>
      </w:r>
      <w:r>
        <w:rPr>
          <w:rFonts w:eastAsia="Times New Roman" w:cs="Times New Roman" w:ascii="Times New Roman" w:hAnsi="Times New Roman"/>
          <w:color w:val="000000"/>
          <w:sz w:val="20"/>
          <w:szCs w:val="20"/>
          <w:lang w:val="en-US"/>
        </w:rPr>
        <w:t xml:space="preserve">p. 25-27. </w:t>
      </w:r>
    </w:p>
  </w:footnote>
  <w:footnote w:id="28">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COMISIÓN EUROPEA., “Cyber Resilience Act. New EU cybersecurity rules ensure more secure hardware and software products”, 2022, puede consultarse en: </w:t>
      </w:r>
      <w:hyperlink r:id="rId2">
        <w:r>
          <w:rPr>
            <w:rStyle w:val="Hyperlink"/>
            <w:rFonts w:eastAsia="Times New Roman" w:cs="Times New Roman" w:ascii="Times New Roman" w:hAnsi="Times New Roman"/>
            <w:i/>
            <w:color w:val="000000"/>
            <w:sz w:val="20"/>
            <w:szCs w:val="20"/>
            <w:lang w:val="en-US"/>
          </w:rPr>
          <w:t>https://digital-strategy.ec.europa.eu/en/news/new-eu-cybersecurity-rules-ensure-more-secure-hardware-and-software-products</w:t>
        </w:r>
      </w:hyperlink>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s-ES"/>
        </w:rPr>
        <w:t xml:space="preserve">Consulta realizada el día 30 de mayo de 2025. La Comisión Europea estima que el 90% de los productos con elementos digitales formarán parte de esta categoría. Sin embargo, puede que existan productos que, sin considerar el entorno donde despliegan su funcionalidad, no sean incluidos en las tres primeras categorías, pero que considerando el entorno operativo, una brecha en su ciberseguridad podría afectar instalaciones o procesos críticos. </w:t>
      </w:r>
      <w:r>
        <w:rPr>
          <w:rFonts w:eastAsia="Times New Roman" w:cs="Times New Roman" w:ascii="Times New Roman" w:hAnsi="Times New Roman"/>
          <w:color w:val="000000"/>
          <w:sz w:val="20"/>
          <w:szCs w:val="20"/>
        </w:rPr>
        <w:t>BURRI, Mira., ZIHLMANN, Zaira., “The Cyber Resilience Act”</w:t>
      </w:r>
      <w:r>
        <w:rPr>
          <w:rFonts w:eastAsia="Times New Roman" w:cs="Times New Roman" w:ascii="Times New Roman" w:hAnsi="Times New Roman"/>
          <w:i/>
          <w:color w:val="000000"/>
          <w:sz w:val="20"/>
          <w:szCs w:val="20"/>
        </w:rPr>
        <w:t xml:space="preserve">…, op.cit., </w:t>
      </w:r>
      <w:r>
        <w:rPr>
          <w:rFonts w:eastAsia="Times New Roman" w:cs="Times New Roman" w:ascii="Times New Roman" w:hAnsi="Times New Roman"/>
          <w:color w:val="000000"/>
          <w:sz w:val="20"/>
          <w:szCs w:val="20"/>
        </w:rPr>
        <w:t xml:space="preserve">p. 28. </w:t>
      </w:r>
      <w:r>
        <w:rPr>
          <w:rFonts w:eastAsia="Times New Roman" w:cs="Times New Roman" w:ascii="Times New Roman" w:hAnsi="Times New Roman"/>
          <w:i/>
          <w:color w:val="000000"/>
          <w:sz w:val="20"/>
          <w:szCs w:val="20"/>
        </w:rPr>
        <w:t>“For instance, smart LED bulbs would likely be classified as non-critical products. However, if a smart LED light bulb is compromised, it can serve as a gateway into the network it is connected to and the threat can spread to an entire network.180 If a smart LED bulb is used in a private home network, the ramifications of its compromise may be less problematic. However, if such a light bulb is in use in a factory and can thus be exploited as an entry point into the factory’s network and for example be used to shut down the factory’s production, the consequences could be much more widespread.”</w:t>
      </w:r>
    </w:p>
  </w:footnote>
  <w:footnote w:id="2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Esta obra ofrece una explicación clara del procedimiento de conformidad a seguir a los efectos de la certificación de los requisitos esenciales de seguridad en función de la clasificación de los productos con elementos digitales. </w:t>
      </w:r>
      <w:r>
        <w:rPr>
          <w:rFonts w:eastAsia="Times New Roman" w:cs="Times New Roman" w:ascii="Times New Roman" w:hAnsi="Times New Roman"/>
          <w:color w:val="000000"/>
          <w:sz w:val="20"/>
          <w:szCs w:val="20"/>
          <w:lang w:val="fr-FR"/>
        </w:rPr>
        <w:t xml:space="preserve">MUECK, Marcus., ROBERTS, Taylor., DU BOISPÉAN, Stéphane., GAIE, Christophe., “E 4. </w:t>
      </w:r>
      <w:r>
        <w:rPr>
          <w:rFonts w:eastAsia="Times New Roman" w:cs="Times New Roman" w:ascii="Times New Roman" w:hAnsi="Times New Roman"/>
          <w:color w:val="000000"/>
          <w:sz w:val="20"/>
          <w:szCs w:val="20"/>
        </w:rPr>
        <w:t>Introduction to the European Cyber Resilience Act”, en MUECK, Marcus.,</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z w:val="20"/>
          <w:szCs w:val="20"/>
        </w:rPr>
        <w:t xml:space="preserve">GAIE, Christophe (eds.), </w:t>
      </w:r>
      <w:r>
        <w:rPr>
          <w:rFonts w:eastAsia="Times New Roman" w:cs="Times New Roman" w:ascii="Times New Roman" w:hAnsi="Times New Roman"/>
          <w:i/>
          <w:color w:val="000000"/>
          <w:sz w:val="20"/>
          <w:szCs w:val="20"/>
        </w:rPr>
        <w:t>European Digital Regulations</w:t>
      </w:r>
      <w:r>
        <w:rPr>
          <w:rFonts w:eastAsia="Times New Roman" w:cs="Times New Roman" w:ascii="Times New Roman" w:hAnsi="Times New Roman"/>
          <w:color w:val="000000"/>
          <w:sz w:val="20"/>
          <w:szCs w:val="20"/>
        </w:rPr>
        <w:t>, Springer Nature, 2025, 98-103.</w:t>
      </w:r>
    </w:p>
  </w:footnote>
  <w:footnote w:id="30">
    <w:p>
      <w:pPr>
        <w:pStyle w:val="Normal"/>
        <w:pBdr/>
        <w:spacing w:lineRule="auto" w:line="276" w:before="0" w:after="0"/>
        <w:jc w:val="both"/>
        <w:rPr>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ELLUL, Joshua., PAECE, Gordon. J., REVOLIDIS, Ioannis., SCHNEIDER, Gerardo., “When is good enough good enough? </w:t>
      </w:r>
      <w:r>
        <w:rPr>
          <w:rFonts w:eastAsia="Times New Roman" w:cs="Times New Roman" w:ascii="Times New Roman" w:hAnsi="Times New Roman"/>
          <w:color w:val="000000"/>
          <w:sz w:val="20"/>
          <w:szCs w:val="20"/>
          <w:lang w:val="es-ES"/>
        </w:rPr>
        <w:t xml:space="preserve">On software assurances”, en </w:t>
      </w:r>
      <w:r>
        <w:rPr>
          <w:rFonts w:eastAsia="Times New Roman" w:cs="Times New Roman" w:ascii="Times New Roman" w:hAnsi="Times New Roman"/>
          <w:i/>
          <w:color w:val="000000"/>
          <w:sz w:val="20"/>
          <w:szCs w:val="20"/>
          <w:lang w:val="es-ES"/>
        </w:rPr>
        <w:t>ERA Forum</w:t>
      </w:r>
      <w:r>
        <w:rPr>
          <w:rFonts w:eastAsia="Times New Roman" w:cs="Times New Roman" w:ascii="Times New Roman" w:hAnsi="Times New Roman"/>
          <w:color w:val="000000"/>
          <w:sz w:val="20"/>
          <w:szCs w:val="20"/>
          <w:lang w:val="es-ES"/>
        </w:rPr>
        <w:t>, núm. 23, 2023, p. 345-346.</w:t>
      </w:r>
      <w:r>
        <w:rPr>
          <w:color w:val="000000"/>
          <w:sz w:val="20"/>
          <w:szCs w:val="20"/>
          <w:lang w:val="es-ES"/>
        </w:rPr>
        <w:t xml:space="preserve"> </w:t>
      </w:r>
    </w:p>
  </w:footnote>
  <w:footnote w:id="31">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Considerando núm. 60 RCR. Este considerando apunta a esta idea. No obstante, no se justifica la duración del periodo de soporte de cinco años. Algún autor defendió la opción de introducir un periodo de soporte de diez años, una opción que no se adoptó en el texto aprobado del RCR. </w:t>
      </w:r>
      <w:r>
        <w:rPr>
          <w:rFonts w:eastAsia="Times New Roman" w:cs="Times New Roman" w:ascii="Times New Roman" w:hAnsi="Times New Roman"/>
          <w:color w:val="000000"/>
          <w:sz w:val="20"/>
          <w:szCs w:val="20"/>
        </w:rPr>
        <w:t xml:space="preserve">BERTUZZI, Luca., “EU Council moves to adjust product lifecycle, reporting in new cybersecurity law”, 2023. </w:t>
      </w:r>
      <w:r>
        <w:rPr>
          <w:rFonts w:eastAsia="Times New Roman" w:cs="Times New Roman" w:ascii="Times New Roman" w:hAnsi="Times New Roman"/>
          <w:color w:val="000000"/>
          <w:sz w:val="20"/>
          <w:szCs w:val="20"/>
          <w:lang w:val="es-ES"/>
        </w:rPr>
        <w:t xml:space="preserve">Puede consultarse en: </w:t>
      </w:r>
      <w:hyperlink r:id="rId3">
        <w:r>
          <w:rPr>
            <w:rStyle w:val="Hyperlink"/>
            <w:rFonts w:eastAsia="Times New Roman" w:cs="Times New Roman" w:ascii="Times New Roman" w:hAnsi="Times New Roman"/>
            <w:i/>
            <w:color w:val="0563C1"/>
            <w:sz w:val="20"/>
            <w:szCs w:val="20"/>
            <w:u w:val="single"/>
            <w:lang w:val="es-ES"/>
          </w:rPr>
          <w:t>https://www.euractiv.com/section/tech/news/eu-council-moves-to-adjust-product-lifecycle-reporting-in-new-cybersecurity-law/</w:t>
        </w:r>
      </w:hyperlink>
      <w:r>
        <w:rPr>
          <w:rFonts w:eastAsia="Times New Roman" w:cs="Times New Roman" w:ascii="Times New Roman" w:hAnsi="Times New Roman"/>
          <w:i/>
          <w:color w:val="000000"/>
          <w:sz w:val="20"/>
          <w:szCs w:val="20"/>
          <w:lang w:val="es-ES"/>
        </w:rPr>
        <w:t>.</w:t>
      </w:r>
      <w:r>
        <w:rPr>
          <w:rFonts w:eastAsia="Times New Roman" w:cs="Times New Roman" w:ascii="Times New Roman" w:hAnsi="Times New Roman"/>
          <w:color w:val="000000"/>
          <w:sz w:val="20"/>
          <w:szCs w:val="20"/>
          <w:lang w:val="es-ES"/>
        </w:rPr>
        <w:t xml:space="preserve"> Consulta realizada el día 31 de mayo de 2025. </w:t>
      </w:r>
    </w:p>
  </w:footnote>
  <w:footnote w:id="3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Directiva (UE) 2019/771 del Parlamento Europeo y del Consejo de 20 de mayo de 2019 relativa a determinados aspectos de los contratos de compraventa de bienes, por la que se modifican el Reglamento (CE) núm. 2017/2394 y la Directiva 2009/22/CE y se deroga la Directiva 1999/44/CE. DOUE núm. 136, de 22 de mayo de 2019. </w:t>
      </w:r>
    </w:p>
  </w:footnote>
  <w:footnote w:id="3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Directiva 85/374/CEE del Consejo, de 25 de julio de 1985, relativa a la aproximación de las disposiciones legales, reglamentarias y administrativas de los Estados Miembros en materia de responsabilidad por los daños causados por productos defectuosos. DOCE núm. 210, de 7 de agosto de 1985.</w:t>
      </w:r>
    </w:p>
  </w:footnote>
  <w:footnote w:id="34">
    <w:p>
      <w:pPr>
        <w:pStyle w:val="Normal"/>
        <w:pBdr/>
        <w:spacing w:lineRule="auto" w:line="276" w:before="0" w:after="0"/>
        <w:jc w:val="both"/>
        <w:rPr>
          <w:rFonts w:ascii="Times New Roman" w:hAnsi="Times New Roman" w:eastAsia="Times New Roman" w:cs="Times New Roman"/>
          <w:b/>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Para una introducción general a la nueva DRP,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rPr>
        <w:t xml:space="preserve">WAGNER, Gerhard., “Liability Rules for the Digital Age - Aiming for the Brussels Effect”, en </w:t>
      </w:r>
      <w:r>
        <w:rPr>
          <w:rFonts w:eastAsia="Times New Roman" w:cs="Times New Roman" w:ascii="Times New Roman" w:hAnsi="Times New Roman"/>
          <w:i/>
          <w:color w:val="000000"/>
          <w:sz w:val="20"/>
          <w:szCs w:val="20"/>
        </w:rPr>
        <w:t xml:space="preserve">Journal of European Tort Law, </w:t>
      </w:r>
      <w:r>
        <w:rPr>
          <w:rFonts w:eastAsia="Times New Roman" w:cs="Times New Roman" w:ascii="Times New Roman" w:hAnsi="Times New Roman"/>
          <w:color w:val="000000"/>
          <w:sz w:val="20"/>
          <w:szCs w:val="20"/>
        </w:rPr>
        <w:t xml:space="preserve">núm. 3, p. 191-243. VELDT, Gitta., “The New Product Liability Proposal – Fit for the Digital Age or in Need of Shaping Up? An Analysis of the Draft Product Liability Directive”, en </w:t>
      </w:r>
      <w:r>
        <w:rPr>
          <w:rFonts w:eastAsia="Times New Roman" w:cs="Times New Roman" w:ascii="Times New Roman" w:hAnsi="Times New Roman"/>
          <w:i/>
          <w:color w:val="000000"/>
          <w:sz w:val="20"/>
          <w:szCs w:val="20"/>
        </w:rPr>
        <w:t xml:space="preserve">European Journal of Consumer and Market Law, </w:t>
      </w:r>
      <w:r>
        <w:rPr>
          <w:rFonts w:eastAsia="Times New Roman" w:cs="Times New Roman" w:ascii="Times New Roman" w:hAnsi="Times New Roman"/>
          <w:color w:val="000000"/>
          <w:sz w:val="20"/>
          <w:szCs w:val="20"/>
        </w:rPr>
        <w:t xml:space="preserve">núm. 1, 2023, p. 24-31. </w:t>
      </w:r>
      <w:r>
        <w:rPr>
          <w:rFonts w:eastAsia="Times New Roman" w:cs="Times New Roman" w:ascii="Times New Roman" w:hAnsi="Times New Roman"/>
          <w:color w:val="000000"/>
          <w:sz w:val="20"/>
          <w:szCs w:val="20"/>
          <w:lang w:val="es-ES"/>
        </w:rPr>
        <w:t xml:space="preserve">ATIENZA NAVARRO, María Luisa., “¿Una nueva responsabilidad por productos defectuosos? Notas a la Propuesta de Directiva del Parlamento Europeo y del Consejo sobre responsabilidad por daños causados por productos defectuosos de 28 de septiembre de 2022 (COM/2022/495).”,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2, 2023, p. 1-53. MARTÍN-CASALS, Miquel., “Las propuestas de la Unión Europea para regular la responsabilidad civil por los daños causados por sistemas de inteligencia artificial”,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3, 2023, p. 75-93. </w:t>
      </w:r>
    </w:p>
  </w:footnote>
  <w:footnote w:id="3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Para diferenciar los conceptos de “producto seguro” “producto inseguro” y “producto defectuoso”,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RUÍZ GARCÍA, Carlos Alberto., MARÍN GARCÍA, Ignacio., “Producto inseguro y producto defectuoso”,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núm. 4, 2006, p. 1-20.</w:t>
      </w:r>
    </w:p>
  </w:footnote>
  <w:footnote w:id="36">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El RCR, como reglamento sectorial aplicable a los productos con elementos digitales, no ha seguido la duplicidad de criterios que adopta la norma general, el Reglamento (UE) 2023/988 del Parlamento Europeo y del Consejo de 10 de mayo de 2023 relativo a la seguridad general de los productos. El concepto de “producto seguro” contenido en el art. 3.2) Reglamento (UE) 2023/988, adopta dos criterios, uno más restrictivo, referido al riesgo inexistente o riesgos mínimos, y un criterio más amplio o laxo, referido al cumplimiento normativo: </w:t>
      </w:r>
      <w:r>
        <w:rPr>
          <w:rFonts w:eastAsia="Times New Roman" w:cs="Times New Roman" w:ascii="Times New Roman" w:hAnsi="Times New Roman"/>
          <w:i/>
          <w:color w:val="000000"/>
          <w:sz w:val="20"/>
          <w:szCs w:val="20"/>
          <w:lang w:val="es-ES"/>
        </w:rPr>
        <w:t>“«producto seguro»: todo producto que, en condiciones de utilización normales o razonablemente previsibles, incluida la duración real de utilización, no presente riesgo alguno o únicamente riesgos mínimos, compatibles con el uso del producto y considerados aceptables dentro del respeto de un nivel elevado de protección de la salud y de la seguridad de los consumidores”</w:t>
      </w:r>
      <w:r>
        <w:rPr>
          <w:rFonts w:eastAsia="Times New Roman" w:cs="Times New Roman" w:ascii="Times New Roman" w:hAnsi="Times New Roman"/>
          <w:color w:val="000000"/>
          <w:sz w:val="20"/>
          <w:szCs w:val="20"/>
          <w:lang w:val="es-ES"/>
        </w:rPr>
        <w:t>. RUÍZ GARCÍA, Carlos Alberto., MARÍN GARCÍA, Ignacio., “Producto inseguro y producto defectuoso”</w:t>
      </w:r>
      <w:r>
        <w:rPr>
          <w:rFonts w:eastAsia="Times New Roman" w:cs="Times New Roman" w:ascii="Times New Roman" w:hAnsi="Times New Roman"/>
          <w:i/>
          <w:color w:val="000000"/>
          <w:sz w:val="20"/>
          <w:szCs w:val="20"/>
          <w:lang w:val="es-ES"/>
        </w:rPr>
        <w:t xml:space="preserve">…, op.cit., </w:t>
      </w:r>
      <w:r>
        <w:rPr>
          <w:rFonts w:eastAsia="Times New Roman" w:cs="Times New Roman" w:ascii="Times New Roman" w:hAnsi="Times New Roman"/>
          <w:color w:val="000000"/>
          <w:sz w:val="20"/>
          <w:szCs w:val="20"/>
          <w:lang w:val="es-ES"/>
        </w:rPr>
        <w:t xml:space="preserve">p. 7. Estos autores se refieren a los riesgos mínimos desde un punto de vista tecnológico: </w:t>
      </w:r>
      <w:r>
        <w:rPr>
          <w:rFonts w:eastAsia="Times New Roman" w:cs="Times New Roman" w:ascii="Times New Roman" w:hAnsi="Times New Roman"/>
          <w:i/>
          <w:color w:val="000000"/>
          <w:sz w:val="20"/>
          <w:szCs w:val="20"/>
          <w:lang w:val="es-ES"/>
        </w:rPr>
        <w:t>“el estado de los conocimientos científicos y de la técnica no permita elaborar un producto con menos riesgos en el momento de puesta en circulación.”</w:t>
      </w:r>
    </w:p>
  </w:footnote>
  <w:footnote w:id="37">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SALVADOR CODERCH, Pablo., SEUBA TORREBLANCA, Joan Carles., RAMOS GONZÁLEZ, Sonia., LUNA YERGA, Álvaro., “Neminem laedere, principi de cautela i xarxa d'alerta. </w:t>
      </w:r>
      <w:r>
        <w:rPr>
          <w:rFonts w:eastAsia="Times New Roman" w:cs="Times New Roman" w:ascii="Times New Roman" w:hAnsi="Times New Roman"/>
          <w:color w:val="000000"/>
          <w:sz w:val="20"/>
          <w:szCs w:val="20"/>
        </w:rPr>
        <w:t xml:space="preserve">Reial Decret 1801/2003, de 26 de desembre, sobre seguretat general dels productes”, en </w:t>
      </w:r>
      <w:r>
        <w:rPr>
          <w:rFonts w:eastAsia="Times New Roman" w:cs="Times New Roman" w:ascii="Times New Roman" w:hAnsi="Times New Roman"/>
          <w:i/>
          <w:color w:val="000000"/>
          <w:sz w:val="20"/>
          <w:szCs w:val="20"/>
        </w:rPr>
        <w:t xml:space="preserve">Indret, </w:t>
      </w:r>
      <w:r>
        <w:rPr>
          <w:rFonts w:eastAsia="Times New Roman" w:cs="Times New Roman" w:ascii="Times New Roman" w:hAnsi="Times New Roman"/>
          <w:color w:val="000000"/>
          <w:sz w:val="20"/>
          <w:szCs w:val="20"/>
        </w:rPr>
        <w:t xml:space="preserve">Working Paper núm. 190, 2004, p. 1-4. HAHN, Robert W., SUNSTEIN, Cass R., “The Precautionary Principle as a Basis for Decision Making” en </w:t>
      </w:r>
      <w:r>
        <w:rPr>
          <w:rFonts w:eastAsia="Times New Roman" w:cs="Times New Roman" w:ascii="Times New Roman" w:hAnsi="Times New Roman"/>
          <w:i/>
          <w:color w:val="000000"/>
          <w:sz w:val="20"/>
          <w:szCs w:val="20"/>
        </w:rPr>
        <w:t xml:space="preserve">The Economics, </w:t>
      </w:r>
      <w:r>
        <w:rPr>
          <w:rFonts w:eastAsia="Times New Roman" w:cs="Times New Roman" w:ascii="Times New Roman" w:hAnsi="Times New Roman"/>
          <w:color w:val="000000"/>
          <w:sz w:val="20"/>
          <w:szCs w:val="20"/>
        </w:rPr>
        <w:t xml:space="preserve">núm. 2, 2005, p. 1-9. </w:t>
      </w:r>
      <w:r>
        <w:rPr>
          <w:rFonts w:eastAsia="Times New Roman" w:cs="Times New Roman" w:ascii="Times New Roman" w:hAnsi="Times New Roman"/>
          <w:color w:val="000000"/>
          <w:sz w:val="20"/>
          <w:szCs w:val="20"/>
          <w:lang w:val="es-ES"/>
        </w:rPr>
        <w:t xml:space="preserve">El cumplimiento de los requisitos esenciales de ciberseguridad del Anexo I RCR permitirá que el producto pueda ser introducido en el mercado. Dicha opción de política legislativa es una manifestación del principio de cautela de los poderes públicos, pues se establece un régimen jurídico al cual los operadores económicos deberán adaptarse para poder comercializar sus productos. Una vez comercializado el producto, el RCR pone énfasis en los riesgos significativos de seguridad para obligar a los operadores económicos a adoptar las medidas correctoras adecuadas (art. 54 RCR). </w:t>
      </w:r>
    </w:p>
  </w:footnote>
  <w:footnote w:id="38">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Considero que el RCR adopta una relación de “causa-efecto” cuando se enfoca la relación de las vulnerabilidades y sus riesgos, entendidas las vulnerabilidades como la puerta de entrada de terceros malintencionados que pueden atacar el producto con elementos digitales (arts. 3.40) y 41) RCR, y los riesgos como la menor o mayor probabilidad de que se produzca un incidente capaz de acarrear consecuencias negativas (art. 3.37) y 38) RCR). Partiendo de esta premisa, pienso que la monitorización del producto debería llevarse a cabo para detectar vulnerabilidades aprovechables que, en caso de un ataque exitoso, se traduzcan en un riesgo de seguridad significativo. Sin embargo, el RCR se centra en las vulnerabilidades aprovechadas activamente, es decir, cuando ya existen evidencias de que el producto ha sido atacado de forma exitosa. </w:t>
      </w:r>
    </w:p>
  </w:footnote>
  <w:footnote w:id="39">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Art. 4.4) DRP: </w:t>
      </w:r>
      <w:r>
        <w:rPr>
          <w:rFonts w:eastAsia="Times New Roman" w:cs="Times New Roman" w:ascii="Times New Roman" w:hAnsi="Times New Roman"/>
          <w:i/>
          <w:color w:val="000000"/>
          <w:sz w:val="20"/>
          <w:szCs w:val="20"/>
          <w:lang w:val="es-ES"/>
        </w:rPr>
        <w:t>“«componente»: cualquier artículo, ya sea tangible o intangible, materia prima o servicio conexo, que está integrado en un producto o interconectado con él”</w:t>
      </w:r>
      <w:r>
        <w:rPr>
          <w:rFonts w:eastAsia="Times New Roman" w:cs="Times New Roman" w:ascii="Times New Roman" w:hAnsi="Times New Roman"/>
          <w:color w:val="000000"/>
          <w:sz w:val="20"/>
          <w:szCs w:val="20"/>
          <w:lang w:val="es-ES"/>
        </w:rPr>
        <w:t xml:space="preserve">. A mayor abundamiento sobre el concepto de componente de la DRP, vid. HERBOSA MARTÍNEZ, Inmaculada., “Encaje de los sistemas de IA en la definición de producto en la legislación de productos defectuosos. Análisis de la legislación vigente con la vista puesta en la Propuesta de Directiva del Parlamento europeo y del Consejo de 28 de septiembre de 2022 (COM/2022/495)”,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núm. 3, 2024, p. 52-98.</w:t>
      </w:r>
    </w:p>
  </w:footnote>
  <w:footnote w:id="40">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31 DRP: </w:t>
      </w:r>
      <w:r>
        <w:rPr>
          <w:rFonts w:eastAsia="Times New Roman" w:cs="Times New Roman" w:ascii="Times New Roman" w:hAnsi="Times New Roman"/>
          <w:i/>
          <w:color w:val="000000"/>
          <w:sz w:val="20"/>
          <w:szCs w:val="20"/>
          <w:lang w:val="es-ES"/>
        </w:rPr>
        <w:t>“Al determinar el carácter defectuoso de un producto, el uso razonablemente previsible incluye también el uso indebido pero razonable en las circunstancias, como por ejemplo el comportamiento previsible de un usuario de maquinaria derivado de una falta de concentración o el comportamiento previsible de determinados grupos de usuarios, como los niños.”</w:t>
      </w:r>
    </w:p>
    <w:p>
      <w:pPr>
        <w:pStyle w:val="Normal"/>
        <w:pBdr/>
        <w:spacing w:lineRule="auto" w:line="276" w:before="0" w:after="0"/>
        <w:jc w:val="both"/>
        <w:rPr>
          <w:color w:val="000000"/>
          <w:sz w:val="20"/>
          <w:szCs w:val="20"/>
          <w:lang w:val="es-ES"/>
        </w:rPr>
      </w:pPr>
      <w:r>
        <w:rPr>
          <w:rFonts w:eastAsia="Times New Roman" w:cs="Times New Roman" w:ascii="Times New Roman" w:hAnsi="Times New Roman"/>
          <w:color w:val="000000"/>
          <w:sz w:val="20"/>
          <w:szCs w:val="20"/>
          <w:lang w:val="es-ES"/>
        </w:rPr>
        <w:t xml:space="preserve">Considerando núm. 46 DRP: </w:t>
      </w:r>
      <w:r>
        <w:rPr>
          <w:rFonts w:eastAsia="Times New Roman" w:cs="Times New Roman" w:ascii="Times New Roman" w:hAnsi="Times New Roman"/>
          <w:i/>
          <w:color w:val="000000"/>
          <w:sz w:val="20"/>
          <w:szCs w:val="20"/>
          <w:lang w:val="es-ES"/>
        </w:rPr>
        <w:t>“El uso razonablemente previsible comprende el uso al que está destinado un producto de conformidad con la información facilitada por el fabricante o el operador económico que lo introduzca en el mercado, el uso ordinario determinado por el diseño y la construcción del producto, y el uso que pueda preverse razonablemente cuando dicho uso pueda derivarse de un comportamiento humano lícito y fácilmente previsible.”</w:t>
      </w:r>
    </w:p>
  </w:footnote>
  <w:footnote w:id="41">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Una conclusión parecida alcanza este autor. HERRERA DE LAS HERAS, Ramón., </w:t>
      </w:r>
      <w:r>
        <w:rPr>
          <w:rFonts w:eastAsia="Times New Roman" w:cs="Times New Roman" w:ascii="Times New Roman" w:hAnsi="Times New Roman"/>
          <w:i/>
          <w:color w:val="000000"/>
          <w:sz w:val="20"/>
          <w:szCs w:val="20"/>
          <w:lang w:val="es-ES"/>
        </w:rPr>
        <w:t>Aspectos legales de la inteligencia artificial. Personalidad jurídica de los robots, protección de datos y responsabilidad civil</w:t>
      </w:r>
      <w:r>
        <w:rPr>
          <w:rFonts w:eastAsia="Times New Roman" w:cs="Times New Roman" w:ascii="Times New Roman" w:hAnsi="Times New Roman"/>
          <w:color w:val="000000"/>
          <w:sz w:val="20"/>
          <w:szCs w:val="20"/>
          <w:lang w:val="es-ES"/>
        </w:rPr>
        <w:t xml:space="preserve">, Dykinson, Madrid, 2022, p. 94. </w:t>
      </w:r>
    </w:p>
  </w:footnote>
  <w:footnote w:id="42">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Dicha causa de exoneración de responsabilidad ya estaba reconocida en el art. 7.b) Directiva 85/374/CEE: </w:t>
      </w:r>
      <w:r>
        <w:rPr>
          <w:rFonts w:eastAsia="Times New Roman" w:cs="Times New Roman" w:ascii="Times New Roman" w:hAnsi="Times New Roman"/>
          <w:i/>
          <w:color w:val="000000"/>
          <w:sz w:val="20"/>
          <w:szCs w:val="20"/>
          <w:lang w:val="es-ES"/>
        </w:rPr>
        <w:t>“o que, teniendo en cuenta las circunstancias, sea probable que el defecto que causó el daño no existiera en el momento en que él puso el producto en circulación o que este defecto apareciera más tarde”</w:t>
      </w:r>
      <w:r>
        <w:rPr>
          <w:rFonts w:eastAsia="Times New Roman" w:cs="Times New Roman" w:ascii="Times New Roman" w:hAnsi="Times New Roman"/>
          <w:color w:val="000000"/>
          <w:sz w:val="20"/>
          <w:szCs w:val="20"/>
          <w:lang w:val="es-ES"/>
        </w:rPr>
        <w:t xml:space="preserve">. Esta causa de exoneración de responsabilidad ha sido muy criticada por la doctrina cuando estamos ante productos con elementos digitales que se actualizan mientras están bajo el control del fabricante. No obstante, se ha mantenido en la DRP y no se ha excluido su aplicación en el caso de la inteligencia artificial o de les vulnerabilidades. </w:t>
      </w:r>
      <w:r>
        <w:rPr>
          <w:rFonts w:eastAsia="Times New Roman" w:cs="Times New Roman" w:ascii="Times New Roman" w:hAnsi="Times New Roman"/>
          <w:color w:val="000000"/>
          <w:sz w:val="20"/>
          <w:szCs w:val="20"/>
        </w:rPr>
        <w:t xml:space="preserve">EUROPEAN LAW INSTITUTE (ELI), </w:t>
      </w:r>
      <w:r>
        <w:rPr>
          <w:rFonts w:eastAsia="Times New Roman" w:cs="Times New Roman" w:ascii="Times New Roman" w:hAnsi="Times New Roman"/>
          <w:i/>
          <w:color w:val="000000"/>
          <w:sz w:val="20"/>
          <w:szCs w:val="20"/>
        </w:rPr>
        <w:t>Response of the European Law Institute (ELI) to the European Commission's Public Consultation on Civil Liability. Adapting Liability Rules to the Digital Age and Artificial Intelligence</w:t>
      </w:r>
      <w:r>
        <w:rPr>
          <w:rFonts w:eastAsia="Times New Roman" w:cs="Times New Roman" w:ascii="Times New Roman" w:hAnsi="Times New Roman"/>
          <w:color w:val="000000"/>
          <w:sz w:val="20"/>
          <w:szCs w:val="20"/>
        </w:rPr>
        <w:t xml:space="preserve"> (Koch, B., Borghetti, J.S., Machnikowski, P., Pichonnaz, P., Rodríguez de las Heras, T., Ballell, T., Twigg-Flesner, C., Wendehorst, C., 2022, en </w:t>
      </w:r>
      <w:r>
        <w:rPr>
          <w:rFonts w:eastAsia="Times New Roman" w:cs="Times New Roman" w:ascii="Times New Roman" w:hAnsi="Times New Roman"/>
          <w:i/>
          <w:color w:val="000000"/>
          <w:sz w:val="20"/>
          <w:szCs w:val="20"/>
        </w:rPr>
        <w:t>https://europeanlawinstitute.eu/fileadmin/user_upload/p_eli/Publications/Public_Consultation _on_Civil_Liability.pdf.</w:t>
      </w:r>
    </w:p>
  </w:footnote>
  <w:footnote w:id="43">
    <w:p>
      <w:pPr>
        <w:pStyle w:val="Normal"/>
        <w:pBdr/>
        <w:spacing w:lineRule="auto" w:line="276" w:before="0" w:after="0"/>
        <w:jc w:val="both"/>
        <w:rPr>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ATIENZA NAVARRO, María Luisa., “¿Una nueva responsabilidad por productos defectuosos?</w:t>
      </w:r>
      <w:r>
        <w:rPr>
          <w:rFonts w:eastAsia="Times New Roman" w:cs="Times New Roman" w:ascii="Times New Roman" w:hAnsi="Times New Roman"/>
          <w:i/>
          <w:color w:val="000000"/>
          <w:sz w:val="20"/>
          <w:szCs w:val="20"/>
          <w:lang w:val="es-ES"/>
        </w:rPr>
        <w:t xml:space="preserve">..., op.cit., </w:t>
      </w:r>
      <w:r>
        <w:rPr>
          <w:rFonts w:eastAsia="Times New Roman" w:cs="Times New Roman" w:ascii="Times New Roman" w:hAnsi="Times New Roman"/>
          <w:color w:val="000000"/>
          <w:sz w:val="20"/>
          <w:szCs w:val="20"/>
          <w:lang w:val="es-ES"/>
        </w:rPr>
        <w:t>p. 42.</w:t>
      </w:r>
      <w:r>
        <w:rPr>
          <w:color w:val="000000"/>
          <w:sz w:val="20"/>
          <w:szCs w:val="20"/>
          <w:lang w:val="es-ES"/>
        </w:rPr>
        <w:t xml:space="preserve"> </w:t>
      </w:r>
    </w:p>
  </w:footnote>
  <w:footnote w:id="44">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Nótese que el art. 11.1.c) DRP no alude a las circunstancias existentes, como hacía el art. 7.b) Directiva 85/374/CEE. No obstante, a mi juicio las circunstancias existentes en el momento de la comercialización del producto siguen siendo relevantes para valorar la procedibilidad de la causa de exoneración aquí estudiada. </w:t>
      </w:r>
    </w:p>
  </w:footnote>
  <w:footnote w:id="4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Las vulnerabilidades no conocidas podrían ser aquellas que afectan el producto, pero que aún no han sido detectadas por los operadores económicos en el momento de la introducción en el mercado del producto, habida cuenta de las pruebas realizadas durante la fase de prueba (art. 33.2 RCR), o bien aquellas vulnerabilidades que afectan a los productos después de operar alguna modificación, por ejemplo, a través de una actualización del software, o que se materializan después de que el producto haya sido atacado.</w:t>
      </w:r>
    </w:p>
  </w:footnote>
  <w:footnote w:id="46">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RAMOS GONZÁLEZ, Sonia., RUBÍ PUIG, Antoni “Causas de exoneración de responsabilidad”, en SALVADOR CODERCH, Pablo., GÓMEZ POMAR, Fernando (dirs.), </w:t>
      </w:r>
      <w:r>
        <w:rPr>
          <w:rFonts w:cs="Times New Roman" w:ascii="Times New Roman" w:hAnsi="Times New Roman"/>
          <w:i/>
          <w:lang w:val="es-ES"/>
        </w:rPr>
        <w:t>Tratado de responsabilidad civil del fabricante</w:t>
      </w:r>
      <w:r>
        <w:rPr>
          <w:rFonts w:cs="Times New Roman" w:ascii="Times New Roman" w:hAnsi="Times New Roman"/>
          <w:lang w:val="es-ES"/>
        </w:rPr>
        <w:t xml:space="preserve">, Aranzadi, Pamplona, 2008, p. 533-536. </w:t>
      </w:r>
      <w:r>
        <w:rPr>
          <w:rFonts w:cs="Times New Roman" w:ascii="Times New Roman" w:hAnsi="Times New Roman"/>
          <w:lang w:val="en-US"/>
        </w:rPr>
        <w:t xml:space="preserve">FAIRGRIEVE, Duncan., HOWELLS, Geraint., et. ali., “Product Liability Directive” en MACHNIKOWSKI, Piotr (ed.), </w:t>
      </w:r>
      <w:hyperlink r:id="rId4">
        <w:r>
          <w:rPr>
            <w:rStyle w:val="Hyperlink"/>
            <w:rFonts w:cs="Times New Roman" w:ascii="Times New Roman" w:hAnsi="Times New Roman"/>
            <w:i/>
            <w:iCs/>
            <w:color w:val="auto"/>
            <w:u w:val="none"/>
            <w:lang w:val="en-US"/>
          </w:rPr>
          <w:t>European product liability (European Group on Tort Law) European product liability: an analysis of the state of the art in the era of new technologies</w:t>
        </w:r>
      </w:hyperlink>
      <w:r>
        <w:rPr>
          <w:rFonts w:cs="Times New Roman" w:ascii="Times New Roman" w:hAnsi="Times New Roman"/>
          <w:lang w:val="en-US"/>
        </w:rPr>
        <w:t xml:space="preserve">, Intersentia, Cambridge, 2016, p. 76. </w:t>
      </w:r>
      <w:r>
        <w:rPr>
          <w:rFonts w:cs="Times New Roman" w:ascii="Times New Roman" w:hAnsi="Times New Roman"/>
          <w:lang w:val="es-ES"/>
        </w:rPr>
        <w:t>Como bien indican estos autores, el alcance de esta causa de exoneración de responsabilidad es una presunción de inexistencia del defecto cuando el producto se introdujo en el mercado.</w:t>
      </w:r>
    </w:p>
  </w:footnote>
  <w:footnote w:id="47">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BORGHETTI, Jean-Sébastien., “Taking EU Product Liability Law seriously: How can the Product Liability Directive effectively contribute to consumer protection?”, </w:t>
      </w:r>
      <w:r>
        <w:rPr>
          <w:rFonts w:eastAsia="Times New Roman" w:cs="Times New Roman" w:ascii="Times New Roman" w:hAnsi="Times New Roman"/>
          <w:i/>
          <w:color w:val="000000"/>
          <w:sz w:val="20"/>
          <w:szCs w:val="20"/>
        </w:rPr>
        <w:t>French Journal of Legal Policy</w:t>
      </w:r>
      <w:r>
        <w:rPr>
          <w:rFonts w:eastAsia="Times New Roman" w:cs="Times New Roman" w:ascii="Times New Roman" w:hAnsi="Times New Roman"/>
          <w:color w:val="000000"/>
          <w:sz w:val="20"/>
          <w:szCs w:val="20"/>
        </w:rPr>
        <w:t xml:space="preserve">, nº 1, 2023. p. 38-39. </w:t>
      </w:r>
      <w:r>
        <w:rPr>
          <w:rFonts w:eastAsia="Times New Roman" w:cs="Times New Roman" w:ascii="Times New Roman" w:hAnsi="Times New Roman"/>
          <w:i/>
          <w:color w:val="000000"/>
          <w:sz w:val="20"/>
          <w:szCs w:val="20"/>
        </w:rPr>
        <w:t>“As a result, even if the defect could not be discovered when the product was put into circulation, the producer may still be liable based on fault if it failed to adequately monitor the product between that moment and the moment when the product was used or consumed by the victim.”</w:t>
      </w:r>
    </w:p>
  </w:footnote>
  <w:footnote w:id="48">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GÓMEZ LIGÜERRE, Carlos., GARCIA MICÓ, Tomás Gabriel., “Liability for artificial intelligence and</w:t>
      </w:r>
    </w:p>
    <w:p>
      <w:pPr>
        <w:pStyle w:val="Normal"/>
        <w:pBdr/>
        <w:spacing w:lineRule="auto" w:line="276" w:before="0" w:after="0"/>
        <w:jc w:val="both"/>
        <w:rPr>
          <w:rFonts w:ascii="Times New Roman" w:hAnsi="Times New Roman" w:eastAsia="Times New Roman" w:cs="Times New Roman"/>
          <w:color w:val="000000"/>
          <w:sz w:val="20"/>
          <w:szCs w:val="20"/>
          <w:lang w:val="es-ES"/>
        </w:rPr>
      </w:pPr>
      <w:r>
        <w:rPr>
          <w:rFonts w:eastAsia="Times New Roman" w:cs="Times New Roman" w:ascii="Times New Roman" w:hAnsi="Times New Roman"/>
          <w:color w:val="000000"/>
          <w:sz w:val="20"/>
          <w:szCs w:val="20"/>
          <w:lang w:val="es-ES"/>
        </w:rPr>
        <w:t xml:space="preserve">other emerging technologies”,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1, 2020, p. 509. NAVAS NAVARRO, Susana., </w:t>
      </w:r>
      <w:r>
        <w:rPr>
          <w:rFonts w:eastAsia="Times New Roman" w:cs="Times New Roman" w:ascii="Times New Roman" w:hAnsi="Times New Roman"/>
          <w:i/>
          <w:iCs/>
          <w:color w:val="000000"/>
          <w:sz w:val="20"/>
          <w:szCs w:val="20"/>
          <w:lang w:val="es-ES"/>
        </w:rPr>
        <w:t xml:space="preserve">Daños ocasionados por sistemas de inteligencia artificial. Especial atención a su futura regulación, </w:t>
      </w:r>
      <w:r>
        <w:rPr>
          <w:rFonts w:eastAsia="Times New Roman" w:cs="Times New Roman" w:ascii="Times New Roman" w:hAnsi="Times New Roman"/>
          <w:color w:val="000000"/>
          <w:sz w:val="20"/>
          <w:szCs w:val="20"/>
          <w:lang w:val="es-ES"/>
        </w:rPr>
        <w:t>Comares, Granada, 2022, p. 100. De forma mayoritaria la doctrina se ha posicionado en contra de admitir la exoneración por los riesgos de desarrollo en daños causados por inteligencia artificial. No obstante, en mi opinión la admisibilidad de dicha causa de exoneración en materia de ciberseguridad obliga a una reflexión entre las vulnerabilidades conocidas y no conocidas cuando el producto se introduce en el mercado.</w:t>
      </w:r>
    </w:p>
  </w:footnote>
  <w:footnote w:id="4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BYRNE, Richard E., “Strict Liability and the Scientifically Unknowable Risk”, en </w:t>
      </w:r>
      <w:r>
        <w:rPr>
          <w:rFonts w:eastAsia="Times New Roman" w:cs="Times New Roman" w:ascii="Times New Roman" w:hAnsi="Times New Roman"/>
          <w:i/>
          <w:color w:val="000000"/>
          <w:sz w:val="20"/>
          <w:szCs w:val="20"/>
        </w:rPr>
        <w:t xml:space="preserve">Marquette Law Review, </w:t>
      </w:r>
      <w:r>
        <w:rPr>
          <w:rFonts w:eastAsia="Times New Roman" w:cs="Times New Roman" w:ascii="Times New Roman" w:hAnsi="Times New Roman"/>
          <w:color w:val="000000"/>
          <w:sz w:val="20"/>
          <w:szCs w:val="20"/>
        </w:rPr>
        <w:t xml:space="preserve">núm. 4, 1974, p. 660-675. FAURE, Michael., VISSCHER, Louis., WEBER, Franziska., “Liability for Unknown Risks – A Law and Economics Perspective”, en </w:t>
      </w:r>
      <w:r>
        <w:rPr>
          <w:rFonts w:eastAsia="Times New Roman" w:cs="Times New Roman" w:ascii="Times New Roman" w:hAnsi="Times New Roman"/>
          <w:i/>
          <w:color w:val="000000"/>
          <w:sz w:val="20"/>
          <w:szCs w:val="20"/>
        </w:rPr>
        <w:t xml:space="preserve">European Journal of Tort Law, </w:t>
      </w:r>
      <w:r>
        <w:rPr>
          <w:rFonts w:eastAsia="Times New Roman" w:cs="Times New Roman" w:ascii="Times New Roman" w:hAnsi="Times New Roman"/>
          <w:color w:val="000000"/>
          <w:sz w:val="20"/>
          <w:szCs w:val="20"/>
        </w:rPr>
        <w:t xml:space="preserve">núm. 2, 2016, p. 209-211. </w:t>
      </w:r>
    </w:p>
  </w:footnote>
  <w:footnote w:id="50">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Los riesgos por desarrollo constituyen una causa de exoneración de responsabilidad arraigada en el Derecho europeo de daños, estudiada profusamente por la doctrina más autorizada. SALVADOR CODERCH, Pablo., RUBÍ PUIG, Antonio., “Causas de exoneración de la responsabilidad. Excepción por riesgos de desarrollo”, </w:t>
      </w:r>
      <w:bookmarkStart w:id="4" w:name="_Hlk200490285_Copy_1"/>
      <w:r>
        <w:rPr>
          <w:rFonts w:eastAsia="Times New Roman" w:cs="Times New Roman" w:ascii="Times New Roman" w:hAnsi="Times New Roman"/>
          <w:color w:val="000000"/>
          <w:sz w:val="20"/>
          <w:szCs w:val="20"/>
          <w:lang w:val="es-ES"/>
        </w:rPr>
        <w:t xml:space="preserve">en SALVADOR CODERCH, Pablo., GÓMEZ POMAR, Fernando (dirs.), </w:t>
      </w:r>
      <w:r>
        <w:rPr>
          <w:rFonts w:eastAsia="Times New Roman" w:cs="Times New Roman" w:ascii="Times New Roman" w:hAnsi="Times New Roman"/>
          <w:i/>
          <w:color w:val="000000"/>
          <w:sz w:val="20"/>
          <w:szCs w:val="20"/>
          <w:lang w:val="es-ES"/>
        </w:rPr>
        <w:t>Tratado de responsabilidad civil del fabricante</w:t>
      </w:r>
      <w:r>
        <w:rPr>
          <w:rFonts w:eastAsia="Times New Roman" w:cs="Times New Roman" w:ascii="Times New Roman" w:hAnsi="Times New Roman"/>
          <w:color w:val="000000"/>
          <w:sz w:val="20"/>
          <w:szCs w:val="20"/>
          <w:lang w:val="es-ES"/>
        </w:rPr>
        <w:t xml:space="preserve">, Aranzadi, Pamplona, 2008, p. 585-646. </w:t>
      </w:r>
      <w:bookmarkEnd w:id="4"/>
      <w:r>
        <w:rPr>
          <w:rFonts w:eastAsia="Times New Roman" w:cs="Times New Roman" w:ascii="Times New Roman" w:hAnsi="Times New Roman"/>
          <w:color w:val="000000"/>
          <w:sz w:val="20"/>
          <w:szCs w:val="20"/>
          <w:lang w:val="es-ES"/>
        </w:rPr>
        <w:t xml:space="preserve">SALVADOR CODERCH, Pablo., SOLÉ FELIÚ, Josep, </w:t>
      </w:r>
      <w:r>
        <w:rPr>
          <w:rFonts w:eastAsia="Times New Roman" w:cs="Times New Roman" w:ascii="Times New Roman" w:hAnsi="Times New Roman"/>
          <w:i/>
          <w:color w:val="000000"/>
          <w:sz w:val="20"/>
          <w:szCs w:val="20"/>
          <w:lang w:val="es-ES"/>
        </w:rPr>
        <w:t xml:space="preserve">Brujos y aprendices: los riesgos de desarrollo en la responsabilidad de producto, </w:t>
      </w:r>
      <w:r>
        <w:rPr>
          <w:rFonts w:eastAsia="Times New Roman" w:cs="Times New Roman" w:ascii="Times New Roman" w:hAnsi="Times New Roman"/>
          <w:color w:val="000000"/>
          <w:sz w:val="20"/>
          <w:szCs w:val="20"/>
          <w:lang w:val="es-ES"/>
        </w:rPr>
        <w:t>Marcial Pons, Madrid, 1999.</w:t>
      </w:r>
    </w:p>
  </w:footnote>
  <w:footnote w:id="51">
    <w:p>
      <w:pPr>
        <w:pStyle w:val="Normal"/>
        <w:pBdr/>
        <w:spacing w:lineRule="auto" w:line="276" w:before="0" w:after="0"/>
        <w:jc w:val="both"/>
        <w:rPr>
          <w:rFonts w:ascii="Times New Roman" w:hAnsi="Times New Roman" w:eastAsia="Times New Roman" w:cs="Times New Roman"/>
          <w:iCs/>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La referencia fue introducida como consecuencia de la STJCE de 29 de mayo de 1977, con motivo de la transposición de la Directiva 85/374/CEE al Derecho inglés, que objetivizó los riesgos por desarrollo, prescindiendo del elemento de culpa del fabricante, circunstancia que también aparece en el considerando núm. 52 DRP: “</w:t>
      </w:r>
      <w:r>
        <w:rPr>
          <w:rFonts w:eastAsia="Times New Roman" w:cs="Times New Roman" w:ascii="Times New Roman" w:hAnsi="Times New Roman"/>
          <w:i/>
          <w:color w:val="000000"/>
          <w:sz w:val="20"/>
          <w:szCs w:val="20"/>
          <w:lang w:val="es-ES"/>
        </w:rPr>
        <w:t xml:space="preserve">y no al conocimiento efectivo del operador económico en cuestión”. </w:t>
      </w:r>
      <w:r>
        <w:rPr>
          <w:rFonts w:eastAsia="Times New Roman" w:cs="Times New Roman" w:ascii="Times New Roman" w:hAnsi="Times New Roman"/>
          <w:iCs/>
          <w:color w:val="000000"/>
          <w:sz w:val="20"/>
          <w:szCs w:val="20"/>
          <w:lang w:val="en-US"/>
        </w:rPr>
        <w:t xml:space="preserve">FAIRGRIEVE, Duncan., GOLDBERG, Richard., </w:t>
      </w:r>
      <w:r>
        <w:rPr>
          <w:rFonts w:eastAsia="Times New Roman" w:cs="Times New Roman" w:ascii="Times New Roman" w:hAnsi="Times New Roman"/>
          <w:i/>
          <w:color w:val="000000"/>
          <w:sz w:val="20"/>
          <w:szCs w:val="20"/>
          <w:lang w:val="en-US"/>
        </w:rPr>
        <w:t xml:space="preserve">Product Liability, </w:t>
      </w:r>
      <w:r>
        <w:rPr>
          <w:rFonts w:eastAsia="Times New Roman" w:cs="Times New Roman" w:ascii="Times New Roman" w:hAnsi="Times New Roman"/>
          <w:iCs/>
          <w:color w:val="000000"/>
          <w:sz w:val="20"/>
          <w:szCs w:val="20"/>
          <w:lang w:val="en-US"/>
        </w:rPr>
        <w:t xml:space="preserve">3ª ed., Oxford University Press, p. 508. </w:t>
      </w:r>
      <w:r>
        <w:rPr>
          <w:rFonts w:eastAsia="Times New Roman" w:cs="Times New Roman" w:ascii="Times New Roman" w:hAnsi="Times New Roman"/>
          <w:iCs/>
          <w:color w:val="000000"/>
          <w:sz w:val="20"/>
          <w:szCs w:val="20"/>
          <w:lang w:val="es-ES"/>
        </w:rPr>
        <w:t xml:space="preserve">La referencia al nivel más avanzado de conocimiento accesible suscita la duda de si comprende meras hipótesis no constatadas científicamente. Estos autores abogan por un conocimiento basado en el método científico. </w:t>
      </w:r>
    </w:p>
  </w:footnote>
  <w:footnote w:id="5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En este sentido, NIKOLINAKOS, Nikos Th., </w:t>
      </w:r>
      <w:r>
        <w:rPr>
          <w:rFonts w:eastAsia="Times New Roman" w:cs="Times New Roman" w:ascii="Times New Roman" w:hAnsi="Times New Roman"/>
          <w:i/>
          <w:color w:val="000000"/>
          <w:sz w:val="20"/>
          <w:szCs w:val="20"/>
        </w:rPr>
        <w:t xml:space="preserve">Adapting the EU Civil Liability Regime to the Digital Age: Artifcial Intelligence, Robotics, and Other Emerging Technologies, </w:t>
      </w:r>
      <w:r>
        <w:rPr>
          <w:rFonts w:eastAsia="Times New Roman" w:cs="Times New Roman" w:ascii="Times New Roman" w:hAnsi="Times New Roman"/>
          <w:color w:val="000000"/>
          <w:sz w:val="20"/>
          <w:szCs w:val="20"/>
        </w:rPr>
        <w:t>Springer, 2024, p. 114.</w:t>
      </w:r>
      <w:r>
        <w:rPr>
          <w:rFonts w:eastAsia="Times New Roman" w:cs="Times New Roman" w:ascii="Times New Roman" w:hAnsi="Times New Roman"/>
          <w:i/>
          <w:color w:val="000000"/>
          <w:sz w:val="20"/>
          <w:szCs w:val="20"/>
        </w:rPr>
        <w:t xml:space="preserve">“It is reminded that the Product Liability Directive exempts the producer from liabilities if he can prove that the defect did not exist when the product was put into circulation or that the state of technical knowledge at the time of putting the product on the market made it impossible to discover the defect. This exemption could be triggered by the manufacturer in a cyber-attack context in order to demonstrate that, at the time of putting the product into circulation, no software vulnerability was discovered.” </w:t>
      </w:r>
      <w:r>
        <w:rPr>
          <w:rFonts w:eastAsia="Times New Roman" w:cs="Times New Roman" w:ascii="Times New Roman" w:hAnsi="Times New Roman"/>
          <w:color w:val="000000"/>
          <w:sz w:val="20"/>
          <w:szCs w:val="20"/>
          <w:lang w:val="es-ES"/>
        </w:rPr>
        <w:t xml:space="preserve">GÓMEZ LIGÜERRE, Carlos., “La Propuesta de Directiva sobre responsabilidad por daños causados por productos defectuosos”,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4, 2002, p. 6. </w:t>
      </w:r>
    </w:p>
  </w:footnote>
  <w:footnote w:id="5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El legislador europeo ha querido proteger la innovación que llevan a cabo las pequeñas empresas, previendo en el art. 12.2 DRP que las microempresas que fabriquen componentes consistentes en programas informáticos defectuosos no responderán en ejercicio del derecho de repetición. </w:t>
      </w:r>
    </w:p>
  </w:footnote>
  <w:footnote w:id="54">
    <w:p>
      <w:pPr>
        <w:pStyle w:val="FootnoteText"/>
        <w:spacing w:lineRule="auto" w:line="276"/>
        <w:jc w:val="both"/>
        <w:rPr>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GÓMEZ LIGÜERRE, Carlos., “Intervención de tercero”, en SALVADOR CODERCH, Pablo., GÓMEZ POMAR, Fernando (dirs.), </w:t>
      </w:r>
      <w:r>
        <w:rPr>
          <w:rFonts w:cs="Times New Roman" w:ascii="Times New Roman" w:hAnsi="Times New Roman"/>
          <w:i/>
          <w:lang w:val="es-ES"/>
        </w:rPr>
        <w:t>Tratado de responsabilidad civil del fabricante</w:t>
      </w:r>
      <w:r>
        <w:rPr>
          <w:rFonts w:cs="Times New Roman" w:ascii="Times New Roman" w:hAnsi="Times New Roman"/>
          <w:lang w:val="es-ES"/>
        </w:rPr>
        <w:t>, Aranzadi, Pamplona, 2008, p. 297-299, 314. La concurrencia de un tercero malintencionado, juntamente con el defecto del producto, significa la actuación de un tercero ajeno al círculo del fabricante. La hipótesis que apunta del considerando núm. 55 DRP, en referencia a las vulnerabilidades, no se trataría propiamente de una intervención “conjunta” sobre la que se asienta el precepto, pues el producto puede ser introducido en el mercado sin vulnerabilidades conocidas que posteriormente son explotadas, lo que constituye, propiamente, una actuación sucesiva.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360"/>
      </w:pPr>
      <w:rPr/>
    </w:lvl>
    <w:lvl w:ilvl="2">
      <w:start w:val="1"/>
      <w:numFmt w:val="decimal"/>
      <w:lvlText w:val="%1.%2.%3."/>
      <w:lvlJc w:val="left"/>
      <w:pPr>
        <w:tabs>
          <w:tab w:val="num" w:pos="0"/>
        </w:tabs>
        <w:ind w:left="1800" w:hanging="720"/>
      </w:pPr>
      <w:rPr/>
    </w:lvl>
    <w:lvl w:ilvl="3">
      <w:start w:val="1"/>
      <w:numFmt w:val="decimal"/>
      <w:lvlText w:val="%1.%2.%3.%4."/>
      <w:lvlJc w:val="left"/>
      <w:pPr>
        <w:tabs>
          <w:tab w:val="num" w:pos="0"/>
        </w:tabs>
        <w:ind w:left="2160" w:hanging="720"/>
      </w:pPr>
      <w:rPr/>
    </w:lvl>
    <w:lvl w:ilvl="4">
      <w:start w:val="1"/>
      <w:numFmt w:val="decimal"/>
      <w:lvlText w:val="%1.%2.%3.%4.%5."/>
      <w:lvlJc w:val="left"/>
      <w:pPr>
        <w:tabs>
          <w:tab w:val="num" w:pos="0"/>
        </w:tabs>
        <w:ind w:left="2880" w:hanging="1080"/>
      </w:pPr>
      <w:rPr/>
    </w:lvl>
    <w:lvl w:ilvl="5">
      <w:start w:val="1"/>
      <w:numFmt w:val="decimal"/>
      <w:lvlText w:val="%1.%2.%3.%4.%5.%6."/>
      <w:lvlJc w:val="left"/>
      <w:pPr>
        <w:tabs>
          <w:tab w:val="num" w:pos="0"/>
        </w:tabs>
        <w:ind w:left="3240" w:hanging="1080"/>
      </w:pPr>
      <w:rPr/>
    </w:lvl>
    <w:lvl w:ilvl="6">
      <w:start w:val="1"/>
      <w:numFmt w:val="decimal"/>
      <w:lvlText w:val="%1.%2.%3.%4.%5.%6.%7."/>
      <w:lvlJc w:val="left"/>
      <w:pPr>
        <w:tabs>
          <w:tab w:val="num" w:pos="0"/>
        </w:tabs>
        <w:ind w:left="3960" w:hanging="1440"/>
      </w:pPr>
      <w:rPr/>
    </w:lvl>
    <w:lvl w:ilvl="7">
      <w:start w:val="1"/>
      <w:numFmt w:val="decimal"/>
      <w:lvlText w:val="%1.%2.%3.%4.%5.%6.%7.%8."/>
      <w:lvlJc w:val="left"/>
      <w:pPr>
        <w:tabs>
          <w:tab w:val="num" w:pos="0"/>
        </w:tabs>
        <w:ind w:left="4320" w:hanging="1440"/>
      </w:pPr>
      <w:rPr/>
    </w:lvl>
    <w:lvl w:ilvl="8">
      <w:start w:val="1"/>
      <w:numFmt w:val="decimal"/>
      <w:lvlText w:val="%1.%2.%3.%4.%5.%6.%7.%8.%9."/>
      <w:lvlJc w:val="left"/>
      <w:pPr>
        <w:tabs>
          <w:tab w:val="num" w:pos="0"/>
        </w:tabs>
        <w:ind w:left="5040" w:hanging="1800"/>
      </w:pPr>
      <w:rPr/>
    </w:lvl>
  </w:abstractNum>
  <w:abstractNum w:abstractNumId="2">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4">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5">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2"/>
      <w:numFmt w:val="decimal"/>
      <w:lvlText w:val="%1."/>
      <w:lvlJc w:val="left"/>
      <w:pPr>
        <w:tabs>
          <w:tab w:val="num" w:pos="0"/>
        </w:tabs>
        <w:ind w:left="510" w:hanging="510"/>
      </w:pPr>
      <w:rPr/>
    </w:lvl>
    <w:lvl w:ilvl="1">
      <w:start w:val="1"/>
      <w:numFmt w:val="decimal"/>
      <w:lvlText w:val="%1.%2."/>
      <w:lvlJc w:val="left"/>
      <w:pPr>
        <w:tabs>
          <w:tab w:val="num" w:pos="0"/>
        </w:tabs>
        <w:ind w:left="510" w:hanging="51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8">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9">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10">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lvl w:ilvl="0">
      <w:start w:val="1"/>
      <w:numFmt w:val="upperLetter"/>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GB" w:eastAsia="es-ES" w:bidi="ar-SA"/>
    </w:rPr>
  </w:style>
  <w:style w:type="paragraph" w:styleId="Heading1">
    <w:name w:val="heading 1"/>
    <w:basedOn w:val="Normal"/>
    <w:next w:val="Normal"/>
    <w:link w:val="Ttol1Car"/>
    <w:uiPriority w:val="9"/>
    <w:qFormat/>
    <w:rsid w:val="00dc3df4"/>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ol2Car"/>
    <w:uiPriority w:val="9"/>
    <w:semiHidden/>
    <w:unhideWhenUsed/>
    <w:qFormat/>
    <w:rsid w:val="00dc3df4"/>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ol3Car"/>
    <w:uiPriority w:val="9"/>
    <w:semiHidden/>
    <w:unhideWhenUsed/>
    <w:qFormat/>
    <w:rsid w:val="00dc3df4"/>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ol4Car"/>
    <w:uiPriority w:val="9"/>
    <w:semiHidden/>
    <w:unhideWhenUsed/>
    <w:qFormat/>
    <w:rsid w:val="00dc3df4"/>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ol5Car"/>
    <w:uiPriority w:val="9"/>
    <w:semiHidden/>
    <w:unhideWhenUsed/>
    <w:qFormat/>
    <w:rsid w:val="00dc3df4"/>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ol6Car"/>
    <w:uiPriority w:val="9"/>
    <w:semiHidden/>
    <w:unhideWhenUsed/>
    <w:qFormat/>
    <w:rsid w:val="00dc3df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ol7Car"/>
    <w:uiPriority w:val="9"/>
    <w:semiHidden/>
    <w:unhideWhenUsed/>
    <w:qFormat/>
    <w:rsid w:val="00dc3df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ol8Car"/>
    <w:uiPriority w:val="9"/>
    <w:semiHidden/>
    <w:unhideWhenUsed/>
    <w:qFormat/>
    <w:rsid w:val="00dc3df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ol9Car"/>
    <w:uiPriority w:val="9"/>
    <w:semiHidden/>
    <w:unhideWhenUsed/>
    <w:qFormat/>
    <w:rsid w:val="00dc3df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ol1Car" w:customStyle="1">
    <w:name w:val="Títol 1 Car"/>
    <w:basedOn w:val="DefaultParagraphFont"/>
    <w:link w:val="Heading1"/>
    <w:uiPriority w:val="9"/>
    <w:qFormat/>
    <w:rsid w:val="00dc3df4"/>
    <w:rPr>
      <w:rFonts w:ascii="Calibri Light" w:hAnsi="Calibri Light" w:eastAsia="" w:cs="" w:asciiTheme="majorHAnsi" w:cstheme="majorBidi" w:eastAsiaTheme="majorEastAsia" w:hAnsiTheme="majorHAnsi"/>
      <w:color w:themeColor="accent1" w:themeShade="bf" w:val="2F5496"/>
      <w:sz w:val="40"/>
      <w:szCs w:val="40"/>
    </w:rPr>
  </w:style>
  <w:style w:type="character" w:styleId="Ttol2Car" w:customStyle="1">
    <w:name w:val="Títol 2 Car"/>
    <w:basedOn w:val="DefaultParagraphFont"/>
    <w:link w:val="Heading2"/>
    <w:uiPriority w:val="9"/>
    <w:semiHidden/>
    <w:qFormat/>
    <w:rsid w:val="00dc3df4"/>
    <w:rPr>
      <w:rFonts w:ascii="Calibri Light" w:hAnsi="Calibri Light" w:eastAsia="" w:cs="" w:asciiTheme="majorHAnsi" w:cstheme="majorBidi" w:eastAsiaTheme="majorEastAsia" w:hAnsiTheme="majorHAnsi"/>
      <w:color w:themeColor="accent1" w:themeShade="bf" w:val="2F5496"/>
      <w:sz w:val="32"/>
      <w:szCs w:val="32"/>
    </w:rPr>
  </w:style>
  <w:style w:type="character" w:styleId="Ttol3Car" w:customStyle="1">
    <w:name w:val="Títol 3 Car"/>
    <w:basedOn w:val="DefaultParagraphFont"/>
    <w:link w:val="Heading3"/>
    <w:uiPriority w:val="9"/>
    <w:semiHidden/>
    <w:qFormat/>
    <w:rsid w:val="00dc3df4"/>
    <w:rPr>
      <w:rFonts w:eastAsia="" w:cs="" w:cstheme="majorBidi" w:eastAsiaTheme="majorEastAsia"/>
      <w:color w:themeColor="accent1" w:themeShade="bf" w:val="2F5496"/>
      <w:sz w:val="28"/>
      <w:szCs w:val="28"/>
    </w:rPr>
  </w:style>
  <w:style w:type="character" w:styleId="Ttol4Car" w:customStyle="1">
    <w:name w:val="Títol 4 Car"/>
    <w:basedOn w:val="DefaultParagraphFont"/>
    <w:link w:val="Heading4"/>
    <w:uiPriority w:val="9"/>
    <w:semiHidden/>
    <w:qFormat/>
    <w:rsid w:val="00dc3df4"/>
    <w:rPr>
      <w:rFonts w:eastAsia="" w:cs="" w:cstheme="majorBidi" w:eastAsiaTheme="majorEastAsia"/>
      <w:i/>
      <w:iCs/>
      <w:color w:themeColor="accent1" w:themeShade="bf" w:val="2F5496"/>
    </w:rPr>
  </w:style>
  <w:style w:type="character" w:styleId="Ttol5Car" w:customStyle="1">
    <w:name w:val="Títol 5 Car"/>
    <w:basedOn w:val="DefaultParagraphFont"/>
    <w:link w:val="Heading5"/>
    <w:uiPriority w:val="9"/>
    <w:semiHidden/>
    <w:qFormat/>
    <w:rsid w:val="00dc3df4"/>
    <w:rPr>
      <w:rFonts w:eastAsia="" w:cs="" w:cstheme="majorBidi" w:eastAsiaTheme="majorEastAsia"/>
      <w:color w:themeColor="accent1" w:themeShade="bf" w:val="2F5496"/>
    </w:rPr>
  </w:style>
  <w:style w:type="character" w:styleId="Ttol6Car" w:customStyle="1">
    <w:name w:val="Títol 6 Car"/>
    <w:basedOn w:val="DefaultParagraphFont"/>
    <w:link w:val="Heading6"/>
    <w:uiPriority w:val="9"/>
    <w:semiHidden/>
    <w:qFormat/>
    <w:rsid w:val="00dc3df4"/>
    <w:rPr>
      <w:rFonts w:eastAsia="" w:cs="" w:cstheme="majorBidi" w:eastAsiaTheme="majorEastAsia"/>
      <w:i/>
      <w:iCs/>
      <w:color w:themeColor="text1" w:themeTint="a6" w:val="595959"/>
    </w:rPr>
  </w:style>
  <w:style w:type="character" w:styleId="Ttol7Car" w:customStyle="1">
    <w:name w:val="Títol 7 Car"/>
    <w:basedOn w:val="DefaultParagraphFont"/>
    <w:link w:val="Heading7"/>
    <w:uiPriority w:val="9"/>
    <w:semiHidden/>
    <w:qFormat/>
    <w:rsid w:val="00dc3df4"/>
    <w:rPr>
      <w:rFonts w:eastAsia="" w:cs="" w:cstheme="majorBidi" w:eastAsiaTheme="majorEastAsia"/>
      <w:color w:themeColor="text1" w:themeTint="a6" w:val="595959"/>
    </w:rPr>
  </w:style>
  <w:style w:type="character" w:styleId="Ttol8Car" w:customStyle="1">
    <w:name w:val="Títol 8 Car"/>
    <w:basedOn w:val="DefaultParagraphFont"/>
    <w:link w:val="Heading8"/>
    <w:uiPriority w:val="9"/>
    <w:semiHidden/>
    <w:qFormat/>
    <w:rsid w:val="00dc3df4"/>
    <w:rPr>
      <w:rFonts w:eastAsia="" w:cs="" w:cstheme="majorBidi" w:eastAsiaTheme="majorEastAsia"/>
      <w:i/>
      <w:iCs/>
      <w:color w:themeColor="text1" w:themeTint="d8" w:val="272727"/>
    </w:rPr>
  </w:style>
  <w:style w:type="character" w:styleId="Ttol9Car" w:customStyle="1">
    <w:name w:val="Títol 9 Car"/>
    <w:basedOn w:val="DefaultParagraphFont"/>
    <w:link w:val="Heading9"/>
    <w:uiPriority w:val="9"/>
    <w:semiHidden/>
    <w:qFormat/>
    <w:rsid w:val="00dc3df4"/>
    <w:rPr>
      <w:rFonts w:eastAsia="" w:cs="" w:cstheme="majorBidi" w:eastAsiaTheme="majorEastAsia"/>
      <w:color w:themeColor="text1" w:themeTint="d8" w:val="272727"/>
    </w:rPr>
  </w:style>
  <w:style w:type="character" w:styleId="TtolCar" w:customStyle="1">
    <w:name w:val="Títol Car"/>
    <w:basedOn w:val="DefaultParagraphFont"/>
    <w:link w:val="Title"/>
    <w:uiPriority w:val="10"/>
    <w:qFormat/>
    <w:rsid w:val="00dc3df4"/>
    <w:rPr>
      <w:rFonts w:ascii="Calibri Light" w:hAnsi="Calibri Light" w:eastAsia="" w:cs="" w:asciiTheme="majorHAnsi" w:cstheme="majorBidi" w:eastAsiaTheme="majorEastAsia" w:hAnsiTheme="majorHAnsi"/>
      <w:spacing w:val="-10"/>
      <w:kern w:val="2"/>
      <w:sz w:val="56"/>
      <w:szCs w:val="56"/>
    </w:rPr>
  </w:style>
  <w:style w:type="character" w:styleId="SubttolCar" w:customStyle="1">
    <w:name w:val="Subtítol Car"/>
    <w:basedOn w:val="DefaultParagraphFont"/>
    <w:link w:val="Subtitle"/>
    <w:uiPriority w:val="11"/>
    <w:qFormat/>
    <w:rsid w:val="00dc3df4"/>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dc3df4"/>
    <w:rPr>
      <w:i/>
      <w:iCs/>
      <w:color w:themeColor="text1" w:themeTint="bf" w:val="404040"/>
    </w:rPr>
  </w:style>
  <w:style w:type="character" w:styleId="IntenseEmphasis">
    <w:name w:val="Intense Emphasis"/>
    <w:basedOn w:val="DefaultParagraphFont"/>
    <w:uiPriority w:val="21"/>
    <w:qFormat/>
    <w:rsid w:val="00dc3df4"/>
    <w:rPr>
      <w:i/>
      <w:iCs/>
      <w:color w:themeColor="accent1" w:themeShade="bf" w:val="2F5496"/>
    </w:rPr>
  </w:style>
  <w:style w:type="character" w:styleId="CitaintensaCar" w:customStyle="1">
    <w:name w:val="Cita intensa Car"/>
    <w:basedOn w:val="DefaultParagraphFont"/>
    <w:link w:val="IntenseQuote"/>
    <w:uiPriority w:val="30"/>
    <w:qFormat/>
    <w:rsid w:val="00dc3df4"/>
    <w:rPr>
      <w:i/>
      <w:iCs/>
      <w:color w:themeColor="accent1" w:themeShade="bf" w:val="2F5496"/>
    </w:rPr>
  </w:style>
  <w:style w:type="character" w:styleId="IntenseReference">
    <w:name w:val="Intense Reference"/>
    <w:basedOn w:val="DefaultParagraphFont"/>
    <w:uiPriority w:val="32"/>
    <w:qFormat/>
    <w:rsid w:val="00dc3df4"/>
    <w:rPr>
      <w:b/>
      <w:bCs/>
      <w:smallCaps/>
      <w:color w:themeColor="accent1" w:themeShade="bf" w:val="2F5496"/>
      <w:spacing w:val="5"/>
    </w:rPr>
  </w:style>
  <w:style w:type="character" w:styleId="TextdenotaapeudepginaCar" w:customStyle="1">
    <w:name w:val="Text de nota a peu de pàgina Car"/>
    <w:basedOn w:val="DefaultParagraphFont"/>
    <w:link w:val="FootnoteText"/>
    <w:uiPriority w:val="99"/>
    <w:qFormat/>
    <w:rsid w:val="00ca027e"/>
    <w:rPr>
      <w:sz w:val="20"/>
      <w:szCs w:val="20"/>
    </w:rPr>
  </w:style>
  <w:style w:type="character" w:styleId="FootnoteCharacters">
    <w:name w:val="Footnote Characters"/>
    <w:basedOn w:val="DefaultParagraphFont"/>
    <w:uiPriority w:val="99"/>
    <w:semiHidden/>
    <w:unhideWhenUsed/>
    <w:qFormat/>
    <w:rsid w:val="00ca027e"/>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402976"/>
    <w:rPr>
      <w:color w:themeColor="hyperlink" w:val="0563C1"/>
      <w:u w:val="single"/>
    </w:rPr>
  </w:style>
  <w:style w:type="character" w:styleId="UnresolvedMention" w:customStyle="1">
    <w:name w:val="Unresolved Mention"/>
    <w:basedOn w:val="DefaultParagraphFont"/>
    <w:uiPriority w:val="99"/>
    <w:semiHidden/>
    <w:unhideWhenUsed/>
    <w:qFormat/>
    <w:rsid w:val="00402976"/>
    <w:rPr>
      <w:color w:val="605E5C"/>
      <w:shd w:fill="E1DFDD" w:val="clear"/>
    </w:rPr>
  </w:style>
  <w:style w:type="character" w:styleId="CommentReference">
    <w:name w:val="annotation reference"/>
    <w:basedOn w:val="DefaultParagraphFont"/>
    <w:uiPriority w:val="99"/>
    <w:semiHidden/>
    <w:unhideWhenUsed/>
    <w:qFormat/>
    <w:rsid w:val="006838d6"/>
    <w:rPr>
      <w:sz w:val="16"/>
      <w:szCs w:val="16"/>
    </w:rPr>
  </w:style>
  <w:style w:type="character" w:styleId="TextdecomentariCar" w:customStyle="1">
    <w:name w:val="Text de comentari Car"/>
    <w:basedOn w:val="DefaultParagraphFont"/>
    <w:link w:val="CommentText"/>
    <w:uiPriority w:val="99"/>
    <w:qFormat/>
    <w:rsid w:val="006838d6"/>
    <w:rPr>
      <w:sz w:val="20"/>
      <w:szCs w:val="20"/>
      <w:lang w:val="en-GB"/>
    </w:rPr>
  </w:style>
  <w:style w:type="character" w:styleId="TemadelcomentariCar" w:customStyle="1">
    <w:name w:val="Tema del comentari Car"/>
    <w:basedOn w:val="TextdecomentariCar"/>
    <w:link w:val="annotationsubject"/>
    <w:uiPriority w:val="99"/>
    <w:semiHidden/>
    <w:qFormat/>
    <w:rsid w:val="006838d6"/>
    <w:rPr>
      <w:b/>
      <w:bCs/>
      <w:sz w:val="20"/>
      <w:szCs w:val="20"/>
      <w:lang w:val="en-GB"/>
    </w:rPr>
  </w:style>
  <w:style w:type="character" w:styleId="FollowedHyperlink">
    <w:name w:val="FollowedHyperlink"/>
    <w:basedOn w:val="DefaultParagraphFont"/>
    <w:uiPriority w:val="99"/>
    <w:semiHidden/>
    <w:unhideWhenUsed/>
    <w:rsid w:val="00b835f2"/>
    <w:rPr>
      <w:color w:themeColor="followedHyperlink" w:val="954F72"/>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olCar"/>
    <w:uiPriority w:val="10"/>
    <w:qFormat/>
    <w:rsid w:val="00dc3df4"/>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olCar"/>
    <w:uiPriority w:val="11"/>
    <w:qFormat/>
    <w:pPr/>
    <w:rPr>
      <w:color w:val="595959"/>
      <w:sz w:val="28"/>
      <w:szCs w:val="28"/>
    </w:rPr>
  </w:style>
  <w:style w:type="paragraph" w:styleId="Quote">
    <w:name w:val="Quote"/>
    <w:basedOn w:val="Normal"/>
    <w:next w:val="Normal"/>
    <w:link w:val="CitaCar"/>
    <w:uiPriority w:val="29"/>
    <w:qFormat/>
    <w:rsid w:val="00dc3df4"/>
    <w:pPr>
      <w:spacing w:before="160" w:after="160"/>
      <w:jc w:val="center"/>
    </w:pPr>
    <w:rPr>
      <w:i/>
      <w:iCs/>
      <w:color w:themeColor="text1" w:themeTint="bf" w:val="404040"/>
    </w:rPr>
  </w:style>
  <w:style w:type="paragraph" w:styleId="ListParagraph">
    <w:name w:val="List Paragraph"/>
    <w:basedOn w:val="Normal"/>
    <w:uiPriority w:val="34"/>
    <w:qFormat/>
    <w:rsid w:val="00dc3df4"/>
    <w:pPr>
      <w:spacing w:before="0" w:after="160"/>
      <w:ind w:left="720"/>
      <w:contextualSpacing/>
    </w:pPr>
    <w:rPr/>
  </w:style>
  <w:style w:type="paragraph" w:styleId="IntenseQuote">
    <w:name w:val="Intense Quote"/>
    <w:basedOn w:val="Normal"/>
    <w:next w:val="Normal"/>
    <w:link w:val="CitaintensaCar"/>
    <w:uiPriority w:val="30"/>
    <w:qFormat/>
    <w:rsid w:val="00dc3df4"/>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FootnoteText">
    <w:name w:val="footnote text"/>
    <w:basedOn w:val="Normal"/>
    <w:link w:val="TextdenotaapeudepginaCar"/>
    <w:uiPriority w:val="99"/>
    <w:unhideWhenUsed/>
    <w:rsid w:val="00ca027e"/>
    <w:pPr>
      <w:spacing w:lineRule="auto" w:line="240" w:before="0" w:after="0"/>
    </w:pPr>
    <w:rPr>
      <w:sz w:val="20"/>
      <w:szCs w:val="20"/>
    </w:rPr>
  </w:style>
  <w:style w:type="paragraph" w:styleId="cuerpotablacentro" w:customStyle="1">
    <w:name w:val="cuerpo_tabla_centro"/>
    <w:basedOn w:val="Normal"/>
    <w:qFormat/>
    <w:rsid w:val="00541e91"/>
    <w:pPr>
      <w:spacing w:lineRule="auto" w:line="240" w:beforeAutospacing="1" w:afterAutospacing="1"/>
    </w:pPr>
    <w:rPr>
      <w:rFonts w:ascii="Times New Roman" w:hAnsi="Times New Roman" w:eastAsia="Times New Roman" w:cs="Times New Roman"/>
      <w:sz w:val="24"/>
      <w:szCs w:val="24"/>
    </w:rPr>
  </w:style>
  <w:style w:type="paragraph" w:styleId="cuerpotablaizq" w:customStyle="1">
    <w:name w:val="cuerpo_tabla_izq"/>
    <w:basedOn w:val="Normal"/>
    <w:qFormat/>
    <w:rsid w:val="00541e91"/>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60198a"/>
    <w:pPr/>
    <w:rPr>
      <w:rFonts w:ascii="Times New Roman" w:hAnsi="Times New Roman" w:cs="Times New Roman"/>
      <w:sz w:val="24"/>
      <w:szCs w:val="24"/>
    </w:rPr>
  </w:style>
  <w:style w:type="paragraph" w:styleId="CommentText">
    <w:name w:val="annotation text"/>
    <w:basedOn w:val="Normal"/>
    <w:link w:val="TextdecomentariCar"/>
    <w:uiPriority w:val="99"/>
    <w:unhideWhenUsed/>
    <w:rsid w:val="006838d6"/>
    <w:pPr>
      <w:spacing w:lineRule="auto" w:line="240"/>
    </w:pPr>
    <w:rPr>
      <w:sz w:val="20"/>
      <w:szCs w:val="20"/>
    </w:rPr>
  </w:style>
  <w:style w:type="paragraph" w:styleId="annotationsubject">
    <w:name w:val="annotation subject"/>
    <w:basedOn w:val="CommentText"/>
    <w:next w:val="CommentText"/>
    <w:link w:val="TemadelcomentariCar"/>
    <w:uiPriority w:val="99"/>
    <w:semiHidden/>
    <w:unhideWhenUsed/>
    <w:qFormat/>
    <w:rsid w:val="006838d6"/>
    <w:pPr/>
    <w:rPr>
      <w:b/>
      <w:bCs/>
    </w:rPr>
  </w:style>
  <w:style w:type="numbering" w:styleId="NoList" w:default="1">
    <w:name w:val="No List"/>
    <w:uiPriority w:val="99"/>
    <w:semiHidden/>
    <w:unhideWhenUsed/>
    <w:qFormat/>
  </w:style>
  <w:style w:type="table" w:default="1" w:styleId="Tau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uractiv.com/section/tech/news/eu-council-moves-to-adjust-product-lifecycle-reporting-in-new-cybersecurity-law/" TargetMode="External"/><Relationship Id="rId3" Type="http://schemas.openxmlformats.org/officeDocument/2006/relationships/hyperlink" Target="https://digital-strategy.ec.europa.eu/en/news/new-eu-cybersecurity-rules-ensure-more-secure-hardware-and-software-products" TargetMode="External"/><Relationship Id="rId4" Type="http://schemas.openxmlformats.org/officeDocument/2006/relationships/hyperlink" Target="https://europeanlawinstitute.eu/fileadmin/user_upload/p_eli/Publications/Public_Consultation%20_on_Civil_Liability.pdf" TargetMode="External"/><Relationship Id="rId5" Type="http://schemas.openxmlformats.org/officeDocument/2006/relationships/hyperlink" Target="https://csuc-uab.primo.exlibrisgroup.com/discovery/fulldisplay?docid=alma991010752459806709&amp;context=L&amp;vid=34CSUC_UAB:VU1&amp;lang=ca&amp;search_scope=MyInst_and_CI&amp;adaptor=Local%20Search%20Engine&amp;tab=Everything&amp;query=any%2Ccontains%2Cproduct%20liability&amp;offset=0" TargetMode="External"/><Relationship Id="rId6" Type="http://schemas.openxmlformats.org/officeDocument/2006/relationships/hyperlink" Target="https://www.databank.com/resources/blogs/solving-edge-computing-challenges-in-era-of-iot/" TargetMode="Externa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_rels/footnotes.xml.rels><?xml version="1.0" encoding="UTF-8"?>
<Relationships xmlns="http://schemas.openxmlformats.org/package/2006/relationships"><Relationship Id="rId1" Type="http://schemas.openxmlformats.org/officeDocument/2006/relationships/hyperlink" Target="https://www.databank.com/resources/blogs/solving-edge-computing-challenges-in-era-of-iot/" TargetMode="External"/><Relationship Id="rId2" Type="http://schemas.openxmlformats.org/officeDocument/2006/relationships/hyperlink" Target="https://digital-strategy.ec.europa.eu/en/news/new-eu-cybersecurity-rules-ensure-more-secure-hardware-and-software-products" TargetMode="External"/><Relationship Id="rId3" Type="http://schemas.openxmlformats.org/officeDocument/2006/relationships/hyperlink" Target="https://www.euractiv.com/section/tech/news/eu-council-moves-to-adjust-product-lifecycle-reporting-in-new-cybersecurity-law/" TargetMode="External"/><Relationship Id="rId4" Type="http://schemas.openxmlformats.org/officeDocument/2006/relationships/hyperlink" Target="https://csuc-uab.primo.exlibrisgroup.com/discovery/fulldisplay?docid=alma991010752459806709&amp;context=L&amp;vid=34CSUC_UAB:VU1&amp;lang=ca&amp;search_scope=MyInst_and_CI&amp;adaptor=Local%20Search%20Engine&amp;tab=Everything&amp;query=any%2Ccontains%2Cproduct%20liability&amp;offset=0" TargetMode="Externa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T93LY37AUbGVrEIM8MhudGfgCiw==">CgMxLjAyDmguaDBtb3l6dmg0a3dnMg5oLnYyd3NxaDk4YzM2ZzIOaC4zcmVzNGlhZXVwZ28yDmguNGZsaGV6b3RsZ29kMg5oLnBoMTl4b2tidzZrbjgAciExaFdJcGZCUG5FOVBKNUFrTkYtVHUzZ0hQa0hNQWZFSl8=</go:docsCustomData>
</go:gDocsCustomXmlDataStorage>
</file>

<file path=customXml/itemProps1.xml><?xml version="1.0" encoding="utf-8"?>
<ds:datastoreItem xmlns:ds="http://schemas.openxmlformats.org/officeDocument/2006/customXml" ds:itemID="{E4161DBC-CCA4-43F8-94A7-BCE23F1588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LibreOffice/25.2.2.2$MacOSX_AARCH64 LibreOffice_project/7370d4be9e3cf6031a51beef54ff3bda878e3fac</Application>
  <AppVersion>15.0000</AppVersion>
  <Pages>28</Pages>
  <Words>15244</Words>
  <Characters>86781</Characters>
  <CharactersWithSpaces>101907</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2026-03-02T10:49:00Z</dcterms:created>
  <dc:creator>u113229</dc:creator>
  <dc:description/>
  <dc:language>ca-ES</dc:language>
  <cp:lastModifiedBy/>
  <dcterms:modified xsi:type="dcterms:W3CDTF">2026-03-05T23:22:03Z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b38def3f-31f1-488f-bea9-6fdaf1d6e2b1</vt:lpwstr>
  </property>
</Properties>
</file>