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1.png" ContentType="image/png"/>
  <Override PartName="/word/media/hdphoto1.wdp" ContentType="image/vnd.ms-photo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document.xml" ContentType="application/vnd.openxmlformats-officedocument.wordprocessingml.document.main+xml"/>
  <Override PartName="/word/header5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2" wp14:anchorId="0D7D6C37">
                      <wp:simplePos x="0" y="0"/>
                      <wp:positionH relativeFrom="column">
                        <wp:posOffset>-281305</wp:posOffset>
                      </wp:positionH>
                      <wp:positionV relativeFrom="paragraph">
                        <wp:posOffset>-40640</wp:posOffset>
                      </wp:positionV>
                      <wp:extent cx="1556385" cy="374015"/>
                      <wp:effectExtent l="0" t="0" r="0" b="0"/>
                      <wp:wrapNone/>
                      <wp:docPr id="1" name="Imagen 4" descr="http://indret.b.wetopi.com/wp-content/themes/indret/img/logo.png">
                        <a:hlinkClick xmlns:a="http://schemas.openxmlformats.org/drawingml/2006/main" r:id="rId2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n 4" descr="http://indret.b.wetopi.com/wp-content/themes/indret/img/logo.png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ID="Imagen 4" stroked="f" href="http://indret.b.wetopi.com/" o:allowincell="t" style="position:absolute;margin-left:-22.15pt;margin-top:-3.2pt;width:122.5pt;height:29.4pt;mso-wrap-style:none;v-text-anchor:middle" wp14:anchorId="0D7D6C37" type="_x0000_t75">
                      <v:imagedata r:id="rId5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{{AUTOR}}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{{ORGANITZACIO}}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8"/>
                <w:szCs w:val="28"/>
              </w:rPr>
            </w:pPr>
            <w:r>
              <w:rPr>
                <w:rFonts w:cs="Open Sans" w:ascii="PT Serif" w:hAnsi="PT Serif"/>
                <w:b/>
                <w:bCs/>
                <w:sz w:val="28"/>
                <w:szCs w:val="28"/>
              </w:rPr>
              <w:t>{{TITOL}}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i/>
                <w:sz w:val="24"/>
                <w:szCs w:val="28"/>
              </w:rPr>
              <w:t>{{SUBTITOL}}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i/>
                <w:i/>
                <w:sz w:val="24"/>
                <w:szCs w:val="28"/>
              </w:rPr>
            </w:pPr>
            <w:r>
              <w:rPr>
                <w:rFonts w:cs="Open Sans" w:ascii="PT Serif" w:hAnsi="PT Serif"/>
                <w:b/>
                <w:bCs/>
                <w:i/>
                <w:sz w:val="24"/>
                <w:szCs w:val="2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Sumario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{{SUMARI}}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i/>
                <w:sz w:val="20"/>
                <w:szCs w:val="20"/>
              </w:rPr>
              <w:t xml:space="preserve">Abstract 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  <w:t>{{ABSTRACT}}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i/>
                <w:i/>
                <w:sz w:val="16"/>
                <w:szCs w:val="20"/>
              </w:rPr>
            </w:pPr>
            <w:r>
              <w:rPr>
                <w:rFonts w:cs="PTSerif-Bold" w:ascii="PT Serif" w:hAnsi="PT Serif"/>
                <w:b/>
                <w:bCs/>
                <w:i/>
                <w:sz w:val="18"/>
                <w:szCs w:val="20"/>
              </w:rPr>
              <w:t>{{TITOL_EN}}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0"/>
                <w:szCs w:val="20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</w:rPr>
            </w:pPr>
            <w:r>
              <w:rPr>
                <w:rFonts w:cs="PTSerif-Bold" w:ascii="PT Serif" w:hAnsi="PT Serif"/>
                <w:b/>
                <w:bCs/>
                <w:sz w:val="18"/>
                <w:szCs w:val="18"/>
              </w:rPr>
              <w:t>{{PARAULES_CLAU}}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Cs/>
                <w:sz w:val="18"/>
                <w:szCs w:val="18"/>
                <w:lang w:val="en-US"/>
              </w:rPr>
            </w:pPr>
            <w:r>
              <w:rPr>
                <w:rFonts w:cs="PTSerif-Bold" w:ascii="PT Serif" w:hAnsi="PT Serif"/>
                <w:b/>
                <w:bCs/>
                <w:i/>
                <w:sz w:val="18"/>
                <w:szCs w:val="18"/>
                <w:lang w:val="en-US"/>
              </w:rPr>
              <w:t>{{KEYWORDS}}</w:t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  <w:lang w:val="en-US"/>
              </w:rPr>
              <w:t>-</w:t>
            </w:r>
          </w:p>
        </w:tc>
      </w:tr>
    </w:tbl>
    <w:p>
      <w:pPr>
        <w:sectPr>
          <w:headerReference w:type="even" r:id="rId6"/>
          <w:headerReference w:type="default" r:id="rId7"/>
          <w:headerReference w:type="first" r:id="rId8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</w:pPr>
    </w:p>
    <w:tbl>
      <w:tblPr>
        <w:tblW w:w="91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01"/>
        <w:gridCol w:w="6378"/>
      </w:tblGrid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3" wp14:anchorId="542856FB">
                      <wp:simplePos x="0" y="0"/>
                      <wp:positionH relativeFrom="column">
                        <wp:posOffset>-279400</wp:posOffset>
                      </wp:positionH>
                      <wp:positionV relativeFrom="paragraph">
                        <wp:posOffset>-102870</wp:posOffset>
                      </wp:positionV>
                      <wp:extent cx="1556385" cy="374015"/>
                      <wp:effectExtent l="0" t="0" r="0" b="0"/>
                      <wp:wrapNone/>
                      <wp:docPr id="3" name="Imagen 3" descr="http://indret.b.wetopi.com/wp-content/themes/indret/img/logo.png">
                        <a:hlinkClick xmlns:a="http://schemas.openxmlformats.org/drawingml/2006/main" r:id="rId9"/>
                      </wp:doc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n 3" descr="http://indret.b.wetopi.com/wp-content/themes/indret/img/logo.png"/>
                              <pic:cNvPicPr/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rightnessContrast amount="-21000" bright="2000" contrast="-10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/>
                            </pic:blipFill>
                            <pic:spPr>
                              <a:xfrm>
                                <a:off x="0" y="0"/>
                                <a:ext cx="1556280" cy="37404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 id="shape_0" ID="Imagen 3" stroked="f" href="http://indret.b.wetopi.com/" o:allowincell="t" style="position:absolute;margin-left:-22pt;margin-top:-8.1pt;width:122.5pt;height:29.4pt;mso-wrap-style:none;v-text-anchor:middle" wp14:anchorId="542856FB" type="_x0000_t75">
                      <v:imagedata r:id="rId11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  <w:t>{{EDICIO}}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Recepción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{{DATA-RECEP}}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Aceptación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{{DATA-ACCEPT}}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6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6"/>
                <w:szCs w:val="18"/>
              </w:rPr>
              <w:t>-</w:t>
            </w:r>
          </w:p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Índice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  <w:t>-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  <w:t>{{INDEX}}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60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284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left="600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  <w:tab w:val="left" w:pos="567" w:leader="none"/>
              </w:tabs>
              <w:spacing w:lineRule="auto" w:line="240" w:before="0" w:after="0"/>
              <w:ind w:left="567"/>
              <w:jc w:val="both"/>
              <w:rPr>
                <w:rFonts w:ascii="PT Serif" w:hAnsi="PT Serif"/>
                <w:sz w:val="18"/>
                <w:szCs w:val="18"/>
              </w:rPr>
            </w:pPr>
            <w:r>
              <w:rPr>
                <w:rFonts w:ascii="PT Serif" w:hAnsi="PT Serif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/>
                <w:b/>
                <w:i/>
                <w:i/>
                <w:sz w:val="18"/>
                <w:szCs w:val="18"/>
              </w:rPr>
            </w:pPr>
            <w:r>
              <w:rPr>
                <w:rFonts w:ascii="PT Serif" w:hAnsi="PT Serif"/>
                <w:b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Open Sans"/>
                <w:i/>
                <w:i/>
                <w:sz w:val="18"/>
                <w:szCs w:val="18"/>
              </w:rPr>
            </w:pPr>
            <w:r>
              <w:rPr>
                <w:rFonts w:cs="Open Sans" w:ascii="PT Serif" w:hAnsi="PT Serif"/>
                <w:i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PT Serif" w:hAnsi="PT Serif" w:cs="PTSerif-Bold"/>
                <w:b/>
                <w:bCs/>
                <w:sz w:val="24"/>
                <w:szCs w:val="24"/>
              </w:rPr>
            </w:pPr>
            <w:r>
              <w:rPr>
                <w:rFonts w:cs="PTSerif-Bold" w:ascii="PT Serif" w:hAnsi="PT Serif"/>
                <w:b/>
                <w:bCs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801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64" w:before="0" w:after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cs="Open Sans" w:ascii="Open Sans" w:hAnsi="Open Sans"/>
                <w:b/>
                <w:bCs/>
                <w:sz w:val="18"/>
                <w:szCs w:val="18"/>
              </w:rPr>
            </w:r>
          </w:p>
        </w:tc>
        <w:tc>
          <w:tcPr>
            <w:tcW w:w="6378" w:type="dxa"/>
            <w:tcBorders/>
            <w:shd w:color="auto" w:fill="FFFFFF" w:themeFill="background1" w:val="clear"/>
          </w:tcPr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PT Serif" w:hAnsi="PT Serif" w:cs="Open Sans"/>
                <w:b/>
                <w:bCs/>
                <w:sz w:val="20"/>
                <w:szCs w:val="20"/>
              </w:rPr>
            </w:pPr>
            <w:r>
              <w:rPr>
                <w:rFonts w:cs="Open Sans" w:ascii="PT Serif" w:hAnsi="PT Serif"/>
                <w:b/>
                <w:bCs/>
                <w:sz w:val="20"/>
                <w:szCs w:val="20"/>
              </w:rPr>
            </w:r>
          </w:p>
        </w:tc>
      </w:tr>
    </w:tbl>
    <w:p>
      <w:pPr>
        <w:sectPr>
          <w:headerReference w:type="default" r:id="rId12"/>
          <w:headerReference w:type="first" r:id="rId13"/>
          <w:type w:val="nextPage"/>
          <w:pgSz w:w="11906" w:h="16838"/>
          <w:pgMar w:left="1701" w:right="1701" w:gutter="0" w:header="708" w:top="1417" w:footer="0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spacing w:lineRule="auto" w:line="264" w:before="0" w:after="0"/>
        <w:jc w:val="both"/>
        <w:rPr>
          <w:rFonts w:ascii="Open Sans" w:hAnsi="Open Sans" w:cs="Open Sans"/>
          <w:b/>
          <w:sz w:val="20"/>
          <w:szCs w:val="20"/>
        </w:rPr>
      </w:pPr>
      <w:r>
        <w:rPr>
          <w:rFonts w:cs="Open Sans" w:ascii="Open Sans" w:hAnsi="Open Sans"/>
          <w:b/>
          <w:sz w:val="20"/>
          <w:szCs w:val="20"/>
        </w:rPr>
      </w:r>
    </w:p>
    <w:p>
      <w:pPr>
        <w:pStyle w:val="ListParagraph"/>
        <w:spacing w:lineRule="auto" w:line="264" w:before="0" w:after="0"/>
        <w:ind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  <w:r>
        <w:rPr>
          <w:rStyle w:val="FootnoteReference"/>
          <w:rFonts w:eastAsia="Symbol" w:cs="Symbol" w:ascii="Symbol" w:hAnsi="Symbol"/>
          <w:b/>
        </w:rPr>
        <w:footnoteReference w:customMarkFollows="1" w:id="2"/>
        <w:t>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6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7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sectPr>
          <w:headerReference w:type="even" r:id="rId14"/>
          <w:headerReference w:type="default" r:id="rId15"/>
          <w:headerReference w:type="first" r:id="rId16"/>
          <w:footnotePr>
            <w:numFmt w:val="decimal"/>
          </w:footnotePr>
          <w:type w:val="oddPage"/>
          <w:pgSz w:w="11906" w:h="16838"/>
          <w:pgMar w:left="1701" w:right="1701" w:gutter="0" w:header="709" w:top="1196" w:footer="0" w:bottom="1418"/>
          <w:paperSrc w:first="0" w:other="0"/>
          <w:pgNumType w:fmt="decimal"/>
          <w:formProt w:val="false"/>
          <w:textDirection w:val="lrTb"/>
          <w:docGrid w:type="default" w:linePitch="360" w:charSpace="4096"/>
        </w:sect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8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9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0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1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2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3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i/>
          <w:i/>
          <w:sz w:val="20"/>
          <w:szCs w:val="20"/>
        </w:rPr>
      </w:pPr>
      <w:r>
        <w:rPr>
          <w:rFonts w:ascii="PT Serif" w:hAnsi="PT Serif"/>
          <w:i/>
          <w:sz w:val="20"/>
          <w:szCs w:val="20"/>
        </w:rPr>
        <w:t>Título nivel 3 en PT Serif 10 cursiva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3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Título nivel 1 en Open Sans 11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>Título nivel 2 en PT Serif 10 negrita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4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1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PT Serif" w:hAnsi="PT Serif"/>
          <w:b/>
          <w:sz w:val="20"/>
          <w:szCs w:val="20"/>
        </w:rPr>
      </w:pPr>
      <w:r>
        <w:rPr>
          <w:rFonts w:ascii="PT Serif" w:hAnsi="PT Serif"/>
          <w:b/>
          <w:sz w:val="20"/>
          <w:szCs w:val="20"/>
        </w:rPr>
        <w:t xml:space="preserve">Título nivel 2 en PT Serif 10 negrita 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  <w:t>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1,1. Texto del cuerpo en PT Serif 10 normal y espacio interlineado 1,1</w:t>
      </w:r>
      <w:r>
        <w:rPr>
          <w:rStyle w:val="FootnoteReference"/>
          <w:rFonts w:ascii="PT Serif" w:hAnsi="PT Serif"/>
          <w:sz w:val="20"/>
          <w:szCs w:val="20"/>
        </w:rPr>
        <w:footnoteReference w:id="15"/>
      </w:r>
      <w:r>
        <w:rPr>
          <w:rFonts w:ascii="PT Serif" w:hAnsi="PT Serif"/>
          <w:sz w:val="20"/>
          <w:szCs w:val="20"/>
        </w:rPr>
        <w:t>.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64" w:before="0" w:after="0"/>
        <w:ind w:hanging="567" w:left="567"/>
        <w:contextualSpacing/>
        <w:jc w:val="both"/>
        <w:rPr>
          <w:rFonts w:ascii="Open Sans" w:hAnsi="Open Sans" w:cs="Open Sans"/>
          <w:b/>
        </w:rPr>
      </w:pPr>
      <w:r>
        <w:rPr>
          <w:rFonts w:cs="Open Sans" w:ascii="Open Sans" w:hAnsi="Open Sans"/>
          <w:b/>
        </w:rPr>
        <w:t>Bibliografía</w:t>
      </w:r>
    </w:p>
    <w:p>
      <w:pPr>
        <w:pStyle w:val="Normal"/>
        <w:spacing w:lineRule="auto" w:line="264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«La prohibición de registrar como marcas los signos contrarios al orden público o a las buenas costumbres», 36 </w:t>
      </w:r>
      <w:r>
        <w:rPr>
          <w:rFonts w:ascii="PT Serif" w:hAnsi="PT Serif"/>
          <w:i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(2015-2016), 2016, pp. 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 xml:space="preserve">Fundamentos de Derecho de Marcas, </w:t>
      </w:r>
      <w:r>
        <w:rPr>
          <w:rFonts w:ascii="PT Serif" w:hAnsi="PT Serif"/>
          <w:sz w:val="20"/>
          <w:szCs w:val="20"/>
        </w:rPr>
        <w:t>Montecorvo, Madrid, 1984.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Fernández Nóvoa, </w:t>
      </w:r>
      <w:r>
        <w:rPr>
          <w:rFonts w:ascii="PT Serif" w:hAnsi="PT Serif"/>
          <w:sz w:val="20"/>
          <w:szCs w:val="20"/>
        </w:rPr>
        <w:t xml:space="preserve">Carlos, </w:t>
      </w:r>
      <w:r>
        <w:rPr>
          <w:rFonts w:ascii="PT Serif" w:hAnsi="PT Serif"/>
          <w:i/>
          <w:sz w:val="20"/>
          <w:szCs w:val="20"/>
        </w:rPr>
        <w:t>Tratado de Derecho de Marcas</w:t>
      </w:r>
      <w:r>
        <w:rPr>
          <w:rFonts w:ascii="PT Serif" w:hAnsi="PT Serif"/>
          <w:sz w:val="20"/>
          <w:szCs w:val="20"/>
        </w:rPr>
        <w:t>, 2ª ed., Marcial Pons, Madrid, 2004.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Griffiths,</w:t>
      </w:r>
      <w:r>
        <w:rPr>
          <w:rFonts w:ascii="PT Serif" w:hAnsi="PT Serif"/>
          <w:sz w:val="20"/>
          <w:szCs w:val="20"/>
          <w:lang w:val="en-US"/>
        </w:rPr>
        <w:t xml:space="preserve"> Jonathan,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Is there a Right to an Immoral Trade Mark?</w:t>
      </w:r>
      <w:r>
        <w:rPr>
          <w:rFonts w:ascii="PT Serif" w:hAnsi="PT Serif"/>
          <w:sz w:val="20"/>
          <w:szCs w:val="20"/>
          <w:lang w:val="en-GB"/>
        </w:rPr>
        <w:t xml:space="preserve"> »</w:t>
      </w:r>
      <w:r>
        <w:rPr>
          <w:rFonts w:ascii="PT Serif" w:hAnsi="PT Serif"/>
          <w:sz w:val="20"/>
          <w:szCs w:val="20"/>
          <w:lang w:val="en-US"/>
        </w:rPr>
        <w:t xml:space="preserve">, en </w:t>
      </w:r>
      <w:r>
        <w:rPr>
          <w:rFonts w:ascii="PT Serif" w:hAnsi="PT Serif"/>
          <w:smallCaps/>
          <w:sz w:val="20"/>
          <w:szCs w:val="20"/>
          <w:lang w:val="en-US"/>
        </w:rPr>
        <w:t>Torremans</w:t>
      </w:r>
      <w:r>
        <w:rPr>
          <w:rFonts w:ascii="PT Serif" w:hAnsi="PT Serif"/>
          <w:sz w:val="20"/>
          <w:szCs w:val="20"/>
          <w:lang w:val="en-US"/>
        </w:rPr>
        <w:t xml:space="preserve">, Paul (ed.), </w:t>
      </w:r>
      <w:r>
        <w:rPr>
          <w:rFonts w:ascii="PT Serif" w:hAnsi="PT Serif"/>
          <w:i/>
          <w:sz w:val="20"/>
          <w:szCs w:val="20"/>
          <w:lang w:val="en-US"/>
        </w:rPr>
        <w:t>Intellectual Property and Human Rights</w:t>
      </w:r>
      <w:r>
        <w:rPr>
          <w:rFonts w:ascii="PT Serif" w:hAnsi="PT Serif"/>
          <w:sz w:val="20"/>
          <w:szCs w:val="20"/>
          <w:lang w:val="en-US"/>
        </w:rPr>
        <w:t xml:space="preserve">, Kluwer Law International, Alphen aan den Rijn, 2008, pp. </w:t>
      </w:r>
      <w:r>
        <w:rPr>
          <w:rFonts w:ascii="PT Serif" w:hAnsi="PT Serif"/>
          <w:sz w:val="20"/>
          <w:szCs w:val="20"/>
          <w:lang w:val="en-GB"/>
        </w:rPr>
        <w:t>309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Marco Alcalá, </w:t>
      </w:r>
      <w:r>
        <w:rPr>
          <w:rFonts w:ascii="PT Serif" w:hAnsi="PT Serif"/>
          <w:sz w:val="20"/>
          <w:szCs w:val="20"/>
        </w:rPr>
        <w:t xml:space="preserve">Luis Alberto, «Signos ofensivos y signos de escaso gusto en la jurisprudencia comunitaria reciente», 32 </w:t>
      </w:r>
      <w:r>
        <w:rPr>
          <w:rFonts w:ascii="PT Serif" w:hAnsi="PT Serif"/>
          <w:i/>
          <w:iCs/>
          <w:sz w:val="20"/>
          <w:szCs w:val="20"/>
        </w:rPr>
        <w:t>ADI</w:t>
      </w:r>
      <w:r>
        <w:rPr>
          <w:rFonts w:ascii="PT Serif" w:hAnsi="PT Serif"/>
          <w:sz w:val="20"/>
          <w:szCs w:val="20"/>
        </w:rPr>
        <w:t xml:space="preserve"> (2011-12), 2012, pp. 625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mallCaps/>
          <w:sz w:val="20"/>
          <w:szCs w:val="20"/>
          <w:lang w:val="en-US"/>
        </w:rPr>
        <w:t>Ramsey</w:t>
      </w:r>
      <w:r>
        <w:rPr>
          <w:rFonts w:ascii="PT Serif" w:hAnsi="PT Serif"/>
          <w:sz w:val="20"/>
          <w:szCs w:val="20"/>
          <w:lang w:val="en-US"/>
        </w:rPr>
        <w:t xml:space="preserve">, Lisa P.,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Challenges to Trademark Law after Matal vs. Tam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Houston Law Review</w:t>
      </w:r>
      <w:r>
        <w:rPr>
          <w:rFonts w:ascii="PT Serif" w:hAnsi="PT Serif"/>
          <w:sz w:val="20"/>
          <w:szCs w:val="20"/>
          <w:lang w:val="en-US"/>
        </w:rPr>
        <w:t xml:space="preserve">, núm. 56-2, 2018, pp. </w:t>
      </w:r>
      <w:r>
        <w:rPr>
          <w:rFonts w:ascii="PT Serif" w:hAnsi="PT Serif"/>
          <w:sz w:val="20"/>
          <w:szCs w:val="20"/>
          <w:lang w:val="en-GB"/>
        </w:rPr>
        <w:t>401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GB"/>
        </w:rPr>
      </w:pPr>
      <w:r>
        <w:rPr>
          <w:rFonts w:ascii="PT Serif" w:hAnsi="PT Serif"/>
          <w:sz w:val="20"/>
          <w:szCs w:val="20"/>
          <w:lang w:val="en-GB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>Rubí Puig</w:t>
      </w:r>
      <w:r>
        <w:rPr>
          <w:rFonts w:ascii="PT Serif" w:hAnsi="PT Serif"/>
          <w:sz w:val="20"/>
          <w:szCs w:val="20"/>
        </w:rPr>
        <w:t xml:space="preserve">, Antoni, </w:t>
      </w:r>
      <w:r>
        <w:rPr>
          <w:rFonts w:ascii="PT Serif" w:hAnsi="PT Serif"/>
          <w:i/>
          <w:sz w:val="20"/>
          <w:szCs w:val="20"/>
        </w:rPr>
        <w:t>Publicidad y libertad de expresión</w:t>
      </w:r>
      <w:r>
        <w:rPr>
          <w:rFonts w:ascii="PT Serif" w:hAnsi="PT Serif"/>
          <w:sz w:val="20"/>
          <w:szCs w:val="20"/>
        </w:rPr>
        <w:t>, Civitas, Madrid, 2008.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Denying Trademark for Scandalous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 xml:space="preserve">UK Davis Law Review, </w:t>
      </w:r>
      <w:r>
        <w:rPr>
          <w:rFonts w:ascii="PT Serif" w:hAnsi="PT Serif"/>
          <w:sz w:val="20"/>
          <w:szCs w:val="20"/>
          <w:lang w:val="en-US"/>
        </w:rPr>
        <w:t>vol. 51, 2018, pp. 2331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Snow, </w:t>
      </w:r>
      <w:r>
        <w:rPr>
          <w:rFonts w:ascii="PT Serif" w:hAnsi="PT Serif"/>
          <w:sz w:val="20"/>
          <w:szCs w:val="20"/>
          <w:lang w:val="en-US"/>
        </w:rPr>
        <w:t xml:space="preserve">Ned,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Free Speech &amp; Disparaging Trademarks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Boston College Law Review</w:t>
      </w:r>
      <w:r>
        <w:rPr>
          <w:rFonts w:ascii="PT Serif" w:hAnsi="PT Serif"/>
          <w:sz w:val="20"/>
          <w:szCs w:val="20"/>
          <w:lang w:val="en-US"/>
        </w:rPr>
        <w:t>, vol. 57, núm.5, 2016 pp. 1639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Europa», </w:t>
      </w:r>
      <w:r>
        <w:rPr>
          <w:rFonts w:ascii="PT Serif" w:hAnsi="PT Serif"/>
          <w:i/>
          <w:sz w:val="20"/>
          <w:szCs w:val="20"/>
        </w:rPr>
        <w:t>La Ley</w:t>
      </w:r>
      <w:r>
        <w:rPr>
          <w:rFonts w:ascii="PT Serif" w:hAnsi="PT Serif"/>
          <w:sz w:val="20"/>
          <w:szCs w:val="20"/>
        </w:rPr>
        <w:t>, 1994-3, pp. 988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mallCaps/>
          <w:sz w:val="20"/>
          <w:szCs w:val="20"/>
        </w:rPr>
        <w:t xml:space="preserve">Tato Plaza, </w:t>
      </w:r>
      <w:r>
        <w:rPr>
          <w:rFonts w:ascii="PT Serif" w:hAnsi="PT Serif"/>
          <w:sz w:val="20"/>
          <w:szCs w:val="20"/>
        </w:rPr>
        <w:t xml:space="preserve">Anxo, «Publicidad comercial y libertad de expresión en la jurisprudencia norteamericana», 24 </w:t>
      </w:r>
      <w:r>
        <w:rPr>
          <w:rFonts w:ascii="PT Serif" w:hAnsi="PT Serif"/>
          <w:i/>
          <w:sz w:val="20"/>
          <w:szCs w:val="20"/>
        </w:rPr>
        <w:t xml:space="preserve">ADI, </w:t>
      </w:r>
      <w:r>
        <w:rPr>
          <w:rFonts w:ascii="PT Serif" w:hAnsi="PT Serif"/>
          <w:sz w:val="20"/>
          <w:szCs w:val="20"/>
        </w:rPr>
        <w:t>1992, pp. 169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</w:rPr>
      </w:pPr>
      <w:r>
        <w:rPr>
          <w:rFonts w:ascii="PT Serif" w:hAnsi="PT Serif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en-US"/>
        </w:rPr>
      </w:pPr>
      <w:r>
        <w:rPr>
          <w:rFonts w:ascii="PT Serif" w:hAnsi="PT Serif"/>
          <w:smallCaps/>
          <w:sz w:val="20"/>
          <w:szCs w:val="20"/>
          <w:lang w:val="en-US"/>
        </w:rPr>
        <w:t xml:space="preserve">Tushnet, </w:t>
      </w:r>
      <w:r>
        <w:rPr>
          <w:rFonts w:ascii="PT Serif" w:hAnsi="PT Serif"/>
          <w:sz w:val="20"/>
          <w:szCs w:val="20"/>
          <w:lang w:val="en-US"/>
        </w:rPr>
        <w:t xml:space="preserve">Rebeca, </w:t>
      </w:r>
      <w:r>
        <w:rPr>
          <w:rFonts w:ascii="PT Serif" w:hAnsi="PT Serif"/>
          <w:sz w:val="20"/>
          <w:szCs w:val="20"/>
          <w:lang w:val="en-GB"/>
        </w:rPr>
        <w:t>«</w:t>
      </w:r>
      <w:r>
        <w:rPr>
          <w:rFonts w:ascii="PT Serif" w:hAnsi="PT Serif"/>
          <w:sz w:val="20"/>
          <w:szCs w:val="20"/>
          <w:lang w:val="en-US"/>
        </w:rPr>
        <w:t>The First Amendment Walks into a Bar: Trademark Registration and Free Speech</w:t>
      </w:r>
      <w:r>
        <w:rPr>
          <w:rFonts w:ascii="PT Serif" w:hAnsi="PT Serif"/>
          <w:sz w:val="20"/>
          <w:szCs w:val="20"/>
          <w:lang w:val="en-GB"/>
        </w:rPr>
        <w:t>»</w:t>
      </w:r>
      <w:r>
        <w:rPr>
          <w:rFonts w:ascii="PT Serif" w:hAnsi="PT Serif"/>
          <w:sz w:val="20"/>
          <w:szCs w:val="20"/>
          <w:lang w:val="en-US"/>
        </w:rPr>
        <w:t xml:space="preserve">, </w:t>
      </w:r>
      <w:r>
        <w:rPr>
          <w:rFonts w:ascii="PT Serif" w:hAnsi="PT Serif"/>
          <w:i/>
          <w:sz w:val="20"/>
          <w:szCs w:val="20"/>
          <w:lang w:val="en-US"/>
        </w:rPr>
        <w:t>Notre Dame Law Review</w:t>
      </w:r>
      <w:r>
        <w:rPr>
          <w:rFonts w:ascii="PT Serif" w:hAnsi="PT Serif"/>
          <w:sz w:val="20"/>
          <w:szCs w:val="20"/>
          <w:lang w:val="en-US"/>
        </w:rPr>
        <w:t>, vol. 92, núm. 1, 2016, pp. 381 ss.</w:t>
      </w:r>
    </w:p>
    <w:p>
      <w:pPr>
        <w:pStyle w:val="Normal"/>
        <w:spacing w:lineRule="auto" w:line="240" w:before="0" w:after="0"/>
        <w:jc w:val="both"/>
        <w:rPr>
          <w:rFonts w:ascii="PT Serif" w:hAnsi="PT Serif"/>
          <w:sz w:val="20"/>
          <w:szCs w:val="20"/>
          <w:lang w:val="ca-ES"/>
        </w:rPr>
      </w:pPr>
      <w:r>
        <w:rPr>
          <w:rFonts w:ascii="PT Serif" w:hAnsi="PT Serif"/>
          <w:sz w:val="20"/>
          <w:szCs w:val="20"/>
          <w:lang w:val="ca-ES"/>
        </w:rPr>
      </w:r>
    </w:p>
    <w:sectPr>
      <w:headerReference w:type="even" r:id="rId17"/>
      <w:headerReference w:type="default" r:id="rId18"/>
      <w:headerReference w:type="first" r:id="rId19"/>
      <w:footnotePr>
        <w:numFmt w:val="decimal"/>
      </w:footnotePr>
      <w:type w:val="nextPage"/>
      <w:pgSz w:w="11906" w:h="16838"/>
      <w:pgMar w:left="1701" w:right="1701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Book Antiqu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 Sans">
    <w:charset w:val="01"/>
    <w:family w:val="swiss"/>
    <w:pitch w:val="variable"/>
  </w:font>
  <w:font w:name="PT Serif">
    <w:charset w:val="01"/>
    <w:family w:val="roman"/>
    <w:pitch w:val="variable"/>
  </w:font>
  <w:font w:name="Symbol">
    <w:charset w:val="0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t></w:t>
      </w:r>
      <w:r>
        <w:rPr>
          <w:rFonts w:eastAsia="Symbol" w:cs="Symbol" w:ascii="Symbol" w:hAnsi="Symbol"/>
          <w:sz w:val="17"/>
          <w:szCs w:val="17"/>
        </w:rPr>
        <w:sym w:font="Symbol" w:char="f02a"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  <w:highlight w:val="yellow"/>
        </w:rPr>
        <w:t>Autor/a de contacto: nombre completo (correo electrónico).</w:t>
      </w:r>
      <w:r>
        <w:rPr>
          <w:rFonts w:ascii="PT Serif" w:hAnsi="PT Serif"/>
          <w:sz w:val="17"/>
          <w:szCs w:val="17"/>
        </w:rPr>
        <w:t xml:space="preserve"> Primera nota en asterisco de agradecimientos y/o de descripción de los proyectos de investigación en los que se incardina la publicación. </w:t>
      </w:r>
    </w:p>
  </w:footnote>
  <w:footnote w:id="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5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6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7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8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9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0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1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2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3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4">
    <w:p>
      <w:pPr>
        <w:pStyle w:val="FootnoteText"/>
        <w:spacing w:before="60" w:after="0"/>
        <w:rPr>
          <w:rFonts w:ascii="PT Serif" w:hAnsi="PT Serif"/>
          <w:sz w:val="17"/>
          <w:szCs w:val="17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  <w:footnote w:id="15">
    <w:p>
      <w:pPr>
        <w:pStyle w:val="FootnoteText"/>
        <w:spacing w:before="60" w:after="0"/>
        <w:rPr>
          <w:rFonts w:ascii="PT Serif" w:hAnsi="PT Serif"/>
          <w:szCs w:val="18"/>
        </w:rPr>
      </w:pPr>
      <w:r>
        <w:rPr>
          <w:rStyle w:val="FootnoteCharacters"/>
        </w:rPr>
        <w:footnoteRef/>
      </w:r>
      <w:r>
        <w:rPr>
          <w:rFonts w:ascii="PT Serif" w:hAnsi="PT Serif"/>
          <w:sz w:val="17"/>
          <w:szCs w:val="17"/>
        </w:rPr>
        <w:t xml:space="preserve"> </w:t>
      </w:r>
      <w:r>
        <w:rPr>
          <w:rFonts w:ascii="PT Serif" w:hAnsi="PT Serif"/>
          <w:sz w:val="17"/>
          <w:szCs w:val="17"/>
        </w:rPr>
        <w:t>Nota a pie de página en PT Serif 8,5 normal, interlineado sencillo y espaciado anterior de 3 ptos.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Open Sans" w:hAnsi="Open Sans" w:cs="Open Sans"/>
        <w:b/>
        <w:bCs/>
        <w:sz w:val="16"/>
        <w:szCs w:val="18"/>
      </w:rPr>
    </w:pPr>
    <w:r>
      <w:rPr>
        <w:rFonts w:cs="Open Sans" w:ascii="Open Sans" w:hAnsi="Open Sans"/>
        <w:b/>
        <w:bCs/>
        <w:sz w:val="16"/>
        <w:szCs w:val="18"/>
      </w:rPr>
      <w:t>{{EDICIO}}                                                                                                                                                {{AUTOR}}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780" w:hanging="4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5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1f1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591f1d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591f1d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591f1d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9096c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591f1d"/>
    <w:rPr>
      <w:rFonts w:ascii="Times New Roman" w:hAnsi="Times New Roman" w:eastAsia="Times New Roman" w:cs="Times New Roman"/>
      <w:b/>
      <w:bCs/>
      <w:kern w:val="2"/>
      <w:sz w:val="48"/>
      <w:szCs w:val="48"/>
      <w:lang w:eastAsia="es-ES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591f1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Hyperlink">
    <w:name w:val="Hyperlink"/>
    <w:basedOn w:val="DefaultParagraphFont"/>
    <w:uiPriority w:val="99"/>
    <w:unhideWhenUsed/>
    <w:rsid w:val="00591f1d"/>
    <w:rPr>
      <w:color w:themeColor="hyperlink" w:val="0000FF"/>
      <w:u w:val="single"/>
    </w:rPr>
  </w:style>
  <w:style w:type="character" w:styleId="Cursiva" w:customStyle="1">
    <w:name w:val="Cursiva"/>
    <w:basedOn w:val="DefaultParagraphFont"/>
    <w:qFormat/>
    <w:rsid w:val="00591f1d"/>
    <w:rPr>
      <w:rFonts w:ascii="Book Antiqua" w:hAnsi="Book Antiqua"/>
      <w:i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29096c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extonotapieCar" w:customStyle="1">
    <w:name w:val="Texto nota pie Car"/>
    <w:basedOn w:val="DefaultParagraphFont"/>
    <w:link w:val="FootnoteText"/>
    <w:qFormat/>
    <w:rsid w:val="0029096c"/>
    <w:rPr>
      <w:rFonts w:ascii="Book Antiqua" w:hAnsi="Book Antiqua"/>
      <w:sz w:val="18"/>
      <w:szCs w:val="24"/>
    </w:rPr>
  </w:style>
  <w:style w:type="character" w:styleId="FootnoteCharacters">
    <w:name w:val="Footnote Characters"/>
    <w:basedOn w:val="DefaultParagraphFont"/>
    <w:unhideWhenUsed/>
    <w:qFormat/>
    <w:rsid w:val="0029096c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d67a98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d67a98"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5"/>
    <w:qFormat/>
    <w:rsid w:val="00591f1d"/>
    <w:pPr>
      <w:spacing w:before="0" w:after="200"/>
      <w:ind w:left="720"/>
      <w:contextualSpacing/>
    </w:pPr>
    <w:rPr/>
  </w:style>
  <w:style w:type="paragraph" w:styleId="Default" w:customStyle="1">
    <w:name w:val="Default"/>
    <w:qFormat/>
    <w:rsid w:val="00591f1d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s-ES" w:eastAsia="en-US" w:bidi="ar-SA"/>
    </w:rPr>
  </w:style>
  <w:style w:type="paragraph" w:styleId="TOC4">
    <w:name w:val="toc 4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1191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1">
    <w:name w:val="toc 1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482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OC3">
    <w:name w:val="toc 3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964"/>
      <w:jc w:val="both"/>
    </w:pPr>
    <w:rPr>
      <w:rFonts w:ascii="Book Antiqua" w:hAnsi="Book Antiqua" w:eastAsia="Times New Roman" w:cs="Times New Roman"/>
      <w:b/>
      <w:color w:val="0000FF"/>
      <w:sz w:val="21"/>
      <w:szCs w:val="24"/>
      <w:lang w:eastAsia="es-ES"/>
    </w:rPr>
  </w:style>
  <w:style w:type="paragraph" w:styleId="TOC2">
    <w:name w:val="toc 2"/>
    <w:basedOn w:val="Normal"/>
    <w:next w:val="Normal"/>
    <w:autoRedefine/>
    <w:uiPriority w:val="39"/>
    <w:rsid w:val="00591f1d"/>
    <w:pPr>
      <w:widowControl w:val="false"/>
      <w:spacing w:lineRule="auto" w:line="288" w:before="0" w:after="0"/>
      <w:ind w:left="720"/>
      <w:jc w:val="both"/>
    </w:pPr>
    <w:rPr>
      <w:rFonts w:ascii="Book Antiqua" w:hAnsi="Book Antiqua" w:eastAsia="Times New Roman" w:cs="Times New Roman"/>
      <w:b/>
      <w:color w:val="0000FF"/>
      <w:sz w:val="21"/>
      <w:szCs w:val="17"/>
      <w:lang w:eastAsia="es-ES"/>
    </w:rPr>
  </w:style>
  <w:style w:type="paragraph" w:styleId="TablaInterior" w:customStyle="1">
    <w:name w:val="Tabla Interior"/>
    <w:basedOn w:val="Normal"/>
    <w:qFormat/>
    <w:rsid w:val="00591f1d"/>
    <w:pPr>
      <w:widowControl w:val="false"/>
      <w:spacing w:lineRule="auto" w:line="288" w:before="0" w:after="0"/>
    </w:pPr>
    <w:rPr>
      <w:rFonts w:ascii="Book Antiqua" w:hAnsi="Book Antiqua" w:eastAsia="Times New Roman" w:cs="Times New Roman"/>
      <w:b/>
      <w:i/>
      <w:iCs/>
      <w:sz w:val="18"/>
      <w:szCs w:val="18"/>
      <w:lang w:eastAsia="es-ES"/>
    </w:rPr>
  </w:style>
  <w:style w:type="paragraph" w:styleId="FootnoteText">
    <w:name w:val="footnote text"/>
    <w:basedOn w:val="Normal"/>
    <w:link w:val="TextonotapieCar"/>
    <w:autoRedefine/>
    <w:unhideWhenUsed/>
    <w:qFormat/>
    <w:rsid w:val="0029096c"/>
    <w:pPr>
      <w:spacing w:lineRule="auto" w:line="240" w:before="0" w:after="0"/>
      <w:jc w:val="both"/>
    </w:pPr>
    <w:rPr>
      <w:rFonts w:ascii="Book Antiqua" w:hAnsi="Book Antiqua"/>
      <w:sz w:val="18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67a9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59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indret.b.wetopi.com/" TargetMode="External"/><Relationship Id="rId3" Type="http://schemas.openxmlformats.org/officeDocument/2006/relationships/image" Target="media/image1.png"/><Relationship Id="rId4" Type="http://schemas.microsoft.com/office/2007/relationships/hdphoto" Target="media/hdphoto1.wdp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yperlink" Target="http://indret.b.wetopi.com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header" Target="header10.xml"/><Relationship Id="rId19" Type="http://schemas.openxmlformats.org/officeDocument/2006/relationships/header" Target="header11.xml"/><Relationship Id="rId20" Type="http://schemas.openxmlformats.org/officeDocument/2006/relationships/footnotes" Target="footnotes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4FDC99-14F3-4314-A48E-9A624A1B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C:\Users\u113229\AppData\Local\Temp\Temp1_Plantilla-artículo-InDret.dotx.zip\Plantilla arti╠üculo InDret.dotx</Template>
  <TotalTime>1</TotalTime>
  <Application>LibreOffice/25.2.2.2$MacOSX_AARCH64 LibreOffice_project/7370d4be9e3cf6031a51beef54ff3bda878e3fac</Application>
  <AppVersion>15.0000</AppVersion>
  <Pages>6</Pages>
  <Words>1579</Words>
  <Characters>7462</Characters>
  <CharactersWithSpaces>9247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2026-02-24T09:11:00Z</dcterms:created>
  <dc:creator>u113229</dc:creator>
  <dc:description/>
  <dc:language>ca-ES</dc:language>
  <cp:lastModifiedBy/>
  <cp:lastPrinted>2019-12-18T17:31:00Z</cp:lastPrinted>
  <dcterms:modified xsi:type="dcterms:W3CDTF">2026-03-03T17:34:29Z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