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2.xml" ContentType="application/vnd.openxmlformats-officedocument.wordprocessingml.header+xml"/>
  <Override PartName="/word/media/image1.png" ContentType="image/png"/>
  <Override PartName="/word/media/hdphoto1.wdp" ContentType="image/vnd.ms-photo"/>
  <Override PartName="/word/media/image2.png" ContentType="image/png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header5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01"/>
        <w:gridCol w:w="6378"/>
      </w:tblGrid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3" wp14:anchorId="0D7D6C37">
                      <wp:simplePos x="0" y="0"/>
                      <wp:positionH relativeFrom="column">
                        <wp:posOffset>-281305</wp:posOffset>
                      </wp:positionH>
                      <wp:positionV relativeFrom="paragraph">
                        <wp:posOffset>-40640</wp:posOffset>
                      </wp:positionV>
                      <wp:extent cx="1556385" cy="374015"/>
                      <wp:effectExtent l="0" t="0" r="0" b="0"/>
                      <wp:wrapNone/>
                      <wp:docPr id="1" name="Imagen 4" descr="http://indret.b.wetopi.com/wp-content/themes/indret/img/logo.png">
                        <a:hlinkClick xmlns:a="http://schemas.openxmlformats.org/drawingml/2006/main" r:id="rId2"/>
                      </wp:doc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n 4" descr="http://indret.b.wetopi.com/wp-content/themes/indret/img/logo.png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rightnessContrast amount="-21000" bright="2000" contrast="-10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/>
                            </pic:blipFill>
                            <pic:spPr>
                              <a:xfrm>
                                <a:off x="0" y="0"/>
                                <a:ext cx="1556280" cy="374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Imagen 4" stroked="f" href="http://indret.b.wetopi.com/" o:allowincell="t" style="position:absolute;margin-left:-22.15pt;margin-top:-3.2pt;width:122.5pt;height:29.4pt;mso-wrap-style:none;v-text-anchor:middle" wp14:anchorId="0D7D6C37" type="_x0000_t75">
                      <v:imagedata r:id="rId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w:t>{{EDICIO}}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{{AUTOR}}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{{ORGANITZACIO}}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8"/>
                <w:szCs w:val="28"/>
              </w:rPr>
            </w:pPr>
            <w:r>
              <w:rPr>
                <w:rFonts w:cs="Open Sans" w:ascii="PT Serif" w:hAnsi="PT Serif"/>
                <w:b/>
                <w:bCs/>
                <w:sz w:val="28"/>
                <w:szCs w:val="28"/>
              </w:rPr>
              <w:t>{{TITOL}}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24"/>
                <w:szCs w:val="28"/>
              </w:rPr>
            </w:pPr>
            <w:r>
              <w:rPr>
                <w:rFonts w:cs="Open Sans" w:ascii="PT Serif" w:hAnsi="PT Serif"/>
                <w:i/>
                <w:sz w:val="24"/>
                <w:szCs w:val="28"/>
              </w:rPr>
              <w:t>{{SUBTITOL}}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i/>
                <w:i/>
                <w:sz w:val="24"/>
                <w:szCs w:val="28"/>
              </w:rPr>
            </w:pPr>
            <w:r>
              <w:rPr>
                <w:rFonts w:cs="Open Sans" w:ascii="PT Serif" w:hAnsi="PT Serif"/>
                <w:b/>
                <w:bCs/>
                <w:i/>
                <w:sz w:val="24"/>
                <w:szCs w:val="2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Sumario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t>{{SUMARI}}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i/>
                <w:sz w:val="20"/>
                <w:szCs w:val="20"/>
              </w:rPr>
              <w:t>Abstract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t>{{ABSTRACT}}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i/>
                <w:i/>
                <w:sz w:val="16"/>
                <w:szCs w:val="20"/>
              </w:rPr>
            </w:pPr>
            <w:r>
              <w:rPr>
                <w:rFonts w:ascii="PT Serif" w:hAnsi="PT Serif"/>
                <w:b/>
                <w:i w:val="false"/>
                <w:sz w:val="18"/>
              </w:rPr>
              <w:t xml:space="preserve">Title: </w:t>
            </w:r>
            <w:r>
              <w:rPr>
                <w:rFonts w:ascii="PT Serif" w:hAnsi="PT Serif"/>
                <w:b w:val="false"/>
                <w:i/>
                <w:sz w:val="18"/>
              </w:rPr>
              <w:t>{{TITOL_EN}}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</w:rPr>
            </w:pPr>
            <w:r>
              <w:rPr>
                <w:rFonts w:ascii="PT Serif" w:hAnsi="PT Serif"/>
                <w:b/>
                <w:i w:val="false"/>
                <w:sz w:val="18"/>
              </w:rPr>
              <w:t xml:space="preserve">Palabras clave: </w:t>
            </w:r>
            <w:r>
              <w:rPr>
                <w:rFonts w:ascii="PT Serif" w:hAnsi="PT Serif"/>
                <w:b w:val="false"/>
                <w:i w:val="false"/>
                <w:sz w:val="18"/>
              </w:rPr>
              <w:t>{{PARAULES_CLAU}}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</w:rPr>
            </w:pPr>
            <w:r>
              <w:rPr>
                <w:rFonts w:cs="PTSerif-Bold" w:ascii="PT Serif" w:hAnsi="PT Serif"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  <w:lang w:val="en-US"/>
              </w:rPr>
            </w:pPr>
            <w:r>
              <w:rPr>
                <w:rFonts w:ascii="PT Serif" w:hAnsi="PT Serif"/>
                <w:b/>
                <w:i/>
                <w:sz w:val="18"/>
              </w:rPr>
              <w:t xml:space="preserve">Keywords: </w:t>
            </w:r>
            <w:r>
              <w:rPr>
                <w:rFonts w:ascii="PT Serif" w:hAnsi="PT Serif"/>
                <w:b w:val="false"/>
                <w:i/>
                <w:sz w:val="18"/>
              </w:rPr>
              <w:t>{{KEYWORDS}}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  <w:lang w:val="en-US"/>
              </w:rPr>
              <w:t>-</w:t>
            </w:r>
          </w:p>
          <w:p>
            <w:pPr>
              <w:pStyle w:val="Normal"/>
              <w:spacing w:before="0" w:after="200"/>
              <w:jc w:val="both"/>
              <w:rPr/>
            </w:pPr>
            <w:r>
              <w:rPr>
                <w:rFonts w:ascii="PT Serif" w:hAnsi="PT Serif"/>
                <w:b/>
                <w:sz w:val="18"/>
              </w:rPr>
              <w:t xml:space="preserve">DOI: </w:t>
            </w:r>
            <w:r>
              <w:rPr>
                <w:rFonts w:ascii="PT Serif" w:hAnsi="PT Serif"/>
                <w:b w:val="false"/>
                <w:sz w:val="18"/>
              </w:rPr>
              <w:t>{{DOI}}</w:t>
            </w:r>
          </w:p>
        </w:tc>
      </w:tr>
    </w:tbl>
    <w:p>
      <w:pPr>
        <w:sectPr>
          <w:headerReference w:type="even" r:id="rId6"/>
          <w:headerReference w:type="default" r:id="rId7"/>
          <w:headerReference w:type="first" r:id="rId8"/>
          <w:type w:val="nextPage"/>
          <w:pgSz w:w="11906" w:h="16838"/>
          <w:pgMar w:left="1701" w:right="1701" w:gutter="0" w:header="708" w:top="1417" w:footer="0" w:bottom="1417"/>
          <w:pgNumType w:fmt="decimal"/>
          <w:formProt w:val="false"/>
          <w:textDirection w:val="lrTb"/>
          <w:docGrid w:type="default" w:linePitch="360" w:charSpace="4096"/>
        </w:sectPr>
      </w:pP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01"/>
        <w:gridCol w:w="6378"/>
      </w:tblGrid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4" wp14:anchorId="542856FB">
                      <wp:simplePos x="0" y="0"/>
                      <wp:positionH relativeFrom="column">
                        <wp:posOffset>-279400</wp:posOffset>
                      </wp:positionH>
                      <wp:positionV relativeFrom="paragraph">
                        <wp:posOffset>-102870</wp:posOffset>
                      </wp:positionV>
                      <wp:extent cx="1556385" cy="374015"/>
                      <wp:effectExtent l="0" t="0" r="0" b="0"/>
                      <wp:wrapNone/>
                      <wp:docPr id="3" name="Imagen 3" descr="http://indret.b.wetopi.com/wp-content/themes/indret/img/logo.png">
                        <a:hlinkClick xmlns:a="http://schemas.openxmlformats.org/drawingml/2006/main" r:id="rId9"/>
                      </wp:doc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n 3" descr="http://indret.b.wetopi.com/wp-content/themes/indret/img/logo.png"/>
                              <pic:cNvPicPr/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rightnessContrast amount="-21000" bright="2000" contrast="-10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/>
                            </pic:blipFill>
                            <pic:spPr>
                              <a:xfrm>
                                <a:off x="0" y="0"/>
                                <a:ext cx="1556280" cy="374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ID="Imagen 3" stroked="f" href="http://indret.b.wetopi.com/" o:allowincell="t" style="position:absolute;margin-left:-22pt;margin-top:-8.1pt;width:122.5pt;height:29.4pt;mso-wrap-style:none;v-text-anchor:middle" wp14:anchorId="542856FB" type="_x0000_t75">
                      <v:imagedata r:id="rId11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w:t>{{EDICIO}}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Recepción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{{DATA-RECEP}}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Aceptación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{{DATA-ACCEPT}}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Índice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ascii="PT Serif" w:hAnsi="PT Serif"/>
                <w:b/>
                <w:i/>
                <w:sz w:val="18"/>
                <w:szCs w:val="18"/>
              </w:rPr>
              <w:t>{{INDEX}}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br/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  <w:br/>
            </w:r>
            <w:r>
              <w:rPr>
                <w:rFonts w:cs="PTSerif-Bold" w:ascii="PT Serif" w:hAnsi="PT Serif"/>
                <w:b/>
                <w:bCs/>
                <w:sz w:val="24"/>
                <w:szCs w:val="24"/>
              </w:rPr>
              <w:br/>
            </w:r>
            <w:r>
              <w:rPr>
                <w:rFonts w:cs="PTSerif-Bold" w:ascii="Open Sans" w:hAnsi="Open Sans"/>
                <w:b w:val="false"/>
                <w:bCs w:val="false"/>
                <w:sz w:val="18"/>
                <w:szCs w:val="18"/>
              </w:rPr>
              <w:t xml:space="preserve">Este trabajo se publica con una licencia Creative Commons Reconocimiento-No Comercial 4.0 Internacional </w:t>
            </w:r>
            <w:r>
              <w:rPr/>
              <w:drawing>
                <wp:inline distT="0" distB="0" distL="0" distR="0">
                  <wp:extent cx="391795" cy="137795"/>
                  <wp:effectExtent l="0" t="0" r="0" b="0"/>
                  <wp:docPr id="5" name="image2.png" descr="Licencia de Creative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.png" descr="Licencia de Creative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95" cy="137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</w:tc>
      </w:tr>
    </w:tbl>
    <w:p>
      <w:pPr>
        <w:sectPr>
          <w:headerReference w:type="even" r:id="rId13"/>
          <w:headerReference w:type="default" r:id="rId14"/>
          <w:headerReference w:type="first" r:id="rId15"/>
          <w:type w:val="nextPage"/>
          <w:pgSz w:w="11906" w:h="16838"/>
          <w:pgMar w:left="1701" w:right="1701" w:gutter="0" w:header="708" w:top="1417" w:footer="0" w:bottom="141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spacing w:lineRule="auto" w:line="264" w:before="0" w:after="0"/>
        <w:ind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  <w:r>
        <w:rPr>
          <w:rStyle w:val="FootnoteReference"/>
          <w:rFonts w:eastAsia="Symbol" w:cs="Symbol" w:ascii="Symbol" w:hAnsi="Symbol"/>
          <w:b/>
        </w:rPr>
        <w:footnoteReference w:customMarkFollows="1" w:id="2"/>
        <w:t>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3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4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5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6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7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sectPr>
          <w:headerReference w:type="even" r:id="rId16"/>
          <w:headerReference w:type="default" r:id="rId17"/>
          <w:headerReference w:type="first" r:id="rId18"/>
          <w:footnotePr>
            <w:numFmt w:val="decimal"/>
          </w:footnotePr>
          <w:type w:val="oddPage"/>
          <w:pgSz w:w="11906" w:h="16838"/>
          <w:pgMar w:left="1701" w:right="1701" w:gutter="0" w:header="709" w:top="1196" w:footer="0" w:bottom="1418"/>
          <w:paperSrc w:first="0" w:other="0"/>
          <w:pgNumType w:fmt="decimal"/>
          <w:formProt w:val="false"/>
          <w:textDirection w:val="lrTb"/>
          <w:docGrid w:type="default" w:linePitch="360" w:charSpace="4096"/>
        </w:sect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8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9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0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1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2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3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4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 xml:space="preserve">Título nivel 2 en PT Serif 10 negrita 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5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Bibliografía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«La prohibición de registrar como marcas los signos contrarios al orden público o a las buenas costumbres», 36 </w:t>
      </w:r>
      <w:r>
        <w:rPr>
          <w:rFonts w:ascii="PT Serif" w:hAnsi="PT Serif"/>
          <w:i/>
          <w:sz w:val="20"/>
          <w:szCs w:val="20"/>
        </w:rPr>
        <w:t>ADI</w:t>
      </w:r>
      <w:r>
        <w:rPr>
          <w:rFonts w:ascii="PT Serif" w:hAnsi="PT Serif"/>
          <w:sz w:val="20"/>
          <w:szCs w:val="20"/>
        </w:rPr>
        <w:t xml:space="preserve"> (2015-2016), 2016, pp. 39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</w:t>
      </w:r>
      <w:r>
        <w:rPr>
          <w:rFonts w:ascii="PT Serif" w:hAnsi="PT Serif"/>
          <w:i/>
          <w:sz w:val="20"/>
          <w:szCs w:val="20"/>
        </w:rPr>
        <w:t xml:space="preserve">Fundamentos de Derecho de Marcas, </w:t>
      </w:r>
      <w:r>
        <w:rPr>
          <w:rFonts w:ascii="PT Serif" w:hAnsi="PT Serif"/>
          <w:sz w:val="20"/>
          <w:szCs w:val="20"/>
        </w:rPr>
        <w:t>Montecorvo, Madrid, 1984.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</w:t>
      </w:r>
      <w:r>
        <w:rPr>
          <w:rFonts w:ascii="PT Serif" w:hAnsi="PT Serif"/>
          <w:i/>
          <w:sz w:val="20"/>
          <w:szCs w:val="20"/>
        </w:rPr>
        <w:t>Tratado de Derecho de Marcas</w:t>
      </w:r>
      <w:r>
        <w:rPr>
          <w:rFonts w:ascii="PT Serif" w:hAnsi="PT Serif"/>
          <w:sz w:val="20"/>
          <w:szCs w:val="20"/>
        </w:rPr>
        <w:t>, 2ª ed., Marcial Pons, Madrid, 2004.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mallCaps/>
          <w:sz w:val="20"/>
          <w:szCs w:val="20"/>
          <w:lang w:val="en-US"/>
        </w:rPr>
        <w:t>Griffiths,</w:t>
      </w:r>
      <w:r>
        <w:rPr>
          <w:rFonts w:ascii="PT Serif" w:hAnsi="PT Serif"/>
          <w:sz w:val="20"/>
          <w:szCs w:val="20"/>
          <w:lang w:val="en-US"/>
        </w:rPr>
        <w:t xml:space="preserve"> Jonathan,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Is there a Right to an Immoral Trade Mark?</w:t>
      </w:r>
      <w:r>
        <w:rPr>
          <w:rFonts w:ascii="PT Serif" w:hAnsi="PT Serif"/>
          <w:sz w:val="20"/>
          <w:szCs w:val="20"/>
          <w:lang w:val="en-GB"/>
        </w:rPr>
        <w:t xml:space="preserve"> »</w:t>
      </w:r>
      <w:r>
        <w:rPr>
          <w:rFonts w:ascii="PT Serif" w:hAnsi="PT Serif"/>
          <w:sz w:val="20"/>
          <w:szCs w:val="20"/>
          <w:lang w:val="en-US"/>
        </w:rPr>
        <w:t xml:space="preserve">, en </w:t>
      </w:r>
      <w:r>
        <w:rPr>
          <w:rFonts w:ascii="PT Serif" w:hAnsi="PT Serif"/>
          <w:smallCaps/>
          <w:sz w:val="20"/>
          <w:szCs w:val="20"/>
          <w:lang w:val="en-US"/>
        </w:rPr>
        <w:t>Torremans</w:t>
      </w:r>
      <w:r>
        <w:rPr>
          <w:rFonts w:ascii="PT Serif" w:hAnsi="PT Serif"/>
          <w:sz w:val="20"/>
          <w:szCs w:val="20"/>
          <w:lang w:val="en-US"/>
        </w:rPr>
        <w:t xml:space="preserve">, Paul (ed.), </w:t>
      </w:r>
      <w:r>
        <w:rPr>
          <w:rFonts w:ascii="PT Serif" w:hAnsi="PT Serif"/>
          <w:i/>
          <w:sz w:val="20"/>
          <w:szCs w:val="20"/>
          <w:lang w:val="en-US"/>
        </w:rPr>
        <w:t>Intellectual Property and Human Rights</w:t>
      </w:r>
      <w:r>
        <w:rPr>
          <w:rFonts w:ascii="PT Serif" w:hAnsi="PT Serif"/>
          <w:sz w:val="20"/>
          <w:szCs w:val="20"/>
          <w:lang w:val="en-US"/>
        </w:rPr>
        <w:t xml:space="preserve">, Kluwer Law International, Alphen aan den Rijn, 2008, pp. </w:t>
      </w:r>
      <w:r>
        <w:rPr>
          <w:rFonts w:ascii="PT Serif" w:hAnsi="PT Serif"/>
          <w:sz w:val="20"/>
          <w:szCs w:val="20"/>
          <w:lang w:val="en-GB"/>
        </w:rPr>
        <w:t>309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z w:val="20"/>
          <w:szCs w:val="20"/>
          <w:lang w:val="en-GB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Marco Alcalá, </w:t>
      </w:r>
      <w:r>
        <w:rPr>
          <w:rFonts w:ascii="PT Serif" w:hAnsi="PT Serif"/>
          <w:sz w:val="20"/>
          <w:szCs w:val="20"/>
        </w:rPr>
        <w:t xml:space="preserve">Luis Alberto, «Signos ofensivos y signos de escaso gusto en la jurisprudencia comunitaria reciente», 32 </w:t>
      </w:r>
      <w:r>
        <w:rPr>
          <w:rFonts w:ascii="PT Serif" w:hAnsi="PT Serif"/>
          <w:i/>
          <w:iCs/>
          <w:sz w:val="20"/>
          <w:szCs w:val="20"/>
        </w:rPr>
        <w:t>ADI</w:t>
      </w:r>
      <w:r>
        <w:rPr>
          <w:rFonts w:ascii="PT Serif" w:hAnsi="PT Serif"/>
          <w:sz w:val="20"/>
          <w:szCs w:val="20"/>
        </w:rPr>
        <w:t xml:space="preserve"> (2011-12), 2012, pp. 625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mallCaps/>
          <w:sz w:val="20"/>
          <w:szCs w:val="20"/>
          <w:lang w:val="en-US"/>
        </w:rPr>
        <w:t>Ramsey</w:t>
      </w:r>
      <w:r>
        <w:rPr>
          <w:rFonts w:ascii="PT Serif" w:hAnsi="PT Serif"/>
          <w:sz w:val="20"/>
          <w:szCs w:val="20"/>
          <w:lang w:val="en-US"/>
        </w:rPr>
        <w:t xml:space="preserve">, Lisa P.,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Free Speech Challenges to Trademark Law after Matal vs. Tam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Houston Law Review</w:t>
      </w:r>
      <w:r>
        <w:rPr>
          <w:rFonts w:ascii="PT Serif" w:hAnsi="PT Serif"/>
          <w:sz w:val="20"/>
          <w:szCs w:val="20"/>
          <w:lang w:val="en-US"/>
        </w:rPr>
        <w:t xml:space="preserve">, núm. 56-2, 2018, pp. </w:t>
      </w:r>
      <w:r>
        <w:rPr>
          <w:rFonts w:ascii="PT Serif" w:hAnsi="PT Serif"/>
          <w:sz w:val="20"/>
          <w:szCs w:val="20"/>
          <w:lang w:val="en-GB"/>
        </w:rPr>
        <w:t>401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z w:val="20"/>
          <w:szCs w:val="20"/>
          <w:lang w:val="en-GB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>Rubí Puig</w:t>
      </w:r>
      <w:r>
        <w:rPr>
          <w:rFonts w:ascii="PT Serif" w:hAnsi="PT Serif"/>
          <w:sz w:val="20"/>
          <w:szCs w:val="20"/>
        </w:rPr>
        <w:t xml:space="preserve">, Antoni, </w:t>
      </w:r>
      <w:r>
        <w:rPr>
          <w:rFonts w:ascii="PT Serif" w:hAnsi="PT Serif"/>
          <w:i/>
          <w:sz w:val="20"/>
          <w:szCs w:val="20"/>
        </w:rPr>
        <w:t>Publicidad y libertad de expresión</w:t>
      </w:r>
      <w:r>
        <w:rPr>
          <w:rFonts w:ascii="PT Serif" w:hAnsi="PT Serif"/>
          <w:sz w:val="20"/>
          <w:szCs w:val="20"/>
        </w:rPr>
        <w:t>, Civitas, Madrid, 2008.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Snow, </w:t>
      </w:r>
      <w:r>
        <w:rPr>
          <w:rFonts w:ascii="PT Serif" w:hAnsi="PT Serif"/>
          <w:sz w:val="20"/>
          <w:szCs w:val="20"/>
          <w:lang w:val="en-US"/>
        </w:rPr>
        <w:t xml:space="preserve">Ned,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Denying Trademark for Scandalous Speech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 xml:space="preserve">UK Davis Law Review, </w:t>
      </w:r>
      <w:r>
        <w:rPr>
          <w:rFonts w:ascii="PT Serif" w:hAnsi="PT Serif"/>
          <w:sz w:val="20"/>
          <w:szCs w:val="20"/>
          <w:lang w:val="en-US"/>
        </w:rPr>
        <w:t>vol. 51, 2018, pp. 2331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Snow, </w:t>
      </w:r>
      <w:r>
        <w:rPr>
          <w:rFonts w:ascii="PT Serif" w:hAnsi="PT Serif"/>
          <w:sz w:val="20"/>
          <w:szCs w:val="20"/>
          <w:lang w:val="en-US"/>
        </w:rPr>
        <w:t xml:space="preserve">Ned,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Free Speech &amp; Disparaging Trademarks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Boston College Law Review</w:t>
      </w:r>
      <w:r>
        <w:rPr>
          <w:rFonts w:ascii="PT Serif" w:hAnsi="PT Serif"/>
          <w:sz w:val="20"/>
          <w:szCs w:val="20"/>
          <w:lang w:val="en-US"/>
        </w:rPr>
        <w:t>, vol. 57, núm.5, 2016 pp. 1639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Tato Plaza, </w:t>
      </w:r>
      <w:r>
        <w:rPr>
          <w:rFonts w:ascii="PT Serif" w:hAnsi="PT Serif"/>
          <w:sz w:val="20"/>
          <w:szCs w:val="20"/>
        </w:rPr>
        <w:t xml:space="preserve">Anxo, «Publicidad comercial y libertad de expresión en Europa», </w:t>
      </w:r>
      <w:r>
        <w:rPr>
          <w:rFonts w:ascii="PT Serif" w:hAnsi="PT Serif"/>
          <w:i/>
          <w:sz w:val="20"/>
          <w:szCs w:val="20"/>
        </w:rPr>
        <w:t>La Ley</w:t>
      </w:r>
      <w:r>
        <w:rPr>
          <w:rFonts w:ascii="PT Serif" w:hAnsi="PT Serif"/>
          <w:sz w:val="20"/>
          <w:szCs w:val="20"/>
        </w:rPr>
        <w:t>, 1994-3, pp. 988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Tato Plaza, </w:t>
      </w:r>
      <w:r>
        <w:rPr>
          <w:rFonts w:ascii="PT Serif" w:hAnsi="PT Serif"/>
          <w:sz w:val="20"/>
          <w:szCs w:val="20"/>
        </w:rPr>
        <w:t xml:space="preserve">Anxo, «Publicidad comercial y libertad de expresión en la jurisprudencia norteamericana», 24 </w:t>
      </w:r>
      <w:r>
        <w:rPr>
          <w:rFonts w:ascii="PT Serif" w:hAnsi="PT Serif"/>
          <w:i/>
          <w:sz w:val="20"/>
          <w:szCs w:val="20"/>
        </w:rPr>
        <w:t xml:space="preserve">ADI, </w:t>
      </w:r>
      <w:r>
        <w:rPr>
          <w:rFonts w:ascii="PT Serif" w:hAnsi="PT Serif"/>
          <w:sz w:val="20"/>
          <w:szCs w:val="20"/>
        </w:rPr>
        <w:t>1992, pp. 169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Tushnet, </w:t>
      </w:r>
      <w:r>
        <w:rPr>
          <w:rFonts w:ascii="PT Serif" w:hAnsi="PT Serif"/>
          <w:sz w:val="20"/>
          <w:szCs w:val="20"/>
          <w:lang w:val="en-US"/>
        </w:rPr>
        <w:t xml:space="preserve">Rebeca,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The First Amendment Walks into a Bar: Trademark Registration and Free Speech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Notre Dame Law Review</w:t>
      </w:r>
      <w:r>
        <w:rPr>
          <w:rFonts w:ascii="PT Serif" w:hAnsi="PT Serif"/>
          <w:sz w:val="20"/>
          <w:szCs w:val="20"/>
          <w:lang w:val="en-US"/>
        </w:rPr>
        <w:t>, vol. 92, núm. 1, 2016, pp. 381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ca-ES"/>
        </w:rPr>
      </w:pPr>
      <w:r>
        <w:rPr>
          <w:rFonts w:ascii="PT Serif" w:hAnsi="PT Serif"/>
          <w:sz w:val="20"/>
          <w:szCs w:val="20"/>
          <w:lang w:val="ca-ES"/>
        </w:rPr>
      </w:r>
    </w:p>
    <w:sectPr>
      <w:headerReference w:type="even" r:id="rId19"/>
      <w:headerReference w:type="default" r:id="rId20"/>
      <w:headerReference w:type="first" r:id="rId21"/>
      <w:footnotePr>
        <w:numFmt w:val="decimal"/>
      </w:footnotePr>
      <w:type w:val="nextPage"/>
      <w:pgSz w:w="11906" w:h="16838"/>
      <w:pgMar w:left="1701" w:right="1701" w:gutter="0" w:header="709" w:top="1418" w:footer="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charset w:val="01"/>
    <w:family w:val="swiss"/>
    <w:pitch w:val="variable"/>
  </w:font>
  <w:font w:name="PT Serif">
    <w:charset w:val="01"/>
    <w:family w:val="roman"/>
    <w:pitch w:val="variable"/>
  </w:font>
  <w:font w:name="Symbol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t></w:t>
      </w:r>
      <w:r>
        <w:rPr>
          <w:rStyle w:val="FootnoteCharactersuser"/>
        </w:rPr>
        <w:t></w:t>
      </w:r>
      <w:r>
        <w:rPr>
          <w:rStyle w:val="FootnoteCharacters"/>
        </w:rPr>
        <w:t></w:t>
      </w:r>
      <w:r>
        <w:rPr>
          <w:rFonts w:eastAsia="Symbol" w:cs="Symbol" w:ascii="Symbol" w:hAnsi="Symbol"/>
          <w:sz w:val="17"/>
          <w:szCs w:val="17"/>
        </w:rPr>
        <w:sym w:font="Symbol" w:char="f02a"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  <w:highlight w:val="yellow"/>
        </w:rPr>
        <w:t>Autor/a de contacto: nombre completo (correo electrónico).</w:t>
      </w:r>
      <w:r>
        <w:rPr>
          <w:rFonts w:ascii="PT Serif" w:hAnsi="PT Serif"/>
          <w:sz w:val="17"/>
          <w:szCs w:val="17"/>
        </w:rPr>
        <w:t xml:space="preserve"> Primera nota en asterisco de agradecimientos y/o de descripción de los proyectos de investigación en los que se incardina la publicación. </w:t>
      </w:r>
    </w:p>
  </w:footnote>
  <w:footnote w:id="3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4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5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6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7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8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9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0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1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2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3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4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5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80" w:hanging="4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080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440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5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1f1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591f1d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591f1d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591f1d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9096c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591f1d"/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591f1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591f1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Hyperlink">
    <w:name w:val="Hyperlink"/>
    <w:basedOn w:val="DefaultParagraphFont"/>
    <w:uiPriority w:val="99"/>
    <w:unhideWhenUsed/>
    <w:rsid w:val="00591f1d"/>
    <w:rPr>
      <w:color w:themeColor="hyperlink" w:val="0000FF"/>
      <w:u w:val="single"/>
    </w:rPr>
  </w:style>
  <w:style w:type="character" w:styleId="Cursiva" w:customStyle="1">
    <w:name w:val="Cursiva"/>
    <w:basedOn w:val="DefaultParagraphFont"/>
    <w:qFormat/>
    <w:rsid w:val="00591f1d"/>
    <w:rPr>
      <w:rFonts w:ascii="Book Antiqua" w:hAnsi="Book Antiqua"/>
      <w:i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29096c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extonotapieCar" w:customStyle="1">
    <w:name w:val="Texto nota pie Car"/>
    <w:basedOn w:val="DefaultParagraphFont"/>
    <w:link w:val="FootnoteText"/>
    <w:qFormat/>
    <w:rsid w:val="0029096c"/>
    <w:rPr>
      <w:rFonts w:ascii="Book Antiqua" w:hAnsi="Book Antiqua"/>
      <w:sz w:val="18"/>
      <w:szCs w:val="24"/>
    </w:rPr>
  </w:style>
  <w:style w:type="character" w:styleId="FootnoteCharacters">
    <w:name w:val="Footnote Characters"/>
    <w:unhideWhenUsed/>
    <w:qFormat/>
    <w:rsid w:val="0029096c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d67a98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67a98"/>
    <w:rPr/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5"/>
    <w:qFormat/>
    <w:rsid w:val="00591f1d"/>
    <w:pPr>
      <w:spacing w:before="0" w:after="200"/>
      <w:ind w:left="720"/>
      <w:contextualSpacing/>
    </w:pPr>
    <w:rPr/>
  </w:style>
  <w:style w:type="paragraph" w:styleId="Default" w:customStyle="1">
    <w:name w:val="Default"/>
    <w:qFormat/>
    <w:rsid w:val="00591f1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es-ES" w:eastAsia="en-US" w:bidi="ar-SA"/>
    </w:rPr>
  </w:style>
  <w:style w:type="paragraph" w:styleId="TOC4">
    <w:name w:val="toc 4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1191"/>
      <w:jc w:val="both"/>
    </w:pPr>
    <w:rPr>
      <w:rFonts w:ascii="Book Antiqua" w:hAnsi="Book Antiqua" w:eastAsia="Times New Roman" w:cs="Times New Roman"/>
      <w:b/>
      <w:color w:val="0000FF"/>
      <w:sz w:val="21"/>
      <w:szCs w:val="24"/>
      <w:lang w:eastAsia="es-ES"/>
    </w:rPr>
  </w:style>
  <w:style w:type="paragraph" w:styleId="TOC1">
    <w:name w:val="toc 1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482"/>
      <w:jc w:val="both"/>
    </w:pPr>
    <w:rPr>
      <w:rFonts w:ascii="Book Antiqua" w:hAnsi="Book Antiqua" w:eastAsia="Times New Roman" w:cs="Times New Roman"/>
      <w:b/>
      <w:color w:val="0000FF"/>
      <w:sz w:val="21"/>
      <w:szCs w:val="17"/>
      <w:lang w:eastAsia="es-ES"/>
    </w:rPr>
  </w:style>
  <w:style w:type="paragraph" w:styleId="TOC3">
    <w:name w:val="toc 3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964"/>
      <w:jc w:val="both"/>
    </w:pPr>
    <w:rPr>
      <w:rFonts w:ascii="Book Antiqua" w:hAnsi="Book Antiqua" w:eastAsia="Times New Roman" w:cs="Times New Roman"/>
      <w:b/>
      <w:color w:val="0000FF"/>
      <w:sz w:val="21"/>
      <w:szCs w:val="24"/>
      <w:lang w:eastAsia="es-ES"/>
    </w:rPr>
  </w:style>
  <w:style w:type="paragraph" w:styleId="TOC2">
    <w:name w:val="toc 2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720"/>
      <w:jc w:val="both"/>
    </w:pPr>
    <w:rPr>
      <w:rFonts w:ascii="Book Antiqua" w:hAnsi="Book Antiqua" w:eastAsia="Times New Roman" w:cs="Times New Roman"/>
      <w:b/>
      <w:color w:val="0000FF"/>
      <w:sz w:val="21"/>
      <w:szCs w:val="17"/>
      <w:lang w:eastAsia="es-ES"/>
    </w:rPr>
  </w:style>
  <w:style w:type="paragraph" w:styleId="TablaInterior" w:customStyle="1">
    <w:name w:val="Tabla Interior"/>
    <w:basedOn w:val="Normal"/>
    <w:qFormat/>
    <w:rsid w:val="00591f1d"/>
    <w:pPr>
      <w:widowControl w:val="false"/>
      <w:spacing w:lineRule="auto" w:line="288" w:before="0" w:after="0"/>
    </w:pPr>
    <w:rPr>
      <w:rFonts w:ascii="Book Antiqua" w:hAnsi="Book Antiqua" w:eastAsia="Times New Roman" w:cs="Times New Roman"/>
      <w:b/>
      <w:i/>
      <w:iCs/>
      <w:sz w:val="18"/>
      <w:szCs w:val="18"/>
      <w:lang w:eastAsia="es-ES"/>
    </w:rPr>
  </w:style>
  <w:style w:type="paragraph" w:styleId="FootnoteText">
    <w:name w:val="footnote text"/>
    <w:basedOn w:val="Normal"/>
    <w:link w:val="TextonotapieCar"/>
    <w:autoRedefine/>
    <w:unhideWhenUsed/>
    <w:qFormat/>
    <w:rsid w:val="0029096c"/>
    <w:pPr>
      <w:spacing w:lineRule="auto" w:line="240" w:before="0" w:after="0"/>
      <w:jc w:val="both"/>
    </w:pPr>
    <w:rPr>
      <w:rFonts w:ascii="Book Antiqua" w:hAnsi="Book Antiqua"/>
      <w:sz w:val="18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67a9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67a9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59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indret.b.wetopi.com/" TargetMode="External"/><Relationship Id="rId3" Type="http://schemas.openxmlformats.org/officeDocument/2006/relationships/image" Target="media/image1.png"/><Relationship Id="rId4" Type="http://schemas.microsoft.com/office/2007/relationships/hdphoto" Target="media/hdphoto1.wdp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yperlink" Target="http://indret.b.wetopi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header" Target="header10.xml"/><Relationship Id="rId20" Type="http://schemas.openxmlformats.org/officeDocument/2006/relationships/header" Target="header11.xml"/><Relationship Id="rId21" Type="http://schemas.openxmlformats.org/officeDocument/2006/relationships/header" Target="header12.xml"/><Relationship Id="rId22" Type="http://schemas.openxmlformats.org/officeDocument/2006/relationships/footnotes" Target="footnotes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FDC99-14F3-4314-A48E-9A624A1B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C:\Users\u113229\AppData\Local\Temp\Temp1_Plantilla-artículo-InDret.dotx.zip\Plantilla arti╠üculo InDret.dotx</Template>
  <TotalTime>2</TotalTime>
  <Application>LibreOffice/25.2.2.2$MacOSX_AARCH64 LibreOffice_project/7370d4be9e3cf6031a51beef54ff3bda878e3fac</Application>
  <AppVersion>15.0000</AppVersion>
  <Pages>6</Pages>
  <Words>1608</Words>
  <Characters>7671</Characters>
  <CharactersWithSpaces>10052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2026-02-24T09:11:00Z</dcterms:created>
  <dc:creator>u113229</dc:creator>
  <dc:description/>
  <dc:language>ca-ES</dc:language>
  <cp:lastModifiedBy/>
  <cp:lastPrinted>2019-12-18T17:31:00Z</cp:lastPrinted>
  <dcterms:modified xsi:type="dcterms:W3CDTF">2026-03-05T12:06:12Z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