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ertisphere-brand-design-system"/>
    <w:p>
      <w:pPr>
        <w:pStyle w:val="Heading1"/>
      </w:pPr>
      <w:r>
        <w:t xml:space="preserve">CERTISPHERE™ Brand Design System</w:t>
      </w:r>
    </w:p>
    <w:p>
      <w:pPr>
        <w:pStyle w:val="FirstParagraph"/>
      </w:pPr>
      <w:r>
        <w:t xml:space="preserve">This design system defines reusable visual and interaction standards for all CERTISPHERE™ assets—including print, web, video and interactive materials. It ensures that every touchpoint shares a coherent look‑and‑feel that aligns with CERTISPHERE’s values of</w:t>
      </w:r>
      <w:r>
        <w:t xml:space="preserve"> </w:t>
      </w:r>
      <w:r>
        <w:rPr>
          <w:b/>
          <w:bCs/>
        </w:rPr>
        <w:t xml:space="preserve">trust</w:t>
      </w:r>
      <w:r>
        <w:t xml:space="preserve">,</w:t>
      </w:r>
      <w:r>
        <w:t xml:space="preserve"> </w:t>
      </w:r>
      <w:r>
        <w:rPr>
          <w:b/>
          <w:bCs/>
        </w:rPr>
        <w:t xml:space="preserve">assurance</w:t>
      </w:r>
      <w:r>
        <w:t xml:space="preserve">,</w:t>
      </w:r>
      <w:r>
        <w:t xml:space="preserve"> </w:t>
      </w:r>
      <w:r>
        <w:rPr>
          <w:b/>
          <w:bCs/>
        </w:rPr>
        <w:t xml:space="preserve">innovation</w:t>
      </w:r>
      <w:r>
        <w:t xml:space="preserve"> </w:t>
      </w:r>
      <w:r>
        <w:t xml:space="preserve">and</w:t>
      </w:r>
      <w:r>
        <w:t xml:space="preserve"> </w:t>
      </w:r>
      <w:r>
        <w:rPr>
          <w:b/>
          <w:bCs/>
        </w:rPr>
        <w:t xml:space="preserve">continuous improvement</w:t>
      </w:r>
      <w:r>
        <w:t xml:space="preserve">. The guidelines below build on best‑practice research from modern design systems and accessibility requirements【783736926887460†L258-L267】【924004982159976†L40-L47】.</w:t>
      </w:r>
    </w:p>
    <w:bookmarkStart w:id="22" w:name="official-colour-palette-and-gradients"/>
    <w:p>
      <w:pPr>
        <w:pStyle w:val="Heading2"/>
      </w:pPr>
      <w:r>
        <w:t xml:space="preserve">Official colour palette and gradients</w:t>
      </w:r>
    </w:p>
    <w:p>
      <w:pPr>
        <w:pStyle w:val="FirstParagraph"/>
      </w:pPr>
      <w:r>
        <w:t xml:space="preserve">CERTISPHERE’s visual identity is built around a</w:t>
      </w:r>
      <w:r>
        <w:t xml:space="preserve"> </w:t>
      </w:r>
      <w:r>
        <w:rPr>
          <w:b/>
          <w:bCs/>
        </w:rPr>
        <w:t xml:space="preserve">blue‑centric colour palette</w:t>
      </w:r>
      <w:r>
        <w:t xml:space="preserve"> </w:t>
      </w:r>
      <w:r>
        <w:t xml:space="preserve">that conveys trust, professionalism and innovation. The palette comprises deep blues for authority, bright azures for innovation, and neutral whites and greys for clarity. Green and teal accents should be avoided to maintain brand consistency.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Hex</w:t>
            </w:r>
          </w:p>
        </w:tc>
        <w:tc>
          <w:tcPr/>
          <w:p>
            <w:pPr>
              <w:pStyle w:val="Compact"/>
              <w:jc w:val="left"/>
            </w:pPr>
            <w:r>
              <w:t xml:space="preserve">Usage</w:t>
            </w:r>
          </w:p>
        </w:tc>
      </w:tr>
      <w:tr>
        <w:tc>
          <w:tcPr/>
          <w:p>
            <w:pPr>
              <w:pStyle w:val="Compact"/>
              <w:jc w:val="left"/>
            </w:pPr>
            <w:r>
              <w:rPr>
                <w:b/>
                <w:bCs/>
              </w:rPr>
              <w:t xml:space="preserve">Primary</w:t>
            </w:r>
          </w:p>
        </w:tc>
        <w:tc>
          <w:tcPr/>
          <w:p>
            <w:pPr>
              <w:pStyle w:val="Compact"/>
              <w:jc w:val="left"/>
            </w:pPr>
            <w:r>
              <w:rPr>
                <w:b/>
                <w:bCs/>
              </w:rPr>
              <w:t xml:space="preserve">Midnight Navy</w:t>
            </w:r>
          </w:p>
        </w:tc>
        <w:tc>
          <w:tcPr/>
          <w:p>
            <w:pPr>
              <w:pStyle w:val="Compact"/>
              <w:jc w:val="left"/>
            </w:pPr>
            <w:r>
              <w:rPr>
                <w:rStyle w:val="VerbatimChar"/>
              </w:rPr>
              <w:t xml:space="preserve">#0B2345</w:t>
            </w:r>
          </w:p>
        </w:tc>
        <w:tc>
          <w:tcPr/>
          <w:p>
            <w:pPr>
              <w:pStyle w:val="Compact"/>
              <w:jc w:val="left"/>
            </w:pPr>
            <w:r>
              <w:t xml:space="preserve">Used for headings, major interface backgrounds, hero panels and dark UI sections. Provides strong contrast against light text.</w:t>
            </w:r>
          </w:p>
        </w:tc>
      </w:tr>
      <w:tr>
        <w:tc>
          <w:tcPr/>
          <w:p>
            <w:pPr>
              <w:pStyle w:val="Compact"/>
              <w:jc w:val="left"/>
            </w:pPr>
            <w:r>
              <w:rPr>
                <w:b/>
                <w:bCs/>
              </w:rPr>
              <w:t xml:space="preserve">Primary</w:t>
            </w:r>
          </w:p>
        </w:tc>
        <w:tc>
          <w:tcPr/>
          <w:p>
            <w:pPr>
              <w:pStyle w:val="Compact"/>
              <w:jc w:val="left"/>
            </w:pPr>
            <w:r>
              <w:rPr>
                <w:b/>
                <w:bCs/>
              </w:rPr>
              <w:t xml:space="preserve">Corporate Navy</w:t>
            </w:r>
          </w:p>
        </w:tc>
        <w:tc>
          <w:tcPr/>
          <w:p>
            <w:pPr>
              <w:pStyle w:val="Compact"/>
              <w:jc w:val="left"/>
            </w:pPr>
            <w:r>
              <w:rPr>
                <w:rStyle w:val="VerbatimChar"/>
              </w:rPr>
              <w:t xml:space="preserve">#143D73</w:t>
            </w:r>
          </w:p>
        </w:tc>
        <w:tc>
          <w:tcPr/>
          <w:p>
            <w:pPr>
              <w:pStyle w:val="Compact"/>
              <w:jc w:val="left"/>
            </w:pPr>
            <w:r>
              <w:t xml:space="preserve">Secondary dark tone for navigation bars, footers and card outlines. Use for hover states on dark surfaces.</w:t>
            </w:r>
          </w:p>
        </w:tc>
      </w:tr>
      <w:tr>
        <w:tc>
          <w:tcPr/>
          <w:p>
            <w:pPr>
              <w:pStyle w:val="Compact"/>
              <w:jc w:val="left"/>
            </w:pPr>
            <w:r>
              <w:rPr>
                <w:b/>
                <w:bCs/>
              </w:rPr>
              <w:t xml:space="preserve">Accent</w:t>
            </w:r>
          </w:p>
        </w:tc>
        <w:tc>
          <w:tcPr/>
          <w:p>
            <w:pPr>
              <w:pStyle w:val="Compact"/>
              <w:jc w:val="left"/>
            </w:pPr>
            <w:r>
              <w:rPr>
                <w:b/>
                <w:bCs/>
              </w:rPr>
              <w:t xml:space="preserve">Azure Blue</w:t>
            </w:r>
          </w:p>
        </w:tc>
        <w:tc>
          <w:tcPr/>
          <w:p>
            <w:pPr>
              <w:pStyle w:val="Compact"/>
              <w:jc w:val="left"/>
            </w:pPr>
            <w:r>
              <w:rPr>
                <w:rStyle w:val="VerbatimChar"/>
              </w:rPr>
              <w:t xml:space="preserve">#0078D4</w:t>
            </w:r>
          </w:p>
        </w:tc>
        <w:tc>
          <w:tcPr/>
          <w:p>
            <w:pPr>
              <w:pStyle w:val="Compact"/>
              <w:jc w:val="left"/>
            </w:pPr>
            <w:r>
              <w:t xml:space="preserve">Primary accent for call‑to‑action buttons, links and icons. Always paired with white text to meet contrast requirements【783736926887460†L258-L269】.</w:t>
            </w:r>
          </w:p>
        </w:tc>
      </w:tr>
      <w:tr>
        <w:tc>
          <w:tcPr/>
          <w:p>
            <w:pPr>
              <w:pStyle w:val="Compact"/>
              <w:jc w:val="left"/>
            </w:pPr>
            <w:r>
              <w:rPr>
                <w:b/>
                <w:bCs/>
              </w:rPr>
              <w:t xml:space="preserve">Accent</w:t>
            </w:r>
          </w:p>
        </w:tc>
        <w:tc>
          <w:tcPr/>
          <w:p>
            <w:pPr>
              <w:pStyle w:val="Compact"/>
              <w:jc w:val="left"/>
            </w:pPr>
            <w:r>
              <w:rPr>
                <w:b/>
                <w:bCs/>
              </w:rPr>
              <w:t xml:space="preserve">Bright Sky Blue</w:t>
            </w:r>
          </w:p>
        </w:tc>
        <w:tc>
          <w:tcPr/>
          <w:p>
            <w:pPr>
              <w:pStyle w:val="Compact"/>
              <w:jc w:val="left"/>
            </w:pPr>
            <w:r>
              <w:rPr>
                <w:rStyle w:val="VerbatimChar"/>
              </w:rPr>
              <w:t xml:space="preserve">#29A9FF</w:t>
            </w:r>
          </w:p>
        </w:tc>
        <w:tc>
          <w:tcPr/>
          <w:p>
            <w:pPr>
              <w:pStyle w:val="Compact"/>
              <w:jc w:val="left"/>
            </w:pPr>
            <w:r>
              <w:t xml:space="preserve">Secondary accent for highlights, charts, progress indicators and subtle gradients.</w:t>
            </w:r>
          </w:p>
        </w:tc>
      </w:tr>
      <w:tr>
        <w:tc>
          <w:tcPr/>
          <w:p>
            <w:pPr>
              <w:pStyle w:val="Compact"/>
              <w:jc w:val="left"/>
            </w:pPr>
            <w:r>
              <w:rPr>
                <w:b/>
                <w:bCs/>
              </w:rPr>
              <w:t xml:space="preserve">Neutral</w:t>
            </w:r>
          </w:p>
        </w:tc>
        <w:tc>
          <w:tcPr/>
          <w:p>
            <w:pPr>
              <w:pStyle w:val="Compact"/>
              <w:jc w:val="left"/>
            </w:pPr>
            <w:r>
              <w:rPr>
                <w:b/>
                <w:bCs/>
              </w:rPr>
              <w:t xml:space="preserve">Pure White</w:t>
            </w:r>
          </w:p>
        </w:tc>
        <w:tc>
          <w:tcPr/>
          <w:p>
            <w:pPr>
              <w:pStyle w:val="Compact"/>
              <w:jc w:val="left"/>
            </w:pPr>
            <w:r>
              <w:rPr>
                <w:rStyle w:val="VerbatimChar"/>
              </w:rPr>
              <w:t xml:space="preserve">#FFFFFF</w:t>
            </w:r>
          </w:p>
        </w:tc>
        <w:tc>
          <w:tcPr/>
          <w:p>
            <w:pPr>
              <w:pStyle w:val="Compact"/>
              <w:jc w:val="left"/>
            </w:pPr>
            <w:r>
              <w:t xml:space="preserve">Main background colour for pages and panels. Ensures clarity and breathing space.</w:t>
            </w:r>
          </w:p>
        </w:tc>
      </w:tr>
      <w:tr>
        <w:tc>
          <w:tcPr/>
          <w:p>
            <w:pPr>
              <w:pStyle w:val="Compact"/>
              <w:jc w:val="left"/>
            </w:pPr>
            <w:r>
              <w:rPr>
                <w:b/>
                <w:bCs/>
              </w:rPr>
              <w:t xml:space="preserve">Neutral</w:t>
            </w:r>
          </w:p>
        </w:tc>
        <w:tc>
          <w:tcPr/>
          <w:p>
            <w:pPr>
              <w:pStyle w:val="Compact"/>
              <w:jc w:val="left"/>
            </w:pPr>
            <w:r>
              <w:rPr>
                <w:b/>
                <w:bCs/>
              </w:rPr>
              <w:t xml:space="preserve">Soft Grey</w:t>
            </w:r>
          </w:p>
        </w:tc>
        <w:tc>
          <w:tcPr/>
          <w:p>
            <w:pPr>
              <w:pStyle w:val="Compact"/>
              <w:jc w:val="left"/>
            </w:pPr>
            <w:r>
              <w:rPr>
                <w:rStyle w:val="VerbatimChar"/>
              </w:rPr>
              <w:t xml:space="preserve">#F5F7FA</w:t>
            </w:r>
          </w:p>
        </w:tc>
        <w:tc>
          <w:tcPr/>
          <w:p>
            <w:pPr>
              <w:pStyle w:val="Compact"/>
              <w:jc w:val="left"/>
            </w:pPr>
            <w:r>
              <w:t xml:space="preserve">Used for secondary panels, card backgrounds, forms and tables. Provides gentle separation on white backgrounds.</w:t>
            </w:r>
          </w:p>
        </w:tc>
      </w:tr>
      <w:tr>
        <w:tc>
          <w:tcPr/>
          <w:p>
            <w:pPr>
              <w:pStyle w:val="Compact"/>
              <w:jc w:val="left"/>
            </w:pPr>
            <w:r>
              <w:rPr>
                <w:b/>
                <w:bCs/>
              </w:rPr>
              <w:t xml:space="preserve">Highlight Effects</w:t>
            </w:r>
          </w:p>
        </w:tc>
        <w:tc>
          <w:tcPr/>
          <w:p>
            <w:pPr>
              <w:pStyle w:val="Compact"/>
              <w:jc w:val="left"/>
            </w:pPr>
            <w:r>
              <w:rPr>
                <w:i/>
                <w:iCs/>
              </w:rPr>
              <w:t xml:space="preserve">Soft blue glow, white light reflections, subtle glassmorphism, gentle gradients</w:t>
            </w:r>
          </w:p>
        </w:tc>
        <w:tc>
          <w:tcPr/>
          <w:p>
            <w:pPr>
              <w:pStyle w:val="Compact"/>
              <w:jc w:val="left"/>
            </w:pPr>
            <w:r>
              <w:t xml:space="preserve">—</w:t>
            </w:r>
          </w:p>
        </w:tc>
        <w:tc>
          <w:tcPr/>
          <w:p>
            <w:pPr>
              <w:pStyle w:val="Compact"/>
              <w:jc w:val="left"/>
            </w:pPr>
            <w:r>
              <w:t xml:space="preserve">Use overlays and gradients that transition between the primary and accent blues and pure white. Gradients should be subtle and serve as depth cues rather than decorative noise.</w:t>
            </w:r>
          </w:p>
        </w:tc>
      </w:tr>
    </w:tbl>
    <w:bookmarkStart w:id="20" w:name="gradient-guidance"/>
    <w:p>
      <w:pPr>
        <w:pStyle w:val="Heading3"/>
      </w:pPr>
      <w:r>
        <w:t xml:space="preserve">Gradient guidance</w:t>
      </w:r>
    </w:p>
    <w:p>
      <w:pPr>
        <w:pStyle w:val="FirstParagraph"/>
      </w:pPr>
      <w:r>
        <w:t xml:space="preserve">Two main gradient recipes are recommended:</w:t>
      </w:r>
    </w:p>
    <w:p>
      <w:pPr>
        <w:pStyle w:val="Compact"/>
        <w:numPr>
          <w:ilvl w:val="0"/>
          <w:numId w:val="1001"/>
        </w:numPr>
      </w:pPr>
      <w:r>
        <w:rPr>
          <w:b/>
          <w:bCs/>
        </w:rPr>
        <w:t xml:space="preserve">Hero gradient</w:t>
      </w:r>
      <w:r>
        <w:t xml:space="preserve">: Midnight Navy (#0B2345) → Azure Blue (#0078D4) → Bright Sky Blue (#29A9FF). Use for cover backgrounds, hero sections or motion backgrounds.</w:t>
      </w:r>
    </w:p>
    <w:p>
      <w:pPr>
        <w:pStyle w:val="Compact"/>
        <w:numPr>
          <w:ilvl w:val="0"/>
          <w:numId w:val="1001"/>
        </w:numPr>
      </w:pPr>
      <w:r>
        <w:rPr>
          <w:b/>
          <w:bCs/>
        </w:rPr>
        <w:t xml:space="preserve">Surface gradient</w:t>
      </w:r>
      <w:r>
        <w:t xml:space="preserve">: Pure White (#FFFFFF) → Soft Grey (#F5F7FA). Use for cards, panels and interface backgrounds where subtle separation is required.</w:t>
      </w:r>
    </w:p>
    <w:p>
      <w:pPr>
        <w:pStyle w:val="FirstParagraph"/>
      </w:pPr>
      <w:r>
        <w:t xml:space="preserve">Ensure gradients run in a single direction (top‑to‑bottom or left‑to‑right) and maintain smooth transitions. Do not introduce teal or green hues.</w:t>
      </w:r>
    </w:p>
    <w:bookmarkEnd w:id="20"/>
    <w:bookmarkStart w:id="21" w:name="contrast-and-accessibility"/>
    <w:p>
      <w:pPr>
        <w:pStyle w:val="Heading3"/>
      </w:pPr>
      <w:r>
        <w:t xml:space="preserve">Contrast and accessibility</w:t>
      </w:r>
    </w:p>
    <w:p>
      <w:pPr>
        <w:pStyle w:val="FirstParagraph"/>
      </w:pPr>
      <w:r>
        <w:t xml:space="preserve">Text and interactive elements must meet WCAG 2.2 contrast standards【924004982159976†L40-L47】. This means a minimum contrast ratio of</w:t>
      </w:r>
      <w:r>
        <w:t xml:space="preserve"> </w:t>
      </w:r>
      <w:r>
        <w:rPr>
          <w:b/>
          <w:bCs/>
        </w:rPr>
        <w:t xml:space="preserve">4.5:1</w:t>
      </w:r>
      <w:r>
        <w:t xml:space="preserve"> </w:t>
      </w:r>
      <w:r>
        <w:t xml:space="preserve">for normal text against backgrounds, and</w:t>
      </w:r>
      <w:r>
        <w:t xml:space="preserve"> </w:t>
      </w:r>
      <w:r>
        <w:rPr>
          <w:b/>
          <w:bCs/>
        </w:rPr>
        <w:t xml:space="preserve">3:1</w:t>
      </w:r>
      <w:r>
        <w:t xml:space="preserve"> </w:t>
      </w:r>
      <w:r>
        <w:t xml:space="preserve">for large or bold text. Use colour pairings such as Midnight Navy on white, Azure Blue on white, or white on Midnight Navy. Logos and purely decorative text are exempt【924004982159976†L40-L57】.</w:t>
      </w:r>
    </w:p>
    <w:bookmarkEnd w:id="21"/>
    <w:bookmarkEnd w:id="22"/>
    <w:bookmarkStart w:id="25" w:name="typography-hierarchy"/>
    <w:p>
      <w:pPr>
        <w:pStyle w:val="Heading2"/>
      </w:pPr>
      <w:r>
        <w:t xml:space="preserve">Typography hierarchy</w:t>
      </w:r>
    </w:p>
    <w:p>
      <w:pPr>
        <w:pStyle w:val="FirstParagraph"/>
      </w:pPr>
      <w:r>
        <w:t xml:space="preserve">Typography conveys hierarchy, tone and readability. CERTISPHERE uses</w:t>
      </w:r>
      <w:r>
        <w:t xml:space="preserve"> </w:t>
      </w:r>
      <w:r>
        <w:rPr>
          <w:b/>
          <w:bCs/>
        </w:rPr>
        <w:t xml:space="preserve">Aptos</w:t>
      </w:r>
      <w:r>
        <w:t xml:space="preserve"> </w:t>
      </w:r>
      <w:r>
        <w:t xml:space="preserve">for digital applications. When typesetting PDFs or printed materials,</w:t>
      </w:r>
      <w:r>
        <w:t xml:space="preserve"> </w:t>
      </w:r>
      <w:r>
        <w:rPr>
          <w:b/>
          <w:bCs/>
        </w:rPr>
        <w:t xml:space="preserve">Avenir</w:t>
      </w:r>
      <w:r>
        <w:t xml:space="preserve"> </w:t>
      </w:r>
      <w:r>
        <w:t xml:space="preserve">(or</w:t>
      </w:r>
      <w:r>
        <w:t xml:space="preserve"> </w:t>
      </w:r>
      <w:r>
        <w:rPr>
          <w:b/>
          <w:bCs/>
        </w:rPr>
        <w:t xml:space="preserve">Segoe UI</w:t>
      </w:r>
      <w:r>
        <w:t xml:space="preserve"> </w:t>
      </w:r>
      <w:r>
        <w:t xml:space="preserve">if Avenir is unavailable) may be used. Both fonts pair geometric forms with modern legibility, reflecting our technological focus.</w:t>
      </w:r>
    </w:p>
    <w:bookmarkStart w:id="23" w:name="font-sizes-and-line-heights"/>
    <w:p>
      <w:pPr>
        <w:pStyle w:val="Heading3"/>
      </w:pPr>
      <w:r>
        <w:t xml:space="preserve">Font sizes and line heights</w:t>
      </w:r>
    </w:p>
    <w:p>
      <w:pPr>
        <w:pStyle w:val="FirstParagraph"/>
      </w:pPr>
      <w:r>
        <w:t xml:space="preserve">Based on government accessibility guidelines【783736926887460†L258-L267】【783736926887460†L319-L323】, body text should be set at</w:t>
      </w:r>
      <w:r>
        <w:t xml:space="preserve"> </w:t>
      </w:r>
      <w:r>
        <w:rPr>
          <w:b/>
          <w:bCs/>
        </w:rPr>
        <w:t xml:space="preserve">16 px</w:t>
      </w:r>
      <w:r>
        <w:t xml:space="preserve"> </w:t>
      </w:r>
      <w:r>
        <w:t xml:space="preserve">or larger. Headlines and subheadings scale up in a modular ratio. Suggested sizes and line heights 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Level</w:t>
            </w:r>
          </w:p>
        </w:tc>
        <w:tc>
          <w:tcPr/>
          <w:p>
            <w:pPr>
              <w:pStyle w:val="Compact"/>
              <w:jc w:val="left"/>
            </w:pPr>
            <w:r>
              <w:t xml:space="preserve">Font</w:t>
            </w:r>
          </w:p>
        </w:tc>
        <w:tc>
          <w:tcPr/>
          <w:p>
            <w:pPr>
              <w:pStyle w:val="Compact"/>
              <w:jc w:val="left"/>
            </w:pPr>
            <w:r>
              <w:t xml:space="preserve">Weight</w:t>
            </w:r>
          </w:p>
        </w:tc>
        <w:tc>
          <w:tcPr/>
          <w:p>
            <w:pPr>
              <w:pStyle w:val="Compact"/>
              <w:jc w:val="left"/>
            </w:pPr>
            <w:r>
              <w:t xml:space="preserve">Size</w:t>
            </w:r>
          </w:p>
        </w:tc>
        <w:tc>
          <w:tcPr/>
          <w:p>
            <w:pPr>
              <w:pStyle w:val="Compact"/>
              <w:jc w:val="left"/>
            </w:pPr>
            <w:r>
              <w:t xml:space="preserve">Line height</w:t>
            </w:r>
          </w:p>
        </w:tc>
        <w:tc>
          <w:tcPr/>
          <w:p>
            <w:pPr>
              <w:pStyle w:val="Compact"/>
              <w:jc w:val="left"/>
            </w:pPr>
            <w:r>
              <w:t xml:space="preserve">Usage</w:t>
            </w:r>
          </w:p>
        </w:tc>
      </w:tr>
      <w:tr>
        <w:tc>
          <w:tcPr/>
          <w:p>
            <w:pPr>
              <w:pStyle w:val="Compact"/>
              <w:jc w:val="left"/>
            </w:pPr>
            <w:r>
              <w:t xml:space="preserve">H1</w:t>
            </w:r>
          </w:p>
        </w:tc>
        <w:tc>
          <w:tcPr/>
          <w:p>
            <w:pPr>
              <w:pStyle w:val="Compact"/>
              <w:jc w:val="left"/>
            </w:pPr>
            <w:r>
              <w:t xml:space="preserve">Aptos Bold</w:t>
            </w:r>
          </w:p>
        </w:tc>
        <w:tc>
          <w:tcPr/>
          <w:p>
            <w:pPr>
              <w:pStyle w:val="Compact"/>
              <w:jc w:val="left"/>
            </w:pPr>
            <w:r>
              <w:t xml:space="preserve">Semibold</w:t>
            </w:r>
          </w:p>
        </w:tc>
        <w:tc>
          <w:tcPr/>
          <w:p>
            <w:pPr>
              <w:pStyle w:val="Compact"/>
              <w:jc w:val="left"/>
            </w:pPr>
            <w:r>
              <w:t xml:space="preserve">56 px</w:t>
            </w:r>
          </w:p>
        </w:tc>
        <w:tc>
          <w:tcPr/>
          <w:p>
            <w:pPr>
              <w:pStyle w:val="Compact"/>
              <w:jc w:val="left"/>
            </w:pPr>
            <w:r>
              <w:t xml:space="preserve">1.1</w:t>
            </w:r>
          </w:p>
        </w:tc>
        <w:tc>
          <w:tcPr/>
          <w:p>
            <w:pPr>
              <w:pStyle w:val="Compact"/>
              <w:jc w:val="left"/>
            </w:pPr>
            <w:r>
              <w:t xml:space="preserve">Cover titles and hero headlines.</w:t>
            </w:r>
          </w:p>
        </w:tc>
      </w:tr>
      <w:tr>
        <w:tc>
          <w:tcPr/>
          <w:p>
            <w:pPr>
              <w:pStyle w:val="Compact"/>
              <w:jc w:val="left"/>
            </w:pPr>
            <w:r>
              <w:t xml:space="preserve">H2</w:t>
            </w:r>
          </w:p>
        </w:tc>
        <w:tc>
          <w:tcPr/>
          <w:p>
            <w:pPr>
              <w:pStyle w:val="Compact"/>
              <w:jc w:val="left"/>
            </w:pPr>
            <w:r>
              <w:t xml:space="preserve">Aptos Bold</w:t>
            </w:r>
          </w:p>
        </w:tc>
        <w:tc>
          <w:tcPr/>
          <w:p>
            <w:pPr>
              <w:pStyle w:val="Compact"/>
              <w:jc w:val="left"/>
            </w:pPr>
            <w:r>
              <w:t xml:space="preserve">Semibold</w:t>
            </w:r>
          </w:p>
        </w:tc>
        <w:tc>
          <w:tcPr/>
          <w:p>
            <w:pPr>
              <w:pStyle w:val="Compact"/>
              <w:jc w:val="left"/>
            </w:pPr>
            <w:r>
              <w:t xml:space="preserve">40 px</w:t>
            </w:r>
          </w:p>
        </w:tc>
        <w:tc>
          <w:tcPr/>
          <w:p>
            <w:pPr>
              <w:pStyle w:val="Compact"/>
              <w:jc w:val="left"/>
            </w:pPr>
            <w:r>
              <w:t xml:space="preserve">1.1</w:t>
            </w:r>
          </w:p>
        </w:tc>
        <w:tc>
          <w:tcPr/>
          <w:p>
            <w:pPr>
              <w:pStyle w:val="Compact"/>
              <w:jc w:val="left"/>
            </w:pPr>
            <w:r>
              <w:t xml:space="preserve">Section titles.</w:t>
            </w:r>
          </w:p>
        </w:tc>
      </w:tr>
      <w:tr>
        <w:tc>
          <w:tcPr/>
          <w:p>
            <w:pPr>
              <w:pStyle w:val="Compact"/>
              <w:jc w:val="left"/>
            </w:pPr>
            <w:r>
              <w:t xml:space="preserve">H3</w:t>
            </w:r>
          </w:p>
        </w:tc>
        <w:tc>
          <w:tcPr/>
          <w:p>
            <w:pPr>
              <w:pStyle w:val="Compact"/>
              <w:jc w:val="left"/>
            </w:pPr>
            <w:r>
              <w:t xml:space="preserve">Aptos Bold</w:t>
            </w:r>
          </w:p>
        </w:tc>
        <w:tc>
          <w:tcPr/>
          <w:p>
            <w:pPr>
              <w:pStyle w:val="Compact"/>
              <w:jc w:val="left"/>
            </w:pPr>
            <w:r>
              <w:t xml:space="preserve">Semibold</w:t>
            </w:r>
          </w:p>
        </w:tc>
        <w:tc>
          <w:tcPr/>
          <w:p>
            <w:pPr>
              <w:pStyle w:val="Compact"/>
              <w:jc w:val="left"/>
            </w:pPr>
            <w:r>
              <w:t xml:space="preserve">32 px</w:t>
            </w:r>
          </w:p>
        </w:tc>
        <w:tc>
          <w:tcPr/>
          <w:p>
            <w:pPr>
              <w:pStyle w:val="Compact"/>
              <w:jc w:val="left"/>
            </w:pPr>
            <w:r>
              <w:t xml:space="preserve">1.2</w:t>
            </w:r>
          </w:p>
        </w:tc>
        <w:tc>
          <w:tcPr/>
          <w:p>
            <w:pPr>
              <w:pStyle w:val="Compact"/>
              <w:jc w:val="left"/>
            </w:pPr>
            <w:r>
              <w:t xml:space="preserve">Subsection headings.</w:t>
            </w:r>
          </w:p>
        </w:tc>
      </w:tr>
      <w:tr>
        <w:tc>
          <w:tcPr/>
          <w:p>
            <w:pPr>
              <w:pStyle w:val="Compact"/>
              <w:jc w:val="left"/>
            </w:pPr>
            <w:r>
              <w:t xml:space="preserve">H4</w:t>
            </w:r>
          </w:p>
        </w:tc>
        <w:tc>
          <w:tcPr/>
          <w:p>
            <w:pPr>
              <w:pStyle w:val="Compact"/>
              <w:jc w:val="left"/>
            </w:pPr>
            <w:r>
              <w:t xml:space="preserve">Aptos Regular</w:t>
            </w:r>
          </w:p>
        </w:tc>
        <w:tc>
          <w:tcPr/>
          <w:p>
            <w:pPr>
              <w:pStyle w:val="Compact"/>
              <w:jc w:val="left"/>
            </w:pPr>
            <w:r>
              <w:t xml:space="preserve">Semibold</w:t>
            </w:r>
          </w:p>
        </w:tc>
        <w:tc>
          <w:tcPr/>
          <w:p>
            <w:pPr>
              <w:pStyle w:val="Compact"/>
              <w:jc w:val="left"/>
            </w:pPr>
            <w:r>
              <w:t xml:space="preserve">24 px</w:t>
            </w:r>
          </w:p>
        </w:tc>
        <w:tc>
          <w:tcPr/>
          <w:p>
            <w:pPr>
              <w:pStyle w:val="Compact"/>
              <w:jc w:val="left"/>
            </w:pPr>
            <w:r>
              <w:t xml:space="preserve">1.3</w:t>
            </w:r>
          </w:p>
        </w:tc>
        <w:tc>
          <w:tcPr/>
          <w:p>
            <w:pPr>
              <w:pStyle w:val="Compact"/>
              <w:jc w:val="left"/>
            </w:pPr>
            <w:r>
              <w:t xml:space="preserve">Page subtitles and callouts.</w:t>
            </w:r>
          </w:p>
        </w:tc>
      </w:tr>
      <w:tr>
        <w:tc>
          <w:tcPr/>
          <w:p>
            <w:pPr>
              <w:pStyle w:val="Compact"/>
              <w:jc w:val="left"/>
            </w:pPr>
            <w:r>
              <w:t xml:space="preserve">Body</w:t>
            </w:r>
          </w:p>
        </w:tc>
        <w:tc>
          <w:tcPr/>
          <w:p>
            <w:pPr>
              <w:pStyle w:val="Compact"/>
              <w:jc w:val="left"/>
            </w:pPr>
            <w:r>
              <w:t xml:space="preserve">Aptos Regular</w:t>
            </w:r>
          </w:p>
        </w:tc>
        <w:tc>
          <w:tcPr/>
          <w:p>
            <w:pPr>
              <w:pStyle w:val="Compact"/>
              <w:jc w:val="left"/>
            </w:pPr>
            <w:r>
              <w:t xml:space="preserve">Regular</w:t>
            </w:r>
          </w:p>
        </w:tc>
        <w:tc>
          <w:tcPr/>
          <w:p>
            <w:pPr>
              <w:pStyle w:val="Compact"/>
              <w:jc w:val="left"/>
            </w:pPr>
            <w:r>
              <w:t xml:space="preserve">16 px</w:t>
            </w:r>
          </w:p>
        </w:tc>
        <w:tc>
          <w:tcPr/>
          <w:p>
            <w:pPr>
              <w:pStyle w:val="Compact"/>
              <w:jc w:val="left"/>
            </w:pPr>
            <w:r>
              <w:t xml:space="preserve">1.5</w:t>
            </w:r>
          </w:p>
        </w:tc>
        <w:tc>
          <w:tcPr/>
          <w:p>
            <w:pPr>
              <w:pStyle w:val="Compact"/>
              <w:jc w:val="left"/>
            </w:pPr>
            <w:r>
              <w:t xml:space="preserve">Main content paragraphs; ensure comfortable reading length【783736926887460†L258-L267】.</w:t>
            </w:r>
          </w:p>
        </w:tc>
      </w:tr>
      <w:tr>
        <w:tc>
          <w:tcPr/>
          <w:p>
            <w:pPr>
              <w:pStyle w:val="Compact"/>
              <w:jc w:val="left"/>
            </w:pPr>
            <w:r>
              <w:t xml:space="preserve">Small text</w:t>
            </w:r>
          </w:p>
        </w:tc>
        <w:tc>
          <w:tcPr/>
          <w:p>
            <w:pPr>
              <w:pStyle w:val="Compact"/>
              <w:jc w:val="left"/>
            </w:pPr>
            <w:r>
              <w:t xml:space="preserve">Aptos Regular</w:t>
            </w:r>
          </w:p>
        </w:tc>
        <w:tc>
          <w:tcPr/>
          <w:p>
            <w:pPr>
              <w:pStyle w:val="Compact"/>
              <w:jc w:val="left"/>
            </w:pPr>
            <w:r>
              <w:t xml:space="preserve">Regular</w:t>
            </w:r>
          </w:p>
        </w:tc>
        <w:tc>
          <w:tcPr/>
          <w:p>
            <w:pPr>
              <w:pStyle w:val="Compact"/>
              <w:jc w:val="left"/>
            </w:pPr>
            <w:r>
              <w:t xml:space="preserve">14 px</w:t>
            </w:r>
          </w:p>
        </w:tc>
        <w:tc>
          <w:tcPr/>
          <w:p>
            <w:pPr>
              <w:pStyle w:val="Compact"/>
              <w:jc w:val="left"/>
            </w:pPr>
            <w:r>
              <w:t xml:space="preserve">1.4</w:t>
            </w:r>
          </w:p>
        </w:tc>
        <w:tc>
          <w:tcPr/>
          <w:p>
            <w:pPr>
              <w:pStyle w:val="Compact"/>
              <w:jc w:val="left"/>
            </w:pPr>
            <w:r>
              <w:t xml:space="preserve">Captions, footnotes, table labels. Use sparingly【783736926887460†L260-L270】.</w:t>
            </w:r>
          </w:p>
        </w:tc>
      </w:tr>
    </w:tbl>
    <w:p>
      <w:pPr>
        <w:pStyle w:val="BodyText"/>
      </w:pPr>
      <w:r>
        <w:t xml:space="preserve">Use</w:t>
      </w:r>
      <w:r>
        <w:t xml:space="preserve"> </w:t>
      </w:r>
      <w:r>
        <w:rPr>
          <w:b/>
          <w:bCs/>
        </w:rPr>
        <w:t xml:space="preserve">left‑aligned text</w:t>
      </w:r>
      <w:r>
        <w:t xml:space="preserve"> </w:t>
      </w:r>
      <w:r>
        <w:t xml:space="preserve">for running paragraphs to improve readability【783736926887460†L272-L280】. Keep line lengths between</w:t>
      </w:r>
      <w:r>
        <w:t xml:space="preserve"> </w:t>
      </w:r>
      <w:r>
        <w:rPr>
          <w:b/>
          <w:bCs/>
        </w:rPr>
        <w:t xml:space="preserve">45–90 characters</w:t>
      </w:r>
      <w:r>
        <w:t xml:space="preserve">【783736926887460†L285-L302】 and ensure headings are visually closer to the content they introduce than to preceding content【783736926887460†L349-L367】. For paragraphs, use at least</w:t>
      </w:r>
      <w:r>
        <w:t xml:space="preserve"> </w:t>
      </w:r>
      <w:r>
        <w:rPr>
          <w:b/>
          <w:bCs/>
        </w:rPr>
        <w:t xml:space="preserve">1 em</w:t>
      </w:r>
      <w:r>
        <w:t xml:space="preserve"> </w:t>
      </w:r>
      <w:r>
        <w:t xml:space="preserve">of whitespace before each new paragraph【783736926887460†L354-L359】.</w:t>
      </w:r>
    </w:p>
    <w:bookmarkEnd w:id="23"/>
    <w:bookmarkStart w:id="24" w:name="hierarchy-and-emphasis"/>
    <w:p>
      <w:pPr>
        <w:pStyle w:val="Heading3"/>
      </w:pPr>
      <w:r>
        <w:t xml:space="preserve">Hierarchy and emphasis</w:t>
      </w:r>
    </w:p>
    <w:p>
      <w:pPr>
        <w:pStyle w:val="FirstParagraph"/>
      </w:pPr>
      <w:r>
        <w:t xml:space="preserve">Headlines should be bold and use the darkest colours (Midnight Navy) to convey authority. Subheadings may use Corporate Navy. Body text uses dark grey (#1F2937) or Midnight Navy at 85 % opacity. Emphasize important words using</w:t>
      </w:r>
      <w:r>
        <w:t xml:space="preserve"> </w:t>
      </w:r>
      <w:r>
        <w:rPr>
          <w:b/>
          <w:bCs/>
        </w:rPr>
        <w:t xml:space="preserve">Aptos Semibold</w:t>
      </w:r>
      <w:r>
        <w:t xml:space="preserve"> </w:t>
      </w:r>
      <w:r>
        <w:t xml:space="preserve">or italic. Avoid using underlines except for links, which should appear in Azure Blue with an underline on hover.</w:t>
      </w:r>
    </w:p>
    <w:bookmarkEnd w:id="24"/>
    <w:bookmarkEnd w:id="25"/>
    <w:bookmarkStart w:id="26" w:name="iconography-style"/>
    <w:p>
      <w:pPr>
        <w:pStyle w:val="Heading2"/>
      </w:pPr>
      <w:r>
        <w:t xml:space="preserve">Iconography style</w:t>
      </w:r>
    </w:p>
    <w:p>
      <w:pPr>
        <w:pStyle w:val="FirstParagraph"/>
      </w:pPr>
      <w:r>
        <w:t xml:space="preserve">Icons serve as visual anchors for concepts like AI, governance, workflow and security. Following guidelines from Athennian’s brand iconography【451322905967848†L19-L21】, CERTISPHERE icons should:</w:t>
      </w:r>
    </w:p>
    <w:p>
      <w:pPr>
        <w:pStyle w:val="Compact"/>
        <w:numPr>
          <w:ilvl w:val="0"/>
          <w:numId w:val="1002"/>
        </w:numPr>
      </w:pPr>
      <w:r>
        <w:rPr>
          <w:b/>
          <w:bCs/>
        </w:rPr>
        <w:t xml:space="preserve">Use a minimal colour palette</w:t>
      </w:r>
      <w:r>
        <w:t xml:space="preserve">—only the primary and accent blues. Icons can reverse to white on dark backgrounds.</w:t>
      </w:r>
    </w:p>
    <w:p>
      <w:pPr>
        <w:pStyle w:val="Compact"/>
        <w:numPr>
          <w:ilvl w:val="0"/>
          <w:numId w:val="1002"/>
        </w:numPr>
      </w:pPr>
      <w:r>
        <w:rPr>
          <w:b/>
          <w:bCs/>
        </w:rPr>
        <w:t xml:space="preserve">Be flat, with little to no depth</w:t>
      </w:r>
      <w:r>
        <w:t xml:space="preserve">; avoid gradients within icons.</w:t>
      </w:r>
    </w:p>
    <w:p>
      <w:pPr>
        <w:pStyle w:val="Compact"/>
        <w:numPr>
          <w:ilvl w:val="0"/>
          <w:numId w:val="1002"/>
        </w:numPr>
      </w:pPr>
      <w:r>
        <w:rPr>
          <w:b/>
          <w:bCs/>
        </w:rPr>
        <w:t xml:space="preserve">Use simple, identifiable shapes</w:t>
      </w:r>
      <w:r>
        <w:t xml:space="preserve"> </w:t>
      </w:r>
      <w:r>
        <w:t xml:space="preserve">that clearly represent the concept (e.g., a shield for security, network nodes for collaboration).</w:t>
      </w:r>
    </w:p>
    <w:p>
      <w:pPr>
        <w:pStyle w:val="Compact"/>
        <w:numPr>
          <w:ilvl w:val="0"/>
          <w:numId w:val="1002"/>
        </w:numPr>
      </w:pPr>
      <w:r>
        <w:rPr>
          <w:b/>
          <w:bCs/>
        </w:rPr>
        <w:t xml:space="preserve">Use consistent stroke widths</w:t>
      </w:r>
      <w:r>
        <w:t xml:space="preserve"> </w:t>
      </w:r>
      <w:r>
        <w:t xml:space="preserve">(e.g., 2 px for a 24 px icon) and rounded corner caps.</w:t>
      </w:r>
    </w:p>
    <w:p>
      <w:pPr>
        <w:pStyle w:val="Compact"/>
        <w:numPr>
          <w:ilvl w:val="0"/>
          <w:numId w:val="1002"/>
        </w:numPr>
      </w:pPr>
      <w:r>
        <w:rPr>
          <w:b/>
          <w:bCs/>
        </w:rPr>
        <w:t xml:space="preserve">Integrate naturally</w:t>
      </w:r>
      <w:r>
        <w:t xml:space="preserve"> </w:t>
      </w:r>
      <w:r>
        <w:t xml:space="preserve">within layouts; do not float icons without accompanying labels【451322905967848†L23-L25】.</w:t>
      </w:r>
    </w:p>
    <w:p>
      <w:pPr>
        <w:pStyle w:val="FirstParagraph"/>
      </w:pPr>
      <w:r>
        <w:t xml:space="preserve">Icon sizes should scale in multiples of 4 px (16 px, 20 px, 24 px, 32 px). Use solid fills only for special states (e.g., active notifications) and outline style for default states.</w:t>
      </w:r>
    </w:p>
    <w:bookmarkEnd w:id="26"/>
    <w:bookmarkStart w:id="27" w:name="illustration-rules"/>
    <w:p>
      <w:pPr>
        <w:pStyle w:val="Heading2"/>
      </w:pPr>
      <w:r>
        <w:t xml:space="preserve">Illustration rules</w:t>
      </w:r>
    </w:p>
    <w:p>
      <w:pPr>
        <w:pStyle w:val="FirstParagraph"/>
      </w:pPr>
      <w:r>
        <w:t xml:space="preserve">Illustrations communicate complex ideas like compliance workflows and AI‑enabled certification. Inspired by Pixelmatters’ advice【430696800832688†L69-L81】, our illustration guidelines emphasise:</w:t>
      </w:r>
    </w:p>
    <w:p>
      <w:pPr>
        <w:pStyle w:val="Compact"/>
        <w:numPr>
          <w:ilvl w:val="0"/>
          <w:numId w:val="1003"/>
        </w:numPr>
      </w:pPr>
      <w:r>
        <w:rPr>
          <w:b/>
          <w:bCs/>
        </w:rPr>
        <w:t xml:space="preserve">Narrative and values</w:t>
      </w:r>
      <w:r>
        <w:t xml:space="preserve">: Illustrations should highlight our core values—precision, transparency, collaboration and continual improvement【430696800832688†L96-L112】. Depict abstract concepts through metaphors (e.g., interconnected nodes for collaboration). Avoid literal depictions of people to keep focus on universal ideas.</w:t>
      </w:r>
    </w:p>
    <w:p>
      <w:pPr>
        <w:pStyle w:val="Compact"/>
        <w:numPr>
          <w:ilvl w:val="0"/>
          <w:numId w:val="1003"/>
        </w:numPr>
      </w:pPr>
      <w:r>
        <w:rPr>
          <w:b/>
          <w:bCs/>
        </w:rPr>
        <w:t xml:space="preserve">Defined style</w:t>
      </w:r>
      <w:r>
        <w:t xml:space="preserve">: Use vector‑based artwork with a consistent stroke weight and geometric simplicity. Apply soft shadows and glassmorphism effects for depth. Limit colours to the official palette; only white, Midnight Navy, Corporate Navy, Azure Blue and Bright Sky Blue may appear in the artwork. Gradients should be subtle and avoid adding new hues.</w:t>
      </w:r>
    </w:p>
    <w:p>
      <w:pPr>
        <w:pStyle w:val="Compact"/>
        <w:numPr>
          <w:ilvl w:val="0"/>
          <w:numId w:val="1003"/>
        </w:numPr>
      </w:pPr>
      <w:r>
        <w:rPr>
          <w:b/>
          <w:bCs/>
        </w:rPr>
        <w:t xml:space="preserve">Work‑in‑progress aesthetic</w:t>
      </w:r>
      <w:r>
        <w:t xml:space="preserve">: Illustrations may show layers, outlines or grids to signal continual improvement【430696800832688†L115-L121】.</w:t>
      </w:r>
    </w:p>
    <w:p>
      <w:pPr>
        <w:pStyle w:val="Compact"/>
        <w:numPr>
          <w:ilvl w:val="0"/>
          <w:numId w:val="1003"/>
        </w:numPr>
      </w:pPr>
      <w:r>
        <w:rPr>
          <w:b/>
          <w:bCs/>
        </w:rPr>
        <w:t xml:space="preserve">Guideline documentation</w:t>
      </w:r>
      <w:r>
        <w:t xml:space="preserve">: Specify stroke sizes, shadow direction and light sources. For example, default stroke:</w:t>
      </w:r>
      <w:r>
        <w:t xml:space="preserve"> </w:t>
      </w:r>
      <w:r>
        <w:rPr>
          <w:b/>
          <w:bCs/>
        </w:rPr>
        <w:t xml:space="preserve">2 px</w:t>
      </w:r>
      <w:r>
        <w:t xml:space="preserve"> </w:t>
      </w:r>
      <w:r>
        <w:t xml:space="preserve">with square caps; light source: top‑left with 15° elevation. Being explicit removes ambiguity【430696800832688†L125-L139】.</w:t>
      </w:r>
    </w:p>
    <w:p>
      <w:pPr>
        <w:pStyle w:val="Compact"/>
        <w:numPr>
          <w:ilvl w:val="0"/>
          <w:numId w:val="1003"/>
        </w:numPr>
      </w:pPr>
      <w:r>
        <w:rPr>
          <w:b/>
          <w:bCs/>
        </w:rPr>
        <w:t xml:space="preserve">Accessibility</w:t>
      </w:r>
      <w:r>
        <w:t xml:space="preserve">: Provide alt text for every illustration describing the concept. Ensure enough contrast between illustration elements and their backgrounds.</w:t>
      </w:r>
    </w:p>
    <w:bookmarkEnd w:id="27"/>
    <w:bookmarkStart w:id="29" w:name="motion-graphics-language"/>
    <w:p>
      <w:pPr>
        <w:pStyle w:val="Heading2"/>
      </w:pPr>
      <w:r>
        <w:t xml:space="preserve">Motion graphics language</w:t>
      </w:r>
    </w:p>
    <w:p>
      <w:pPr>
        <w:pStyle w:val="FirstParagraph"/>
      </w:pPr>
      <w:r>
        <w:t xml:space="preserve">Motion should guide the viewer and create</w:t>
      </w:r>
      <w:r>
        <w:t xml:space="preserve"> </w:t>
      </w:r>
      <w:r>
        <w:rPr>
          <w:b/>
          <w:bCs/>
        </w:rPr>
        <w:t xml:space="preserve">delightful, purposeful transitions</w:t>
      </w:r>
      <w:r>
        <w:t xml:space="preserve">. Webflow’s motion principles emphasise constructing narratives layer by layer, smooth transitions, and accessibility【262132255932641†L759-L792】. Adapted for CERTISPHERE:</w:t>
      </w:r>
    </w:p>
    <w:p>
      <w:pPr>
        <w:pStyle w:val="Compact"/>
        <w:numPr>
          <w:ilvl w:val="0"/>
          <w:numId w:val="1004"/>
        </w:numPr>
      </w:pPr>
      <w:r>
        <w:rPr>
          <w:b/>
          <w:bCs/>
        </w:rPr>
        <w:t xml:space="preserve">Purposeful motion</w:t>
      </w:r>
      <w:r>
        <w:t xml:space="preserve"> </w:t>
      </w:r>
      <w:r>
        <w:t xml:space="preserve">– Use animation to</w:t>
      </w:r>
      <w:r>
        <w:t xml:space="preserve"> </w:t>
      </w:r>
      <w:r>
        <w:rPr>
          <w:b/>
          <w:bCs/>
        </w:rPr>
        <w:t xml:space="preserve">build</w:t>
      </w:r>
      <w:r>
        <w:t xml:space="preserve"> </w:t>
      </w:r>
      <w:r>
        <w:t xml:space="preserve">content gradually: reveal elements one at a time to imply growth, transformation and emergence【262132255932641†L771-L776】. This reinforces the idea of continuous improvement.</w:t>
      </w:r>
    </w:p>
    <w:p>
      <w:pPr>
        <w:pStyle w:val="Compact"/>
        <w:numPr>
          <w:ilvl w:val="0"/>
          <w:numId w:val="1004"/>
        </w:numPr>
      </w:pPr>
      <w:r>
        <w:rPr>
          <w:b/>
          <w:bCs/>
        </w:rPr>
        <w:t xml:space="preserve">Enhance focus</w:t>
      </w:r>
      <w:r>
        <w:t xml:space="preserve"> </w:t>
      </w:r>
      <w:r>
        <w:t xml:space="preserve">– Zoom, crop or pan to highlight the main idea【262132255932641†L780-L785】. Use slow camera moves to draw attention to key data or features.</w:t>
      </w:r>
    </w:p>
    <w:p>
      <w:pPr>
        <w:pStyle w:val="Compact"/>
        <w:numPr>
          <w:ilvl w:val="0"/>
          <w:numId w:val="1004"/>
        </w:numPr>
      </w:pPr>
      <w:r>
        <w:rPr>
          <w:b/>
          <w:bCs/>
        </w:rPr>
        <w:t xml:space="preserve">Reduce friction</w:t>
      </w:r>
      <w:r>
        <w:t xml:space="preserve"> </w:t>
      </w:r>
      <w:r>
        <w:t xml:space="preserve">– Transitions should be smooth and legible; avoid jarring cuts. When combining 3D and 2D elements, plan motions in storyboard form to maintain coherence【262132255932641†L789-L793】.</w:t>
      </w:r>
    </w:p>
    <w:p>
      <w:pPr>
        <w:pStyle w:val="Compact"/>
        <w:numPr>
          <w:ilvl w:val="0"/>
          <w:numId w:val="1004"/>
        </w:numPr>
      </w:pPr>
      <w:r>
        <w:rPr>
          <w:b/>
          <w:bCs/>
        </w:rPr>
        <w:t xml:space="preserve">Consistent timing</w:t>
      </w:r>
      <w:r>
        <w:t xml:space="preserve"> </w:t>
      </w:r>
      <w:r>
        <w:t xml:space="preserve">– Motions should follow a duration range of</w:t>
      </w:r>
      <w:r>
        <w:t xml:space="preserve"> </w:t>
      </w:r>
      <w:r>
        <w:rPr>
          <w:b/>
          <w:bCs/>
        </w:rPr>
        <w:t xml:space="preserve">0.4–0.8 seconds</w:t>
      </w:r>
      <w:r>
        <w:t xml:space="preserve"> </w:t>
      </w:r>
      <w:r>
        <w:t xml:space="preserve">for micro‑interactions (e.g., button hovers) and</w:t>
      </w:r>
      <w:r>
        <w:t xml:space="preserve"> </w:t>
      </w:r>
      <w:r>
        <w:rPr>
          <w:b/>
          <w:bCs/>
        </w:rPr>
        <w:t xml:space="preserve">6–12 seconds</w:t>
      </w:r>
      <w:r>
        <w:t xml:space="preserve"> </w:t>
      </w:r>
      <w:r>
        <w:t xml:space="preserve">for macro scenes (e.g., introductory sequences). Use easing curves (ease‑in‑out) to simulate natural acceleration and deceleration.</w:t>
      </w:r>
    </w:p>
    <w:p>
      <w:pPr>
        <w:pStyle w:val="Compact"/>
        <w:numPr>
          <w:ilvl w:val="0"/>
          <w:numId w:val="1004"/>
        </w:numPr>
      </w:pPr>
      <w:r>
        <w:rPr>
          <w:b/>
          <w:bCs/>
        </w:rPr>
        <w:t xml:space="preserve">Brand colours and effects</w:t>
      </w:r>
      <w:r>
        <w:t xml:space="preserve"> </w:t>
      </w:r>
      <w:r>
        <w:t xml:space="preserve">– Apply soft blue glows and glassmorphic overlays. Avoid sudden colour shifts; transitions should fade between official palette colours.</w:t>
      </w:r>
    </w:p>
    <w:p>
      <w:pPr>
        <w:pStyle w:val="Compact"/>
        <w:numPr>
          <w:ilvl w:val="0"/>
          <w:numId w:val="1004"/>
        </w:numPr>
      </w:pPr>
      <w:r>
        <w:rPr>
          <w:b/>
          <w:bCs/>
        </w:rPr>
        <w:t xml:space="preserve">Accessibility</w:t>
      </w:r>
      <w:r>
        <w:t xml:space="preserve"> </w:t>
      </w:r>
      <w:r>
        <w:t xml:space="preserve">– Provide an option to reduce motion. Avoid fast flashing or strobe effects.</w:t>
      </w:r>
    </w:p>
    <w:bookmarkStart w:id="28" w:name="storyboard-motifs"/>
    <w:p>
      <w:pPr>
        <w:pStyle w:val="Heading3"/>
      </w:pPr>
      <w:r>
        <w:t xml:space="preserve">Storyboard motifs</w:t>
      </w:r>
    </w:p>
    <w:p>
      <w:pPr>
        <w:pStyle w:val="FirstParagraph"/>
      </w:pPr>
      <w:r>
        <w:t xml:space="preserve">Common motions can be defined as re‑usable motifs: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Motif</w:t>
            </w:r>
          </w:p>
        </w:tc>
        <w:tc>
          <w:tcPr/>
          <w:p>
            <w:pPr>
              <w:pStyle w:val="Compact"/>
              <w:jc w:val="left"/>
            </w:pPr>
            <w:r>
              <w:t xml:space="preserve">Description</w:t>
            </w:r>
          </w:p>
        </w:tc>
      </w:tr>
      <w:tr>
        <w:tc>
          <w:tcPr/>
          <w:p>
            <w:pPr>
              <w:pStyle w:val="Compact"/>
              <w:jc w:val="left"/>
            </w:pPr>
            <w:r>
              <w:rPr>
                <w:b/>
                <w:bCs/>
              </w:rPr>
              <w:t xml:space="preserve">Build</w:t>
            </w:r>
          </w:p>
        </w:tc>
        <w:tc>
          <w:tcPr/>
          <w:p>
            <w:pPr>
              <w:pStyle w:val="Compact"/>
              <w:jc w:val="left"/>
            </w:pPr>
            <w:r>
              <w:t xml:space="preserve">Elements appear sequentially, combining shapes and icons to construct a diagram or dashboard, emphasising the growth of compliance capabilities【262132255932641†L771-L776】.</w:t>
            </w:r>
          </w:p>
        </w:tc>
      </w:tr>
      <w:tr>
        <w:tc>
          <w:tcPr/>
          <w:p>
            <w:pPr>
              <w:pStyle w:val="Compact"/>
              <w:jc w:val="left"/>
            </w:pPr>
            <w:r>
              <w:rPr>
                <w:b/>
                <w:bCs/>
              </w:rPr>
              <w:t xml:space="preserve">Enhance</w:t>
            </w:r>
          </w:p>
        </w:tc>
        <w:tc>
          <w:tcPr/>
          <w:p>
            <w:pPr>
              <w:pStyle w:val="Compact"/>
              <w:jc w:val="left"/>
            </w:pPr>
            <w:r>
              <w:t xml:space="preserve">The camera zooms into a particular panel or metric to highlight improvements or achievements【262132255932641†L780-L785】. Useful for case studies or dashboard tours.</w:t>
            </w:r>
          </w:p>
        </w:tc>
      </w:tr>
      <w:tr>
        <w:tc>
          <w:tcPr/>
          <w:p>
            <w:pPr>
              <w:pStyle w:val="Compact"/>
              <w:jc w:val="left"/>
            </w:pPr>
            <w:r>
              <w:rPr>
                <w:b/>
                <w:bCs/>
              </w:rPr>
              <w:t xml:space="preserve">Flow</w:t>
            </w:r>
          </w:p>
        </w:tc>
        <w:tc>
          <w:tcPr/>
          <w:p>
            <w:pPr>
              <w:pStyle w:val="Compact"/>
              <w:jc w:val="left"/>
            </w:pPr>
            <w:r>
              <w:t xml:space="preserve">Lines or particles animate across the screen, connecting nodes or icons to show data movement or collaboration. Should be smooth and follow curved paths, with subtle glow effects.</w:t>
            </w:r>
          </w:p>
        </w:tc>
      </w:tr>
      <w:tr>
        <w:tc>
          <w:tcPr/>
          <w:p>
            <w:pPr>
              <w:pStyle w:val="Compact"/>
              <w:jc w:val="left"/>
            </w:pPr>
            <w:r>
              <w:rPr>
                <w:b/>
                <w:bCs/>
              </w:rPr>
              <w:t xml:space="preserve">Reveal</w:t>
            </w:r>
          </w:p>
        </w:tc>
        <w:tc>
          <w:tcPr/>
          <w:p>
            <w:pPr>
              <w:pStyle w:val="Compact"/>
              <w:jc w:val="left"/>
            </w:pPr>
            <w:r>
              <w:t xml:space="preserve">A mask slides or fades away to unveil content beneath, suggesting transparency and uncovering insights.</w:t>
            </w:r>
          </w:p>
        </w:tc>
      </w:tr>
    </w:tbl>
    <w:bookmarkEnd w:id="28"/>
    <w:bookmarkEnd w:id="29"/>
    <w:bookmarkStart w:id="40" w:name="ui-components"/>
    <w:p>
      <w:pPr>
        <w:pStyle w:val="Heading2"/>
      </w:pPr>
      <w:r>
        <w:t xml:space="preserve">UI components</w:t>
      </w:r>
    </w:p>
    <w:p>
      <w:pPr>
        <w:pStyle w:val="FirstParagraph"/>
      </w:pPr>
      <w:r>
        <w:t xml:space="preserve">A robust design system includes reusable components with defined properties and behaviours【662803134275550†L15-L21】【662803134275550†L61-L66】. Each component should provide variants, sizes and states【662803134275550†L73-L80】. Below are guidelines for core components tailored to CERTISPHERE.</w:t>
      </w:r>
    </w:p>
    <w:bookmarkStart w:id="30" w:name="buttons"/>
    <w:p>
      <w:pPr>
        <w:pStyle w:val="Heading3"/>
      </w:pPr>
      <w:r>
        <w:t xml:space="preserve">Buttons</w:t>
      </w:r>
    </w:p>
    <w:p>
      <w:pPr>
        <w:pStyle w:val="FirstParagraph"/>
      </w:pPr>
      <w:r>
        <w:t xml:space="preserve">Primary buttons use</w:t>
      </w:r>
      <w:r>
        <w:t xml:space="preserve"> </w:t>
      </w:r>
      <w:r>
        <w:rPr>
          <w:b/>
          <w:bCs/>
        </w:rPr>
        <w:t xml:space="preserve">Azure Blue (#0078D4)</w:t>
      </w:r>
      <w:r>
        <w:t xml:space="preserve"> </w:t>
      </w:r>
      <w:r>
        <w:t xml:space="preserve">with white text. Secondary buttons use</w:t>
      </w:r>
      <w:r>
        <w:t xml:space="preserve"> </w:t>
      </w:r>
      <w:r>
        <w:rPr>
          <w:b/>
          <w:bCs/>
        </w:rPr>
        <w:t xml:space="preserve">Corporate Navy (#143D73)</w:t>
      </w:r>
      <w:r>
        <w:t xml:space="preserve"> </w:t>
      </w:r>
      <w:r>
        <w:t xml:space="preserve">for darker interfaces or</w:t>
      </w:r>
      <w:r>
        <w:t xml:space="preserve"> </w:t>
      </w:r>
      <w:r>
        <w:rPr>
          <w:b/>
          <w:bCs/>
        </w:rPr>
        <w:t xml:space="preserve">Bright Sky Blue (#29A9FF)</w:t>
      </w:r>
      <w:r>
        <w:t xml:space="preserve"> </w:t>
      </w:r>
      <w:r>
        <w:t xml:space="preserve">for lighter contexts. Ghost buttons have transparent backgrounds with Midnight Navy borders. All buttons have 4 px corner radius, 16 px vertical padding and 24 px horizontal padding. States:</w:t>
      </w:r>
    </w:p>
    <w:p>
      <w:pPr>
        <w:pStyle w:val="Compact"/>
        <w:numPr>
          <w:ilvl w:val="0"/>
          <w:numId w:val="1005"/>
        </w:numPr>
      </w:pPr>
      <w:r>
        <w:rPr>
          <w:b/>
          <w:bCs/>
        </w:rPr>
        <w:t xml:space="preserve">Default</w:t>
      </w:r>
      <w:r>
        <w:t xml:space="preserve">: Solid fill with drop shadow of 2 px blur, 25 % opacity using the same hue.</w:t>
      </w:r>
    </w:p>
    <w:p>
      <w:pPr>
        <w:pStyle w:val="Compact"/>
        <w:numPr>
          <w:ilvl w:val="0"/>
          <w:numId w:val="1005"/>
        </w:numPr>
      </w:pPr>
      <w:r>
        <w:rPr>
          <w:b/>
          <w:bCs/>
        </w:rPr>
        <w:t xml:space="preserve">Hover</w:t>
      </w:r>
      <w:r>
        <w:t xml:space="preserve">: Slightly darker shade of the fill colour; maintain text colour contrast.</w:t>
      </w:r>
    </w:p>
    <w:p>
      <w:pPr>
        <w:pStyle w:val="Compact"/>
        <w:numPr>
          <w:ilvl w:val="0"/>
          <w:numId w:val="1005"/>
        </w:numPr>
      </w:pPr>
      <w:r>
        <w:rPr>
          <w:b/>
          <w:bCs/>
        </w:rPr>
        <w:t xml:space="preserve">Active</w:t>
      </w:r>
      <w:r>
        <w:t xml:space="preserve">: Scale down by 2 %; remove shadow; darken fill further.</w:t>
      </w:r>
    </w:p>
    <w:p>
      <w:pPr>
        <w:pStyle w:val="Compact"/>
        <w:numPr>
          <w:ilvl w:val="0"/>
          <w:numId w:val="1005"/>
        </w:numPr>
      </w:pPr>
      <w:r>
        <w:rPr>
          <w:b/>
          <w:bCs/>
        </w:rPr>
        <w:t xml:space="preserve">Focused</w:t>
      </w:r>
      <w:r>
        <w:t xml:space="preserve">: Add a 2 px outline in Bright Sky Blue (#29A9FF).</w:t>
      </w:r>
    </w:p>
    <w:p>
      <w:pPr>
        <w:pStyle w:val="Compact"/>
        <w:numPr>
          <w:ilvl w:val="0"/>
          <w:numId w:val="1005"/>
        </w:numPr>
      </w:pPr>
      <w:r>
        <w:rPr>
          <w:b/>
          <w:bCs/>
        </w:rPr>
        <w:t xml:space="preserve">Disabled</w:t>
      </w:r>
      <w:r>
        <w:t xml:space="preserve">: Use Soft Grey (#F5F7FA) fill and Corporate Navy text at 30 % opacity.</w:t>
      </w:r>
    </w:p>
    <w:bookmarkEnd w:id="30"/>
    <w:bookmarkStart w:id="31" w:name="text-inputs"/>
    <w:p>
      <w:pPr>
        <w:pStyle w:val="Heading3"/>
      </w:pPr>
      <w:r>
        <w:t xml:space="preserve">Text inputs</w:t>
      </w:r>
    </w:p>
    <w:p>
      <w:pPr>
        <w:pStyle w:val="FirstParagraph"/>
      </w:pPr>
      <w:r>
        <w:t xml:space="preserve">Text fields use white or soft grey backgrounds with 1 px Midnight Navy borders. On focus, border colour transitions to Azure Blue. Labels sit above the field in 14 px Aptos and Corporate Navy. Provide helper text below in 12 px text. Validation messages appear in red (#C53030) or green (#2F855A) with icon feedback.</w:t>
      </w:r>
    </w:p>
    <w:bookmarkEnd w:id="31"/>
    <w:bookmarkStart w:id="32" w:name="checkboxes-and-radio-buttons"/>
    <w:p>
      <w:pPr>
        <w:pStyle w:val="Heading3"/>
      </w:pPr>
      <w:r>
        <w:t xml:space="preserve">Checkboxes and radio buttons</w:t>
      </w:r>
    </w:p>
    <w:p>
      <w:pPr>
        <w:pStyle w:val="FirstParagraph"/>
      </w:pPr>
      <w:r>
        <w:t xml:space="preserve">Boxes and radio circles are 20 px with 2 px corners. The unchecked state is defined by a 2 px Corporate Navy outline on a white background. When checked, the fill is Azure Blue and the checkmark is white. Provide 8 px spacing between the control and its label.</w:t>
      </w:r>
    </w:p>
    <w:bookmarkEnd w:id="32"/>
    <w:bookmarkStart w:id="33" w:name="toggles-switches"/>
    <w:p>
      <w:pPr>
        <w:pStyle w:val="Heading3"/>
      </w:pPr>
      <w:r>
        <w:t xml:space="preserve">Toggles (switches)</w:t>
      </w:r>
    </w:p>
    <w:p>
      <w:pPr>
        <w:pStyle w:val="FirstParagraph"/>
      </w:pPr>
      <w:r>
        <w:t xml:space="preserve">Switches use a 32 px × 20 px track. The off state uses Soft Grey; the on state uses Bright Sky Blue. The thumb is white with a subtle drop shadow. Labels indicate the state (On/Off) and should update immediately when toggled.</w:t>
      </w:r>
    </w:p>
    <w:bookmarkEnd w:id="33"/>
    <w:bookmarkStart w:id="34" w:name="dropdown-menus-select"/>
    <w:p>
      <w:pPr>
        <w:pStyle w:val="Heading3"/>
      </w:pPr>
      <w:r>
        <w:t xml:space="preserve">Dropdown menus (select)</w:t>
      </w:r>
    </w:p>
    <w:p>
      <w:pPr>
        <w:pStyle w:val="FirstParagraph"/>
      </w:pPr>
      <w:r>
        <w:t xml:space="preserve">Select controls have similar styling to text inputs. The arrow icon uses Azure Blue and rotates on open. Use search functionality for long lists. Highlight hovered options with Soft Grey and selected options with Bright Sky Blue.</w:t>
      </w:r>
    </w:p>
    <w:bookmarkEnd w:id="34"/>
    <w:bookmarkStart w:id="35" w:name="cards"/>
    <w:p>
      <w:pPr>
        <w:pStyle w:val="Heading3"/>
      </w:pPr>
      <w:r>
        <w:t xml:space="preserve">Cards</w:t>
      </w:r>
    </w:p>
    <w:p>
      <w:pPr>
        <w:pStyle w:val="FirstParagraph"/>
      </w:pPr>
      <w:r>
        <w:t xml:space="preserve">Cards provide modular containers for information. Use Soft Grey backgrounds on white pages and white backgrounds on coloured panels. Cards have 8 px corner radius, 16 px internal padding and can include a header, body and footer. Variants:</w:t>
      </w:r>
    </w:p>
    <w:p>
      <w:pPr>
        <w:pStyle w:val="Compact"/>
        <w:numPr>
          <w:ilvl w:val="0"/>
          <w:numId w:val="1006"/>
        </w:numPr>
      </w:pPr>
      <w:r>
        <w:rPr>
          <w:b/>
          <w:bCs/>
        </w:rPr>
        <w:t xml:space="preserve">Standard</w:t>
      </w:r>
      <w:r>
        <w:t xml:space="preserve">: Slight drop shadow (0 px 4 px 10 px rgba(11,35,69,0.05)).</w:t>
      </w:r>
    </w:p>
    <w:p>
      <w:pPr>
        <w:pStyle w:val="Compact"/>
        <w:numPr>
          <w:ilvl w:val="0"/>
          <w:numId w:val="1006"/>
        </w:numPr>
      </w:pPr>
      <w:r>
        <w:rPr>
          <w:b/>
          <w:bCs/>
        </w:rPr>
        <w:t xml:space="preserve">Elevated</w:t>
      </w:r>
      <w:r>
        <w:t xml:space="preserve">: Larger shadow for emphasis; use for callouts or modals.</w:t>
      </w:r>
    </w:p>
    <w:p>
      <w:pPr>
        <w:pStyle w:val="Compact"/>
        <w:numPr>
          <w:ilvl w:val="0"/>
          <w:numId w:val="1006"/>
        </w:numPr>
      </w:pPr>
      <w:r>
        <w:rPr>
          <w:b/>
          <w:bCs/>
        </w:rPr>
        <w:t xml:space="preserve">Outlined</w:t>
      </w:r>
      <w:r>
        <w:t xml:space="preserve">: 1 px border in Soft Grey for subtle separation when stacking cards.</w:t>
      </w:r>
    </w:p>
    <w:bookmarkEnd w:id="35"/>
    <w:bookmarkStart w:id="36" w:name="modals-dialogs"/>
    <w:p>
      <w:pPr>
        <w:pStyle w:val="Heading3"/>
      </w:pPr>
      <w:r>
        <w:t xml:space="preserve">Modals (dialogs)</w:t>
      </w:r>
    </w:p>
    <w:p>
      <w:pPr>
        <w:pStyle w:val="FirstParagraph"/>
      </w:pPr>
      <w:r>
        <w:t xml:space="preserve">Modals overlay a dark semi‑transparent backdrop (#122844, 70 % opacity). The modal container uses white or Soft Grey backgrounds with 24 px corner radius and a drop shadow. Provide clear close buttons and ensure focus is trapped within the modal【662803134275550†L161-L166】.</w:t>
      </w:r>
    </w:p>
    <w:bookmarkEnd w:id="36"/>
    <w:bookmarkStart w:id="37" w:name="navigation"/>
    <w:p>
      <w:pPr>
        <w:pStyle w:val="Heading3"/>
      </w:pPr>
      <w:r>
        <w:t xml:space="preserve">Navigation</w:t>
      </w:r>
    </w:p>
    <w:p>
      <w:pPr>
        <w:pStyle w:val="FirstParagraph"/>
      </w:pPr>
      <w:r>
        <w:t xml:space="preserve">Use a horizontal navigation bar with Midnight Navy background and white text. Active links use Azure Blue underlines. For sidebars, use Corporate Navy backgrounds with collapse/expand indicators.</w:t>
      </w:r>
    </w:p>
    <w:bookmarkEnd w:id="37"/>
    <w:bookmarkStart w:id="38" w:name="alerts-and-notifications"/>
    <w:p>
      <w:pPr>
        <w:pStyle w:val="Heading3"/>
      </w:pPr>
      <w:r>
        <w:t xml:space="preserve">Alerts and notifications</w:t>
      </w:r>
    </w:p>
    <w:p>
      <w:pPr>
        <w:pStyle w:val="FirstParagraph"/>
      </w:pPr>
      <w:r>
        <w:t xml:space="preserve">Alerts come in four variants: info (Azure Blue), success (green #2F855A), warning (yellow #D69E2E) and error (red #C53030). Use icons to differentiate types. Alerts should be dismissible and accessible.</w:t>
      </w:r>
    </w:p>
    <w:bookmarkEnd w:id="38"/>
    <w:bookmarkStart w:id="39" w:name="data-tables"/>
    <w:p>
      <w:pPr>
        <w:pStyle w:val="Heading3"/>
      </w:pPr>
      <w:r>
        <w:t xml:space="preserve">Data tables</w:t>
      </w:r>
    </w:p>
    <w:p>
      <w:pPr>
        <w:pStyle w:val="FirstParagraph"/>
      </w:pPr>
      <w:r>
        <w:t xml:space="preserve">Tables should be responsive. Use Soft Grey stripes for alternating rows. Headers use Bold Aptos at 14 px and Midnight Navy fill. Provide sorting and pagination controls. Ensure row hover states use Bright Sky Blue tints for clarity.</w:t>
      </w:r>
    </w:p>
    <w:bookmarkEnd w:id="39"/>
    <w:bookmarkEnd w:id="40"/>
    <w:bookmarkStart w:id="45" w:name="page-templates"/>
    <w:p>
      <w:pPr>
        <w:pStyle w:val="Heading2"/>
      </w:pPr>
      <w:r>
        <w:t xml:space="preserve">Page templates</w:t>
      </w:r>
    </w:p>
    <w:p>
      <w:pPr>
        <w:pStyle w:val="FirstParagraph"/>
      </w:pPr>
      <w:r>
        <w:t xml:space="preserve">To maintain consistency across marketing materials, presentations and documentation, standard page templates should be used. Templates are built around generous whitespace, clear hierarchy and modular sections.</w:t>
      </w:r>
    </w:p>
    <w:bookmarkStart w:id="41" w:name="cover-page"/>
    <w:p>
      <w:pPr>
        <w:pStyle w:val="Heading3"/>
      </w:pPr>
      <w:r>
        <w:t xml:space="preserve">Cover page</w:t>
      </w:r>
    </w:p>
    <w:p>
      <w:pPr>
        <w:pStyle w:val="FirstParagraph"/>
      </w:pPr>
      <w:r>
        <w:t xml:space="preserve">The cover page features a dark hero panel with a</w:t>
      </w:r>
      <w:r>
        <w:t xml:space="preserve"> </w:t>
      </w:r>
      <w:r>
        <w:rPr>
          <w:b/>
          <w:bCs/>
        </w:rPr>
        <w:t xml:space="preserve">Hero gradient</w:t>
      </w:r>
      <w:r>
        <w:t xml:space="preserve"> </w:t>
      </w:r>
      <w:r>
        <w:t xml:space="preserve">background and a central area reserved for the title. Include a glowing digital globe or network illustration as seen in the sample cover (see accompanying image) and overlay it with translucent icons representing AI, governance and certification. Use large H1 text in white or Bright Sky Blue.</w:t>
      </w:r>
    </w:p>
    <w:bookmarkEnd w:id="41"/>
    <w:bookmarkStart w:id="42" w:name="section-page"/>
    <w:p>
      <w:pPr>
        <w:pStyle w:val="Heading3"/>
      </w:pPr>
      <w:r>
        <w:t xml:space="preserve">Section page</w:t>
      </w:r>
    </w:p>
    <w:p>
      <w:pPr>
        <w:pStyle w:val="FirstParagraph"/>
      </w:pPr>
      <w:r>
        <w:t xml:space="preserve">Section pages use a white background with a coloured header bar in Corporate Navy or Azure Blue. H2 headings sit at the top left. Use 12 % tinted backgrounds behind key callouts. Include sidebars or callout boxes in Soft Grey with subtle icons.</w:t>
      </w:r>
    </w:p>
    <w:bookmarkEnd w:id="42"/>
    <w:bookmarkStart w:id="43" w:name="content-page"/>
    <w:p>
      <w:pPr>
        <w:pStyle w:val="Heading3"/>
      </w:pPr>
      <w:r>
        <w:t xml:space="preserve">Content page</w:t>
      </w:r>
    </w:p>
    <w:p>
      <w:pPr>
        <w:pStyle w:val="FirstParagraph"/>
      </w:pPr>
      <w:r>
        <w:t xml:space="preserve">Content pages contain body text, diagrams, charts and tables. Use multi‑column layouts (two or three columns) for long reports. Charts should use the official palette with distinct blues and neutrals. Ensure sufficient margin on all sides (minimum 2rem on mobile, 4rem on desktop)【783736926887460†L369-L373】.</w:t>
      </w:r>
    </w:p>
    <w:bookmarkEnd w:id="43"/>
    <w:bookmarkStart w:id="44" w:name="footer"/>
    <w:p>
      <w:pPr>
        <w:pStyle w:val="Heading3"/>
      </w:pPr>
      <w:r>
        <w:t xml:space="preserve">Footer</w:t>
      </w:r>
    </w:p>
    <w:p>
      <w:pPr>
        <w:pStyle w:val="FirstParagraph"/>
      </w:pPr>
      <w:r>
        <w:t xml:space="preserve">Footers use Midnight Navy backgrounds with small white text. Include navigation links, social icons and legal information. Icons invert to white when placed on dark backgrounds.</w:t>
      </w:r>
    </w:p>
    <w:bookmarkEnd w:id="44"/>
    <w:bookmarkEnd w:id="45"/>
    <w:bookmarkStart w:id="47" w:name="prompt-templates-for-image-generation"/>
    <w:p>
      <w:pPr>
        <w:pStyle w:val="Heading2"/>
      </w:pPr>
      <w:r>
        <w:t xml:space="preserve">Prompt templates for image generation</w:t>
      </w:r>
    </w:p>
    <w:p>
      <w:pPr>
        <w:pStyle w:val="FirstParagraph"/>
      </w:pPr>
      <w:r>
        <w:t xml:space="preserve">When generating images with AI tools, provide detailed prompts that specify subject matter, style and brand colours. The prompts below are reusable templates; replace bracketed text with your specific subject.</w:t>
      </w:r>
    </w:p>
    <w:p>
      <w:pPr>
        <w:numPr>
          <w:ilvl w:val="0"/>
          <w:numId w:val="1007"/>
        </w:numPr>
      </w:pPr>
      <w:r>
        <w:rPr>
          <w:b/>
          <w:bCs/>
        </w:rPr>
        <w:t xml:space="preserve">Corporate cover illustration</w:t>
      </w:r>
      <w:r>
        <w:t xml:space="preserve">:</w:t>
      </w:r>
      <w:r>
        <w:br/>
      </w:r>
      <w:r>
        <w:rPr>
          <w:i/>
          <w:iCs/>
        </w:rPr>
        <w:t xml:space="preserve">Create a premium enterprise cover illustration with a predominantly white background and subtle soft‑grey geometric gradients. In the upper centre, place a large illuminated digital globe glowing in Azure Blue and Bright Sky Blue. Surround it with elegant holographic interface elements and thin lines connecting icons representing AI, governance, audit, workflow, cloud, security, collaboration and certification. Use Midnight Navy and Corporate Navy for outlines and accents. Apply glassmorphism effects, soft blue glows and gentle gradients. Leave approximately 45 % of the centre area as clean negative space for future typography. Do not include any text or people. Use a 16:9 aspect ratio.</w:t>
      </w:r>
    </w:p>
    <w:p>
      <w:pPr>
        <w:numPr>
          <w:ilvl w:val="0"/>
          <w:numId w:val="1007"/>
        </w:numPr>
      </w:pPr>
      <w:r>
        <w:rPr>
          <w:b/>
          <w:bCs/>
        </w:rPr>
        <w:t xml:space="preserve">Process diagram illustration</w:t>
      </w:r>
      <w:r>
        <w:t xml:space="preserve">:</w:t>
      </w:r>
      <w:r>
        <w:br/>
      </w:r>
      <w:r>
        <w:rPr>
          <w:i/>
          <w:iCs/>
        </w:rPr>
        <w:t xml:space="preserve">Generate a clean modern vector illustration showing a four‑step compliance process. Use a horizontal sequence of interconnected circles or rectangles, each containing an icon (identify, evaluate, certify, improve). The lines connecting the steps should glow softly in Bright Sky Blue. Use Midnight Navy for the base shapes and Azure Blue for highlights. Apply subtle shadows and gradients; leave space below the diagram for captions. Do not include any text in the artwork.</w:t>
      </w:r>
    </w:p>
    <w:p>
      <w:pPr>
        <w:numPr>
          <w:ilvl w:val="0"/>
          <w:numId w:val="1007"/>
        </w:numPr>
      </w:pPr>
      <w:r>
        <w:rPr>
          <w:b/>
          <w:bCs/>
        </w:rPr>
        <w:t xml:space="preserve">Dashboard hero image</w:t>
      </w:r>
      <w:r>
        <w:t xml:space="preserve">:</w:t>
      </w:r>
      <w:r>
        <w:br/>
      </w:r>
      <w:r>
        <w:rPr>
          <w:i/>
          <w:iCs/>
        </w:rPr>
        <w:t xml:space="preserve">Create a sophisticated SaaS dashboard hero illustration. The background should be Soft Grey with floating panels and widgets representing metrics, charts and audit logs. Panels use Pure White with subtle shadows and Azure Blue accents. Add small glowing icons for risk, compliance and collaboration. Do not include any actual text; leave blank spaces where text would appear.</w:t>
      </w:r>
    </w:p>
    <w:p>
      <w:pPr>
        <w:numPr>
          <w:ilvl w:val="0"/>
          <w:numId w:val="1007"/>
        </w:numPr>
      </w:pPr>
      <w:r>
        <w:rPr>
          <w:b/>
          <w:bCs/>
        </w:rPr>
        <w:t xml:space="preserve">Abstract compliance concept</w:t>
      </w:r>
      <w:r>
        <w:t xml:space="preserve">:</w:t>
      </w:r>
      <w:r>
        <w:br/>
      </w:r>
      <w:r>
        <w:rPr>
          <w:i/>
          <w:iCs/>
        </w:rPr>
        <w:t xml:space="preserve">Illustrate the concept of AI‑powered governance by depicting a stylized neural network radiating from a central shield icon. Use thin Azure Blue and Bright Sky Blue lines connecting nodes on a Midnight Navy background. Incorporate abstract geometric shapes and soft glows. Leave negative space for overlaid text.</w:t>
      </w:r>
    </w:p>
    <w:bookmarkStart w:id="46" w:name="prompt-guidelines"/>
    <w:p>
      <w:pPr>
        <w:pStyle w:val="Heading3"/>
      </w:pPr>
      <w:r>
        <w:t xml:space="preserve">Prompt guidelines</w:t>
      </w:r>
    </w:p>
    <w:p>
      <w:pPr>
        <w:pStyle w:val="Compact"/>
        <w:numPr>
          <w:ilvl w:val="0"/>
          <w:numId w:val="1008"/>
        </w:numPr>
      </w:pPr>
      <w:r>
        <w:t xml:space="preserve">Always mention the</w:t>
      </w:r>
      <w:r>
        <w:t xml:space="preserve"> </w:t>
      </w:r>
      <w:r>
        <w:rPr>
          <w:b/>
          <w:bCs/>
        </w:rPr>
        <w:t xml:space="preserve">official colours</w:t>
      </w:r>
      <w:r>
        <w:t xml:space="preserve"> </w:t>
      </w:r>
      <w:r>
        <w:t xml:space="preserve">by hex code or name (Midnight Navy #0B2345, Corporate Navy #143D73, Azure Blue #0078D4, Bright Sky Blue #29A9FF, Pure White #FFFFFF and Soft Grey #F5F7FA).</w:t>
      </w:r>
    </w:p>
    <w:p>
      <w:pPr>
        <w:pStyle w:val="Compact"/>
        <w:numPr>
          <w:ilvl w:val="0"/>
          <w:numId w:val="1008"/>
        </w:numPr>
      </w:pPr>
      <w:r>
        <w:t xml:space="preserve">Specify</w:t>
      </w:r>
      <w:r>
        <w:t xml:space="preserve"> </w:t>
      </w:r>
      <w:r>
        <w:rPr>
          <w:b/>
          <w:bCs/>
        </w:rPr>
        <w:t xml:space="preserve">no text</w:t>
      </w:r>
      <w:r>
        <w:t xml:space="preserve"> </w:t>
      </w:r>
      <w:r>
        <w:t xml:space="preserve">within the generated image. Leave blank areas for typography.</w:t>
      </w:r>
    </w:p>
    <w:p>
      <w:pPr>
        <w:pStyle w:val="Compact"/>
        <w:numPr>
          <w:ilvl w:val="0"/>
          <w:numId w:val="1008"/>
        </w:numPr>
      </w:pPr>
      <w:r>
        <w:t xml:space="preserve">Mention</w:t>
      </w:r>
      <w:r>
        <w:t xml:space="preserve"> </w:t>
      </w:r>
      <w:r>
        <w:rPr>
          <w:b/>
          <w:bCs/>
        </w:rPr>
        <w:t xml:space="preserve">icon subjects</w:t>
      </w:r>
      <w:r>
        <w:t xml:space="preserve"> </w:t>
      </w:r>
      <w:r>
        <w:t xml:space="preserve">(e.g., globe, cloud, AI, audit, security) and specify that icons should be minimal line art.</w:t>
      </w:r>
    </w:p>
    <w:p>
      <w:pPr>
        <w:pStyle w:val="Compact"/>
        <w:numPr>
          <w:ilvl w:val="0"/>
          <w:numId w:val="1008"/>
        </w:numPr>
      </w:pPr>
      <w:r>
        <w:t xml:space="preserve">Describe the</w:t>
      </w:r>
      <w:r>
        <w:t xml:space="preserve"> </w:t>
      </w:r>
      <w:r>
        <w:rPr>
          <w:b/>
          <w:bCs/>
        </w:rPr>
        <w:t xml:space="preserve">lighting</w:t>
      </w:r>
      <w:r>
        <w:t xml:space="preserve"> </w:t>
      </w:r>
      <w:r>
        <w:t xml:space="preserve">(soft glows, glassmorphism) and composition (e.g., negative space placement).</w:t>
      </w:r>
    </w:p>
    <w:p>
      <w:pPr>
        <w:pStyle w:val="Compact"/>
        <w:numPr>
          <w:ilvl w:val="0"/>
          <w:numId w:val="1008"/>
        </w:numPr>
      </w:pPr>
      <w:r>
        <w:t xml:space="preserve">Avoid references to people, faces or unrelated colours.</w:t>
      </w:r>
    </w:p>
    <w:bookmarkEnd w:id="46"/>
    <w:bookmarkEnd w:id="47"/>
    <w:bookmarkStart w:id="49" w:name="Xb51b4488d96b8437a3ce61aa5650e4959ca023b"/>
    <w:p>
      <w:pPr>
        <w:pStyle w:val="Heading2"/>
      </w:pPr>
      <w:r>
        <w:t xml:space="preserve">Prompt templates for Synthesia Motion Graphics</w:t>
      </w:r>
    </w:p>
    <w:p>
      <w:pPr>
        <w:pStyle w:val="FirstParagraph"/>
      </w:pPr>
      <w:r>
        <w:t xml:space="preserve">Synthesia scenes can leverage the motion principles described above. Each template defines scene content, camera movement and timing. Replace bracketed text with specific details as needed.</w:t>
      </w:r>
    </w:p>
    <w:p>
      <w:pPr>
        <w:numPr>
          <w:ilvl w:val="0"/>
          <w:numId w:val="1009"/>
        </w:numPr>
      </w:pPr>
      <w:r>
        <w:rPr>
          <w:b/>
          <w:bCs/>
        </w:rPr>
        <w:t xml:space="preserve">Introductory scene</w:t>
      </w:r>
      <w:r>
        <w:t xml:space="preserve">:</w:t>
      </w:r>
      <w:r>
        <w:br/>
      </w:r>
      <w:r>
        <w:rPr>
          <w:i/>
          <w:iCs/>
        </w:rPr>
        <w:t xml:space="preserve">Scene description</w:t>
      </w:r>
      <w:r>
        <w:t xml:space="preserve">:</w:t>
      </w:r>
      <w:r>
        <w:t xml:space="preserve"> </w:t>
      </w:r>
      <w:r>
        <w:t xml:space="preserve">“</w:t>
      </w:r>
      <w:r>
        <w:t xml:space="preserve">A dark Midnight Navy gradient background gradually fades into a digital network. A semi‑transparent illuminated globe slowly rotates at the centre, connected to multiple organisations via glowing Azure Blue lines. Minimal icons (AI, governance, cloud, security, certification) emerge one by one around the globe. Particles flow along the connections. Soft glows and glassmorphic panels drift in. Leave the centre empty for titles.</w:t>
      </w:r>
      <w:r>
        <w:t xml:space="preserve">”</w:t>
      </w:r>
      <w:r>
        <w:br/>
      </w:r>
      <w:r>
        <w:rPr>
          <w:i/>
          <w:iCs/>
        </w:rPr>
        <w:t xml:space="preserve">Timing</w:t>
      </w:r>
      <w:r>
        <w:t xml:space="preserve">: 10‑12 seconds. The network fades in over 2 seconds; the globe appears and rotates between 2–6 seconds; icons fade in sequentially between 4–8 seconds; hold the composition from 8–12 seconds. Ensure smooth easing.</w:t>
      </w:r>
    </w:p>
    <w:p>
      <w:pPr>
        <w:numPr>
          <w:ilvl w:val="0"/>
          <w:numId w:val="1009"/>
        </w:numPr>
      </w:pPr>
      <w:r>
        <w:rPr>
          <w:b/>
          <w:bCs/>
        </w:rPr>
        <w:t xml:space="preserve">Feature highlight</w:t>
      </w:r>
      <w:r>
        <w:t xml:space="preserve">:</w:t>
      </w:r>
      <w:r>
        <w:br/>
      </w:r>
      <w:r>
        <w:rPr>
          <w:i/>
          <w:iCs/>
        </w:rPr>
        <w:t xml:space="preserve">Scene description</w:t>
      </w:r>
      <w:r>
        <w:t xml:space="preserve">:</w:t>
      </w:r>
      <w:r>
        <w:t xml:space="preserve"> </w:t>
      </w:r>
      <w:r>
        <w:t xml:space="preserve">“</w:t>
      </w:r>
      <w:r>
        <w:t xml:space="preserve">A white background with Soft Grey panels slides in from the left. Each panel highlights a key feature (e.g., certification tracking, audit management, AI insights). Azure Blue icons animate into place at the top of each panel; graphs and charts draw themselves with glow effects. A subtle flowing line connects the panels, moving from left to right.</w:t>
      </w:r>
      <w:r>
        <w:t xml:space="preserve">”</w:t>
      </w:r>
      <w:r>
        <w:br/>
      </w:r>
      <w:r>
        <w:rPr>
          <w:i/>
          <w:iCs/>
        </w:rPr>
        <w:t xml:space="preserve">Timing</w:t>
      </w:r>
      <w:r>
        <w:t xml:space="preserve">: 12 seconds. Panels enter at 0–3 seconds; icons and charts draw at 3–6 seconds; the connecting line travels from 6–9 seconds; hold the final composition from 9–12 seconds.</w:t>
      </w:r>
    </w:p>
    <w:p>
      <w:pPr>
        <w:numPr>
          <w:ilvl w:val="0"/>
          <w:numId w:val="1009"/>
        </w:numPr>
      </w:pPr>
      <w:r>
        <w:rPr>
          <w:b/>
          <w:bCs/>
        </w:rPr>
        <w:t xml:space="preserve">Process walkthrough</w:t>
      </w:r>
      <w:r>
        <w:t xml:space="preserve">:</w:t>
      </w:r>
      <w:r>
        <w:br/>
      </w:r>
      <w:r>
        <w:rPr>
          <w:i/>
          <w:iCs/>
        </w:rPr>
        <w:t xml:space="preserve">Scene description</w:t>
      </w:r>
      <w:r>
        <w:t xml:space="preserve">:</w:t>
      </w:r>
      <w:r>
        <w:t xml:space="preserve"> </w:t>
      </w:r>
      <w:r>
        <w:t xml:space="preserve">“</w:t>
      </w:r>
      <w:r>
        <w:t xml:space="preserve">Four circular nodes arranged in a horizontal line across a Soft Grey surface. Each node contains an icon (Identify, Evaluate, Certify, Improve). As the camera pans across the nodes, each icon animates (e.g., scanning lines for Identify; checkmarks for Certify). A glowing Azure Blue line connects the nodes.</w:t>
      </w:r>
      <w:r>
        <w:t xml:space="preserve">”</w:t>
      </w:r>
      <w:r>
        <w:br/>
      </w:r>
      <w:r>
        <w:rPr>
          <w:i/>
          <w:iCs/>
        </w:rPr>
        <w:t xml:space="preserve">Timing</w:t>
      </w:r>
      <w:r>
        <w:t xml:space="preserve">: 8 seconds. Focus on each node for 2 seconds with quick transitions.</w:t>
      </w:r>
    </w:p>
    <w:p>
      <w:pPr>
        <w:numPr>
          <w:ilvl w:val="0"/>
          <w:numId w:val="1009"/>
        </w:numPr>
      </w:pPr>
      <w:r>
        <w:rPr>
          <w:b/>
          <w:bCs/>
        </w:rPr>
        <w:t xml:space="preserve">Outro scene</w:t>
      </w:r>
      <w:r>
        <w:t xml:space="preserve">:</w:t>
      </w:r>
      <w:r>
        <w:br/>
      </w:r>
      <w:r>
        <w:rPr>
          <w:i/>
          <w:iCs/>
        </w:rPr>
        <w:t xml:space="preserve">Scene description</w:t>
      </w:r>
      <w:r>
        <w:t xml:space="preserve">:</w:t>
      </w:r>
      <w:r>
        <w:t xml:space="preserve"> </w:t>
      </w:r>
      <w:r>
        <w:t xml:space="preserve">“</w:t>
      </w:r>
      <w:r>
        <w:t xml:space="preserve">Return to the Midnight Navy background with the digital globe. Icons gently pulse and the network glows. A large area at the bottom of the screen remains empty for final call‑to‑action text. Incorporate a slow parallax movement of floating particles.</w:t>
      </w:r>
      <w:r>
        <w:t xml:space="preserve">”</w:t>
      </w:r>
      <w:r>
        <w:br/>
      </w:r>
      <w:r>
        <w:rPr>
          <w:i/>
          <w:iCs/>
        </w:rPr>
        <w:t xml:space="preserve">Timing</w:t>
      </w:r>
      <w:r>
        <w:t xml:space="preserve">: 6 seconds. Maintain a calming rhythm; avoid sudden changes.</w:t>
      </w:r>
    </w:p>
    <w:bookmarkStart w:id="48" w:name="motion-guidelines-for-synthesia"/>
    <w:p>
      <w:pPr>
        <w:pStyle w:val="Heading3"/>
      </w:pPr>
      <w:r>
        <w:t xml:space="preserve">Motion guidelines for Synthesia</w:t>
      </w:r>
    </w:p>
    <w:p>
      <w:pPr>
        <w:pStyle w:val="Compact"/>
        <w:numPr>
          <w:ilvl w:val="0"/>
          <w:numId w:val="1010"/>
        </w:numPr>
      </w:pPr>
      <w:r>
        <w:t xml:space="preserve">Keep animations smooth and purposeful—do not over‑animate.</w:t>
      </w:r>
    </w:p>
    <w:p>
      <w:pPr>
        <w:pStyle w:val="Compact"/>
        <w:numPr>
          <w:ilvl w:val="0"/>
          <w:numId w:val="1010"/>
        </w:numPr>
      </w:pPr>
      <w:r>
        <w:t xml:space="preserve">Use</w:t>
      </w:r>
      <w:r>
        <w:t xml:space="preserve"> </w:t>
      </w:r>
      <w:r>
        <w:rPr>
          <w:b/>
          <w:bCs/>
        </w:rPr>
        <w:t xml:space="preserve">ease‑in‑out</w:t>
      </w:r>
      <w:r>
        <w:t xml:space="preserve"> </w:t>
      </w:r>
      <w:r>
        <w:t xml:space="preserve">timing to emulate natural movement.</w:t>
      </w:r>
    </w:p>
    <w:p>
      <w:pPr>
        <w:pStyle w:val="Compact"/>
        <w:numPr>
          <w:ilvl w:val="0"/>
          <w:numId w:val="1010"/>
        </w:numPr>
      </w:pPr>
      <w:r>
        <w:t xml:space="preserve">Build narratives: reveal elements layer by layer, zoom to enhance focus, and transition smoothly to reduce friction【262132255932641†L759-L792】.</w:t>
      </w:r>
    </w:p>
    <w:p>
      <w:pPr>
        <w:pStyle w:val="Compact"/>
        <w:numPr>
          <w:ilvl w:val="0"/>
          <w:numId w:val="1010"/>
        </w:numPr>
      </w:pPr>
      <w:r>
        <w:t xml:space="preserve">Always honour the</w:t>
      </w:r>
      <w:r>
        <w:t xml:space="preserve"> </w:t>
      </w:r>
      <w:r>
        <w:rPr>
          <w:b/>
          <w:bCs/>
        </w:rPr>
        <w:t xml:space="preserve">official colour palette</w:t>
      </w:r>
      <w:r>
        <w:t xml:space="preserve">; use glows and gradients for depth. Avoid introducing green or teal.</w:t>
      </w:r>
    </w:p>
    <w:p>
      <w:pPr>
        <w:pStyle w:val="Compact"/>
        <w:numPr>
          <w:ilvl w:val="0"/>
          <w:numId w:val="1010"/>
        </w:numPr>
      </w:pPr>
      <w:r>
        <w:t xml:space="preserve">Leave space for text overlays. Synthesia will add captions and branding on top of the visuals.</w:t>
      </w:r>
    </w:p>
    <w:bookmarkEnd w:id="48"/>
    <w:bookmarkEnd w:id="49"/>
    <w:bookmarkStart w:id="50" w:name="implementation-notes-and-maintenance"/>
    <w:p>
      <w:pPr>
        <w:pStyle w:val="Heading2"/>
      </w:pPr>
      <w:r>
        <w:t xml:space="preserve">Implementation notes and maintenance</w:t>
      </w:r>
    </w:p>
    <w:p>
      <w:pPr>
        <w:pStyle w:val="FirstParagraph"/>
      </w:pPr>
      <w:r>
        <w:t xml:space="preserve">This design system is a living document. Review it periodically to ensure it aligns with emerging accessibility standards and design trends. Provide visual examples (e.g., the colour palette and recoloured cover illustration included in this project) to help designers understand the aesthetic. Use a shared documentation platform (such as Notion or Figma) to make the guidelines accessible and keep components up‑to‑date【430696800832688†L146-L150】.</w:t>
      </w:r>
    </w:p>
    <w:p>
      <w:pPr>
        <w:pStyle w:val="BodyText"/>
      </w:pPr>
      <w:r>
        <w:t xml:space="preserve">To maintain consistency across teams:</w:t>
      </w:r>
    </w:p>
    <w:p>
      <w:pPr>
        <w:pStyle w:val="Compact"/>
        <w:numPr>
          <w:ilvl w:val="0"/>
          <w:numId w:val="1011"/>
        </w:numPr>
      </w:pPr>
      <w:r>
        <w:t xml:space="preserve">Use a</w:t>
      </w:r>
      <w:r>
        <w:t xml:space="preserve"> </w:t>
      </w:r>
      <w:r>
        <w:rPr>
          <w:b/>
          <w:bCs/>
        </w:rPr>
        <w:t xml:space="preserve">component library</w:t>
      </w:r>
      <w:r>
        <w:t xml:space="preserve"> </w:t>
      </w:r>
      <w:r>
        <w:t xml:space="preserve">built using Atomic Design principles【662803134275550†L61-L66】. Define atoms (buttons, icons), molecules (form fields) and organisms (dialogs, navigation) so that designers and developers work from the same building blocks.</w:t>
      </w:r>
    </w:p>
    <w:p>
      <w:pPr>
        <w:pStyle w:val="Compact"/>
        <w:numPr>
          <w:ilvl w:val="0"/>
          <w:numId w:val="1011"/>
        </w:numPr>
      </w:pPr>
      <w:r>
        <w:t xml:space="preserve">Document</w:t>
      </w:r>
      <w:r>
        <w:t xml:space="preserve"> </w:t>
      </w:r>
      <w:r>
        <w:rPr>
          <w:b/>
          <w:bCs/>
        </w:rPr>
        <w:t xml:space="preserve">variants</w:t>
      </w:r>
      <w:r>
        <w:t xml:space="preserve">,</w:t>
      </w:r>
      <w:r>
        <w:t xml:space="preserve"> </w:t>
      </w:r>
      <w:r>
        <w:rPr>
          <w:b/>
          <w:bCs/>
        </w:rPr>
        <w:t xml:space="preserve">states</w:t>
      </w:r>
      <w:r>
        <w:t xml:space="preserve"> </w:t>
      </w:r>
      <w:r>
        <w:t xml:space="preserve">and</w:t>
      </w:r>
      <w:r>
        <w:t xml:space="preserve"> </w:t>
      </w:r>
      <w:r>
        <w:rPr>
          <w:b/>
          <w:bCs/>
        </w:rPr>
        <w:t xml:space="preserve">sizes</w:t>
      </w:r>
      <w:r>
        <w:t xml:space="preserve"> </w:t>
      </w:r>
      <w:r>
        <w:t xml:space="preserve">for each component【662803134275550†L73-L80】. Provide code snippets and usage examples.</w:t>
      </w:r>
    </w:p>
    <w:p>
      <w:pPr>
        <w:pStyle w:val="Compact"/>
        <w:numPr>
          <w:ilvl w:val="0"/>
          <w:numId w:val="1011"/>
        </w:numPr>
      </w:pPr>
      <w:r>
        <w:t xml:space="preserve">Enforce</w:t>
      </w:r>
      <w:r>
        <w:t xml:space="preserve"> </w:t>
      </w:r>
      <w:r>
        <w:rPr>
          <w:b/>
          <w:bCs/>
        </w:rPr>
        <w:t xml:space="preserve">accessibility</w:t>
      </w:r>
      <w:r>
        <w:t xml:space="preserve">: ensure adequate contrast, keyboard navigation, focus states and ARIA labels.</w:t>
      </w:r>
    </w:p>
    <w:p>
      <w:pPr>
        <w:pStyle w:val="Compact"/>
        <w:numPr>
          <w:ilvl w:val="0"/>
          <w:numId w:val="1011"/>
        </w:numPr>
      </w:pPr>
      <w:r>
        <w:t xml:space="preserve">Encourage</w:t>
      </w:r>
      <w:r>
        <w:t xml:space="preserve"> </w:t>
      </w:r>
      <w:r>
        <w:rPr>
          <w:b/>
          <w:bCs/>
        </w:rPr>
        <w:t xml:space="preserve">feedback</w:t>
      </w:r>
      <w:r>
        <w:t xml:space="preserve">: designers should log issues and propose improvements. The design system should evolve with CERTISPHERE’s product and brand growth.</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2026-07-09T13:38:51Z</dcterms:created>
  <dcterms:modified xsi:type="dcterms:W3CDTF">2026-07-09T13:38:51Z</dcterms:modified>
</cp:coreProperties>
</file>

<file path=docProps/custom.xml><?xml version="1.0" encoding="utf-8"?>
<Properties xmlns="http://schemas.openxmlformats.org/officeDocument/2006/custom-properties" xmlns:vt="http://schemas.openxmlformats.org/officeDocument/2006/docPropsVTypes"/>
</file>