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cs="Times New Roman"/>
          <w:b/>
          <w:i w:val="0"/>
          <w:sz w:val="24"/>
        </w:rPr>
        <w:t>AO JUÍZO DA 1ª VARA DO TRABALHO DE GRAVATAÍ/RS</w:t>
      </w:r>
    </w:p>
    <w:p/>
    <w:p>
      <w:pPr>
        <w:ind w:firstLine="850"/>
        <w:jc w:val="both"/>
      </w:pPr>
      <w:r>
        <w:rPr>
          <w:rFonts w:ascii="Times New Roman" w:hAnsi="Times New Roman" w:cs="Times New Roman"/>
          <w:b/>
          <w:i w:val="0"/>
          <w:sz w:val="24"/>
        </w:rPr>
        <w:t>Processo nº 0020919-52.2026.5.04.0231 — ATOrd</w:t>
      </w:r>
    </w:p>
    <w:p/>
    <w:p>
      <w:pPr>
        <w:ind w:firstLine="850"/>
        <w:jc w:val="both"/>
      </w:pPr>
      <w:r>
        <w:rPr>
          <w:rFonts w:ascii="Times New Roman" w:hAnsi="Times New Roman" w:cs="Times New Roman"/>
          <w:b/>
          <w:i w:val="0"/>
          <w:sz w:val="24"/>
        </w:rPr>
        <w:t>Reclamante: JUAN PATRICK DE ALMEIDA ARAUJO</w:t>
      </w:r>
    </w:p>
    <w:p/>
    <w:p>
      <w:pPr>
        <w:ind w:firstLine="850"/>
        <w:jc w:val="both"/>
      </w:pPr>
      <w:r>
        <w:rPr>
          <w:rFonts w:ascii="Times New Roman" w:hAnsi="Times New Roman" w:cs="Times New Roman"/>
          <w:b/>
          <w:i w:val="0"/>
          <w:sz w:val="24"/>
        </w:rPr>
        <w:t>Reclamada: GENERAL MOTORS DO BRASIL LTDA</w:t>
      </w:r>
    </w:p>
    <w:p/>
    <w:p>
      <w:pPr>
        <w:ind w:firstLine="850"/>
        <w:jc w:val="both"/>
      </w:pPr>
      <w:r>
        <w:rPr>
          <w:rFonts w:ascii="Times New Roman" w:hAnsi="Times New Roman" w:cs="Times New Roman"/>
          <w:b/>
          <w:i w:val="0"/>
          <w:sz w:val="24"/>
        </w:rPr>
        <w:t>JUAN PATRICK DE ALMEIDA ARAUJO</w:t>
      </w:r>
      <w:r>
        <w:rPr>
          <w:rFonts w:ascii="Times New Roman" w:hAnsi="Times New Roman" w:cs="Times New Roman"/>
          <w:b w:val="0"/>
          <w:i w:val="0"/>
          <w:sz w:val="24"/>
        </w:rPr>
        <w:t>, já qualificado nos autos do processo em epígrafe, por seu procurador que esta subscreve, vem, respeitosamente, à presença de Vossa Excelência, tempestivamente e no prazo de cinco dias concedido na própria decisão, apresentar</w:t>
      </w:r>
    </w:p>
    <w:p/>
    <w:p>
      <w:pPr>
        <w:ind w:firstLine="850"/>
        <w:jc w:val="both"/>
      </w:pPr>
      <w:r>
        <w:rPr>
          <w:rFonts w:ascii="Times New Roman" w:hAnsi="Times New Roman" w:cs="Times New Roman"/>
          <w:b/>
          <w:i w:val="0"/>
          <w:sz w:val="24"/>
        </w:rPr>
        <w:t>PEDIDO DE RECONSIDERAÇÃO</w:t>
      </w:r>
    </w:p>
    <w:p/>
    <w:p>
      <w:pPr>
        <w:ind w:firstLine="850"/>
        <w:jc w:val="both"/>
      </w:pPr>
      <w:r>
        <w:rPr>
          <w:rFonts w:ascii="Times New Roman" w:hAnsi="Times New Roman" w:cs="Times New Roman"/>
          <w:b w:val="0"/>
          <w:i w:val="0"/>
          <w:sz w:val="24"/>
        </w:rPr>
        <w:t>da decisão proferida em 19 de agosto de 2026 (documento 015475d), que julgou extintos, sem resolução de mérito, os pedidos arrolados nos itens "2", "6" a "14", "18" e "19" da petição inicial, pelos fundamentos de fato e de direito a seguir expostos.</w:t>
      </w:r>
    </w:p>
    <w:p/>
    <w:p>
      <w:pPr>
        <w:ind w:firstLine="850"/>
        <w:jc w:val="both"/>
      </w:pPr>
      <w:r>
        <w:rPr>
          <w:rFonts w:ascii="Times New Roman" w:hAnsi="Times New Roman" w:cs="Times New Roman"/>
          <w:b/>
          <w:i w:val="0"/>
          <w:sz w:val="24"/>
        </w:rPr>
        <w:t>I – DA TEMPESTIVIDADE E DA VIA ELEITA</w:t>
      </w:r>
    </w:p>
    <w:p/>
    <w:p>
      <w:pPr>
        <w:ind w:firstLine="850"/>
        <w:jc w:val="both"/>
      </w:pPr>
      <w:r>
        <w:rPr>
          <w:rFonts w:ascii="Times New Roman" w:hAnsi="Times New Roman" w:cs="Times New Roman"/>
          <w:b w:val="0"/>
          <w:i w:val="0"/>
          <w:sz w:val="24"/>
        </w:rPr>
        <w:t xml:space="preserve">A decisão foi assinada eletronicamente em 19 de agosto de 2026, com ciência ao Reclamante em </w:t>
      </w:r>
      <w:r>
        <w:rPr>
          <w:rFonts w:ascii="Times New Roman" w:hAnsi="Times New Roman" w:cs="Times New Roman"/>
          <w:b w:val="0"/>
          <w:i w:val="0"/>
          <w:color w:val="FF0000"/>
          <w:sz w:val="24"/>
        </w:rPr>
        <w:t>[CONFERIR: data da intimação/publicação no Diário Eletrônico]</w:t>
      </w:r>
      <w:r>
        <w:rPr>
          <w:rFonts w:ascii="Times New Roman" w:hAnsi="Times New Roman" w:cs="Times New Roman"/>
          <w:b w:val="0"/>
          <w:i w:val="0"/>
          <w:sz w:val="24"/>
        </w:rPr>
        <w:t>, contando-se o prazo em dias úteis, na forma do artigo 775 da CLT. O presente pedido é, portanto, tempestivo, e vem apresentado dentro do mesmo prazo de cinco dias em que o Juízo determinou a manifestação do Reclamante quanto à readequação de valores.</w:t>
      </w:r>
    </w:p>
    <w:p/>
    <w:p>
      <w:pPr>
        <w:ind w:firstLine="850"/>
        <w:jc w:val="both"/>
      </w:pPr>
      <w:r>
        <w:rPr>
          <w:rFonts w:ascii="Times New Roman" w:hAnsi="Times New Roman" w:cs="Times New Roman"/>
          <w:b w:val="0"/>
          <w:i w:val="0"/>
          <w:sz w:val="24"/>
        </w:rPr>
        <w:t xml:space="preserve">O ato impugnado tem natureza de decisão interlocutória com conteúdo terminativo parcial, situação em que a jurisprudência trabalhista, em regra, afasta a recorribilidade imediata, o que torna o pedido de reconsideração a via própria e útil neste momento processual </w:t>
      </w:r>
      <w:r>
        <w:rPr>
          <w:rFonts w:ascii="Times New Roman" w:hAnsi="Times New Roman" w:cs="Times New Roman"/>
          <w:b w:val="0"/>
          <w:i w:val="0"/>
          <w:color w:val="FF0000"/>
          <w:sz w:val="24"/>
        </w:rPr>
        <w:t>[CONFERIR: artigo 893, § 1º, da CLT e Súmula 214 do TST — cabimento, ou não, de recurso ordinário imediato contra extinção parcial]</w:t>
      </w:r>
      <w:r>
        <w:rPr>
          <w:rFonts w:ascii="Times New Roman" w:hAnsi="Times New Roman" w:cs="Times New Roman"/>
          <w:b w:val="0"/>
          <w:i w:val="0"/>
          <w:sz w:val="24"/>
        </w:rPr>
        <w:t>. De todo modo, formula-se desde já protesto antipreclusivo, nos termos do artigo 795 da CLT, com expressa ressalva de interposição do recurso cabível no momento oportuno.</w:t>
      </w:r>
    </w:p>
    <w:p/>
    <w:p>
      <w:pPr>
        <w:ind w:firstLine="850"/>
        <w:jc w:val="both"/>
      </w:pPr>
      <w:r>
        <w:rPr>
          <w:rFonts w:ascii="Times New Roman" w:hAnsi="Times New Roman" w:cs="Times New Roman"/>
          <w:b/>
          <w:i w:val="0"/>
          <w:sz w:val="24"/>
        </w:rPr>
        <w:t>II – DA SÍNTESE DA DECISÃO E DO PONTO A SER REVISTO</w:t>
      </w:r>
    </w:p>
    <w:p/>
    <w:p>
      <w:pPr>
        <w:ind w:firstLine="850"/>
        <w:jc w:val="both"/>
      </w:pPr>
      <w:r>
        <w:rPr>
          <w:rFonts w:ascii="Times New Roman" w:hAnsi="Times New Roman" w:cs="Times New Roman"/>
          <w:b w:val="0"/>
          <w:i w:val="0"/>
          <w:sz w:val="24"/>
        </w:rPr>
        <w:t>A decisão determinou o desmembramento da reclamatória com apoio na Resolução nº 96/2012 do Conselho Superior da Justiça do Trabalho e no Ofício nº 04/2012 dos Gestores Regionais do Programa Trabalho Seguro, extinguindo os pedidos dos itens "2", "6" a "14", "18" e "19" sob a premissa expressa de que tais postulações "não dizem respeito a acidentes do trabalho/doenças ocupacionais".</w:t>
      </w:r>
    </w:p>
    <w:p/>
    <w:p>
      <w:pPr>
        <w:ind w:firstLine="850"/>
        <w:jc w:val="both"/>
      </w:pPr>
      <w:r>
        <w:rPr>
          <w:rFonts w:ascii="Times New Roman" w:hAnsi="Times New Roman" w:cs="Times New Roman"/>
          <w:b w:val="0"/>
          <w:i w:val="0"/>
          <w:sz w:val="24"/>
        </w:rPr>
        <w:t>É exatamente essa premissa fática que se pede vênia para revisitar. Todos os pedidos extintos são consequência direta e necessária do acidente do trabalho equiparado, e nenhum deles subsiste autonomamente sem a apuração do nexo, da culpa e da omissão patronal que constituem o objeto desta ação acidentária.</w:t>
      </w:r>
    </w:p>
    <w:p/>
    <w:p>
      <w:pPr>
        <w:ind w:firstLine="850"/>
        <w:jc w:val="both"/>
      </w:pPr>
      <w:r>
        <w:rPr>
          <w:rFonts w:ascii="Times New Roman" w:hAnsi="Times New Roman" w:cs="Times New Roman"/>
          <w:b/>
          <w:i w:val="0"/>
          <w:sz w:val="24"/>
        </w:rPr>
        <w:t>III – DE QUE TODOS OS PEDIDOS EXTINTOS DECORREM DO ACIDENTE</w:t>
      </w:r>
    </w:p>
    <w:p/>
    <w:p>
      <w:pPr>
        <w:ind w:firstLine="850"/>
        <w:jc w:val="both"/>
      </w:pPr>
      <w:r>
        <w:rPr>
          <w:rFonts w:ascii="Times New Roman" w:hAnsi="Times New Roman" w:cs="Times New Roman"/>
          <w:b w:val="0"/>
          <w:i w:val="0"/>
          <w:sz w:val="24"/>
        </w:rPr>
        <w:t>O quadro abaixo demonstra, item a item, que a matéria extinta não é estranha ao acidente, mas dele derivada:</w:t>
      </w:r>
    </w:p>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Pr>
                <w:rFonts w:ascii="Times New Roman" w:hAnsi="Times New Roman" w:cs="Times New Roman"/>
                <w:b/>
                <w:i w:val="0"/>
                <w:sz w:val="22"/>
              </w:rPr>
              <w:t>Item</w:t>
            </w:r>
          </w:p>
        </w:tc>
        <w:tc>
          <w:tcPr>
            <w:tcW w:type="dxa" w:w="3213"/>
          </w:tcPr>
          <w:p>
            <w:pPr>
              <w:spacing w:line="240" w:lineRule="auto"/>
              <w:ind w:firstLine="0"/>
            </w:pPr>
            <w:r>
              <w:rPr>
                <w:rFonts w:ascii="Times New Roman" w:hAnsi="Times New Roman" w:cs="Times New Roman"/>
                <w:b/>
                <w:i w:val="0"/>
                <w:sz w:val="22"/>
              </w:rPr>
              <w:t>Pedido extinto</w:t>
            </w:r>
          </w:p>
        </w:tc>
        <w:tc>
          <w:tcPr>
            <w:tcW w:type="dxa" w:w="3213"/>
          </w:tcPr>
          <w:p>
            <w:pPr>
              <w:spacing w:line="240" w:lineRule="auto"/>
              <w:ind w:firstLine="0"/>
            </w:pPr>
            <w:r>
              <w:rPr>
                <w:rFonts w:ascii="Times New Roman" w:hAnsi="Times New Roman" w:cs="Times New Roman"/>
                <w:b/>
                <w:i w:val="0"/>
                <w:sz w:val="22"/>
              </w:rPr>
              <w:t>Vínculo com o acidente/doença ocupacional</w:t>
            </w:r>
          </w:p>
        </w:tc>
      </w:tr>
      <w:tr>
        <w:tc>
          <w:tcPr>
            <w:tcW w:type="dxa" w:w="3213"/>
          </w:tcPr>
          <w:p>
            <w:pPr>
              <w:spacing w:line="240" w:lineRule="auto"/>
              <w:ind w:firstLine="0"/>
            </w:pPr>
            <w:r>
              <w:rPr>
                <w:rFonts w:ascii="Times New Roman" w:hAnsi="Times New Roman" w:cs="Times New Roman"/>
                <w:b w:val="0"/>
                <w:i w:val="0"/>
                <w:sz w:val="22"/>
              </w:rPr>
              <w:t>2</w:t>
            </w:r>
          </w:p>
        </w:tc>
        <w:tc>
          <w:tcPr>
            <w:tcW w:type="dxa" w:w="3213"/>
          </w:tcPr>
          <w:p>
            <w:pPr>
              <w:spacing w:line="240" w:lineRule="auto"/>
              <w:ind w:firstLine="0"/>
            </w:pPr>
            <w:r>
              <w:rPr>
                <w:rFonts w:ascii="Times New Roman" w:hAnsi="Times New Roman" w:cs="Times New Roman"/>
                <w:b w:val="0"/>
                <w:i w:val="0"/>
                <w:sz w:val="22"/>
              </w:rPr>
              <w:t>Tutela de urgência para obstar justa causa por abandono</w:t>
            </w:r>
          </w:p>
        </w:tc>
        <w:tc>
          <w:tcPr>
            <w:tcW w:type="dxa" w:w="3213"/>
          </w:tcPr>
          <w:p>
            <w:pPr>
              <w:spacing w:line="240" w:lineRule="auto"/>
              <w:ind w:firstLine="0"/>
            </w:pPr>
            <w:r>
              <w:rPr>
                <w:rFonts w:ascii="Times New Roman" w:hAnsi="Times New Roman" w:cs="Times New Roman"/>
                <w:b w:val="0"/>
                <w:i w:val="0"/>
                <w:sz w:val="22"/>
              </w:rPr>
              <w:t>Protege o afastamento decorrente das lesões e das restrições médicas</w:t>
            </w:r>
          </w:p>
        </w:tc>
      </w:tr>
      <w:tr>
        <w:tc>
          <w:tcPr>
            <w:tcW w:type="dxa" w:w="3213"/>
          </w:tcPr>
          <w:p>
            <w:pPr>
              <w:spacing w:line="240" w:lineRule="auto"/>
              <w:ind w:firstLine="0"/>
            </w:pPr>
            <w:r>
              <w:rPr>
                <w:rFonts w:ascii="Times New Roman" w:hAnsi="Times New Roman" w:cs="Times New Roman"/>
                <w:b w:val="0"/>
                <w:i w:val="0"/>
                <w:sz w:val="22"/>
              </w:rPr>
              <w:t>6</w:t>
            </w:r>
          </w:p>
        </w:tc>
        <w:tc>
          <w:tcPr>
            <w:tcW w:type="dxa" w:w="3213"/>
          </w:tcPr>
          <w:p>
            <w:pPr>
              <w:spacing w:line="240" w:lineRule="auto"/>
              <w:ind w:firstLine="0"/>
            </w:pPr>
            <w:r>
              <w:rPr>
                <w:rFonts w:ascii="Times New Roman" w:hAnsi="Times New Roman" w:cs="Times New Roman"/>
                <w:b w:val="0"/>
                <w:i w:val="0"/>
                <w:sz w:val="22"/>
              </w:rPr>
              <w:t>Rescisão indireta (art. 483, "c" e "d", da CLT)</w:t>
            </w:r>
          </w:p>
        </w:tc>
        <w:tc>
          <w:tcPr>
            <w:tcW w:type="dxa" w:w="3213"/>
          </w:tcPr>
          <w:p>
            <w:pPr>
              <w:spacing w:line="240" w:lineRule="auto"/>
              <w:ind w:firstLine="0"/>
            </w:pPr>
            <w:r>
              <w:rPr>
                <w:rFonts w:ascii="Times New Roman" w:hAnsi="Times New Roman" w:cs="Times New Roman"/>
                <w:b w:val="0"/>
                <w:i w:val="0"/>
                <w:sz w:val="22"/>
              </w:rPr>
              <w:t>A causa de pedir é a exposição a perigo de mal considerável e o descumprimento das obrigações de saúde e segurança</w:t>
            </w:r>
          </w:p>
        </w:tc>
      </w:tr>
      <w:tr>
        <w:tc>
          <w:tcPr>
            <w:tcW w:type="dxa" w:w="3213"/>
          </w:tcPr>
          <w:p>
            <w:pPr>
              <w:spacing w:line="240" w:lineRule="auto"/>
              <w:ind w:firstLine="0"/>
            </w:pPr>
            <w:r>
              <w:rPr>
                <w:rFonts w:ascii="Times New Roman" w:hAnsi="Times New Roman" w:cs="Times New Roman"/>
                <w:b w:val="0"/>
                <w:i w:val="0"/>
                <w:sz w:val="22"/>
              </w:rPr>
              <w:t>7</w:t>
            </w:r>
          </w:p>
        </w:tc>
        <w:tc>
          <w:tcPr>
            <w:tcW w:type="dxa" w:w="3213"/>
          </w:tcPr>
          <w:p>
            <w:pPr>
              <w:spacing w:line="240" w:lineRule="auto"/>
              <w:ind w:firstLine="0"/>
            </w:pPr>
            <w:r>
              <w:rPr>
                <w:rFonts w:ascii="Times New Roman" w:hAnsi="Times New Roman" w:cs="Times New Roman"/>
                <w:b w:val="0"/>
                <w:i w:val="0"/>
                <w:sz w:val="22"/>
              </w:rPr>
              <w:t>Inexistência de abandono de emprego</w:t>
            </w:r>
          </w:p>
        </w:tc>
        <w:tc>
          <w:tcPr>
            <w:tcW w:type="dxa" w:w="3213"/>
          </w:tcPr>
          <w:p>
            <w:pPr>
              <w:spacing w:line="240" w:lineRule="auto"/>
              <w:ind w:firstLine="0"/>
            </w:pPr>
            <w:r>
              <w:rPr>
                <w:rFonts w:ascii="Times New Roman" w:hAnsi="Times New Roman" w:cs="Times New Roman"/>
                <w:b w:val="0"/>
                <w:i w:val="0"/>
                <w:sz w:val="22"/>
              </w:rPr>
              <w:t>A ausência decorre das lesões e do exercício do art. 483, § 3º, da CLT</w:t>
            </w:r>
          </w:p>
        </w:tc>
      </w:tr>
      <w:tr>
        <w:tc>
          <w:tcPr>
            <w:tcW w:type="dxa" w:w="3213"/>
          </w:tcPr>
          <w:p>
            <w:pPr>
              <w:spacing w:line="240" w:lineRule="auto"/>
              <w:ind w:firstLine="0"/>
            </w:pPr>
            <w:r>
              <w:rPr>
                <w:rFonts w:ascii="Times New Roman" w:hAnsi="Times New Roman" w:cs="Times New Roman"/>
                <w:b w:val="0"/>
                <w:i w:val="0"/>
                <w:sz w:val="22"/>
              </w:rPr>
              <w:t>8 a 11</w:t>
            </w:r>
          </w:p>
        </w:tc>
        <w:tc>
          <w:tcPr>
            <w:tcW w:type="dxa" w:w="3213"/>
          </w:tcPr>
          <w:p>
            <w:pPr>
              <w:spacing w:line="240" w:lineRule="auto"/>
              <w:ind w:firstLine="0"/>
            </w:pPr>
            <w:r>
              <w:rPr>
                <w:rFonts w:ascii="Times New Roman" w:hAnsi="Times New Roman" w:cs="Times New Roman"/>
                <w:b w:val="0"/>
                <w:i w:val="0"/>
                <w:sz w:val="22"/>
              </w:rPr>
              <w:t>Aviso-prévio, 13º, férias + 1/3 e FGTS + 40%</w:t>
            </w:r>
          </w:p>
        </w:tc>
        <w:tc>
          <w:tcPr>
            <w:tcW w:type="dxa" w:w="3213"/>
          </w:tcPr>
          <w:p>
            <w:pPr>
              <w:spacing w:line="240" w:lineRule="auto"/>
              <w:ind w:firstLine="0"/>
            </w:pPr>
            <w:r>
              <w:rPr>
                <w:rFonts w:ascii="Times New Roman" w:hAnsi="Times New Roman" w:cs="Times New Roman"/>
                <w:b w:val="0"/>
                <w:i w:val="0"/>
                <w:sz w:val="22"/>
              </w:rPr>
              <w:t>Efeitos patrimoniais automáticos do reconhecimento da rescisão indireta acidentária</w:t>
            </w:r>
          </w:p>
        </w:tc>
      </w:tr>
      <w:tr>
        <w:tc>
          <w:tcPr>
            <w:tcW w:type="dxa" w:w="3213"/>
          </w:tcPr>
          <w:p>
            <w:pPr>
              <w:spacing w:line="240" w:lineRule="auto"/>
              <w:ind w:firstLine="0"/>
            </w:pPr>
            <w:r>
              <w:rPr>
                <w:rFonts w:ascii="Times New Roman" w:hAnsi="Times New Roman" w:cs="Times New Roman"/>
                <w:b w:val="0"/>
                <w:i w:val="0"/>
                <w:sz w:val="22"/>
              </w:rPr>
              <w:t>12 e 13</w:t>
            </w:r>
          </w:p>
        </w:tc>
        <w:tc>
          <w:tcPr>
            <w:tcW w:type="dxa" w:w="3213"/>
          </w:tcPr>
          <w:p>
            <w:pPr>
              <w:spacing w:line="240" w:lineRule="auto"/>
              <w:ind w:firstLine="0"/>
            </w:pPr>
            <w:r>
              <w:rPr>
                <w:rFonts w:ascii="Times New Roman" w:hAnsi="Times New Roman" w:cs="Times New Roman"/>
                <w:b w:val="0"/>
                <w:i w:val="0"/>
                <w:sz w:val="22"/>
              </w:rPr>
              <w:t>Liberação do FGTS e guias do seguro-desemprego</w:t>
            </w:r>
          </w:p>
        </w:tc>
        <w:tc>
          <w:tcPr>
            <w:tcW w:type="dxa" w:w="3213"/>
          </w:tcPr>
          <w:p>
            <w:pPr>
              <w:spacing w:line="240" w:lineRule="auto"/>
              <w:ind w:firstLine="0"/>
            </w:pPr>
            <w:r>
              <w:rPr>
                <w:rFonts w:ascii="Times New Roman" w:hAnsi="Times New Roman" w:cs="Times New Roman"/>
                <w:b w:val="0"/>
                <w:i w:val="0"/>
                <w:sz w:val="22"/>
              </w:rPr>
              <w:t>Obrigações de fazer decorrentes da mesma extinção contratual</w:t>
            </w:r>
          </w:p>
        </w:tc>
      </w:tr>
      <w:tr>
        <w:tc>
          <w:tcPr>
            <w:tcW w:type="dxa" w:w="3213"/>
          </w:tcPr>
          <w:p>
            <w:pPr>
              <w:spacing w:line="240" w:lineRule="auto"/>
              <w:ind w:firstLine="0"/>
            </w:pPr>
            <w:r>
              <w:rPr>
                <w:rFonts w:ascii="Times New Roman" w:hAnsi="Times New Roman" w:cs="Times New Roman"/>
                <w:b w:val="0"/>
                <w:i w:val="0"/>
                <w:sz w:val="22"/>
              </w:rPr>
              <w:t>14</w:t>
            </w:r>
          </w:p>
        </w:tc>
        <w:tc>
          <w:tcPr>
            <w:tcW w:type="dxa" w:w="3213"/>
          </w:tcPr>
          <w:p>
            <w:pPr>
              <w:spacing w:line="240" w:lineRule="auto"/>
              <w:ind w:firstLine="0"/>
            </w:pPr>
            <w:r>
              <w:rPr>
                <w:rFonts w:ascii="Times New Roman" w:hAnsi="Times New Roman" w:cs="Times New Roman"/>
                <w:b w:val="0"/>
                <w:i w:val="0"/>
                <w:sz w:val="22"/>
              </w:rPr>
              <w:t>Retificação da data de saída</w:t>
            </w:r>
          </w:p>
        </w:tc>
        <w:tc>
          <w:tcPr>
            <w:tcW w:type="dxa" w:w="3213"/>
          </w:tcPr>
          <w:p>
            <w:pPr>
              <w:spacing w:line="240" w:lineRule="auto"/>
              <w:ind w:firstLine="0"/>
            </w:pPr>
            <w:r>
              <w:rPr>
                <w:rFonts w:ascii="Times New Roman" w:hAnsi="Times New Roman" w:cs="Times New Roman"/>
                <w:b w:val="0"/>
                <w:i w:val="0"/>
                <w:sz w:val="22"/>
              </w:rPr>
              <w:t>Fixa o termo final do contrato, marco da estabilidade acidentária</w:t>
            </w:r>
          </w:p>
        </w:tc>
      </w:tr>
      <w:tr>
        <w:tc>
          <w:tcPr>
            <w:tcW w:type="dxa" w:w="3213"/>
          </w:tcPr>
          <w:p>
            <w:pPr>
              <w:spacing w:line="240" w:lineRule="auto"/>
              <w:ind w:firstLine="0"/>
            </w:pPr>
            <w:r>
              <w:rPr>
                <w:rFonts w:ascii="Times New Roman" w:hAnsi="Times New Roman" w:cs="Times New Roman"/>
                <w:b w:val="0"/>
                <w:i w:val="0"/>
                <w:sz w:val="22"/>
              </w:rPr>
              <w:t>18</w:t>
            </w:r>
          </w:p>
        </w:tc>
        <w:tc>
          <w:tcPr>
            <w:tcW w:type="dxa" w:w="3213"/>
          </w:tcPr>
          <w:p>
            <w:pPr>
              <w:spacing w:line="240" w:lineRule="auto"/>
              <w:ind w:firstLine="0"/>
            </w:pPr>
            <w:r>
              <w:rPr>
                <w:rFonts w:ascii="Times New Roman" w:hAnsi="Times New Roman" w:cs="Times New Roman"/>
                <w:b w:val="0"/>
                <w:i w:val="0"/>
                <w:sz w:val="22"/>
              </w:rPr>
              <w:t>Multa do art. 477, § 8º, da CLT</w:t>
            </w:r>
          </w:p>
        </w:tc>
        <w:tc>
          <w:tcPr>
            <w:tcW w:type="dxa" w:w="3213"/>
          </w:tcPr>
          <w:p>
            <w:pPr>
              <w:spacing w:line="240" w:lineRule="auto"/>
              <w:ind w:firstLine="0"/>
            </w:pPr>
            <w:r>
              <w:rPr>
                <w:rFonts w:ascii="Times New Roman" w:hAnsi="Times New Roman" w:cs="Times New Roman"/>
                <w:b w:val="0"/>
                <w:i w:val="0"/>
                <w:sz w:val="22"/>
              </w:rPr>
              <w:t>Acessório do reconhecimento judicial da rescisão indireta</w:t>
            </w:r>
          </w:p>
        </w:tc>
      </w:tr>
      <w:tr>
        <w:tc>
          <w:tcPr>
            <w:tcW w:type="dxa" w:w="3213"/>
          </w:tcPr>
          <w:p>
            <w:pPr>
              <w:spacing w:line="240" w:lineRule="auto"/>
              <w:ind w:firstLine="0"/>
            </w:pPr>
            <w:r>
              <w:rPr>
                <w:rFonts w:ascii="Times New Roman" w:hAnsi="Times New Roman" w:cs="Times New Roman"/>
                <w:b w:val="0"/>
                <w:i w:val="0"/>
                <w:sz w:val="22"/>
              </w:rPr>
              <w:t>19</w:t>
            </w:r>
          </w:p>
        </w:tc>
        <w:tc>
          <w:tcPr>
            <w:tcW w:type="dxa" w:w="3213"/>
          </w:tcPr>
          <w:p>
            <w:pPr>
              <w:spacing w:line="240" w:lineRule="auto"/>
              <w:ind w:firstLine="0"/>
            </w:pPr>
            <w:r>
              <w:rPr>
                <w:rFonts w:ascii="Times New Roman" w:hAnsi="Times New Roman" w:cs="Times New Roman"/>
                <w:b w:val="0"/>
                <w:i w:val="0"/>
                <w:sz w:val="22"/>
              </w:rPr>
              <w:t>Multa do art. 467 da CLT</w:t>
            </w:r>
          </w:p>
        </w:tc>
        <w:tc>
          <w:tcPr>
            <w:tcW w:type="dxa" w:w="3213"/>
          </w:tcPr>
          <w:p>
            <w:pPr>
              <w:spacing w:line="240" w:lineRule="auto"/>
              <w:ind w:firstLine="0"/>
            </w:pPr>
            <w:r>
              <w:rPr>
                <w:rFonts w:ascii="Times New Roman" w:hAnsi="Times New Roman" w:cs="Times New Roman"/>
                <w:b w:val="0"/>
                <w:i w:val="0"/>
                <w:sz w:val="22"/>
              </w:rPr>
              <w:t>Acessório processual das mesmas verbas</w:t>
            </w:r>
          </w:p>
        </w:tc>
      </w:tr>
    </w:tbl>
    <w:p/>
    <w:p>
      <w:pPr>
        <w:ind w:firstLine="850"/>
        <w:jc w:val="both"/>
      </w:pPr>
      <w:r>
        <w:rPr>
          <w:rFonts w:ascii="Times New Roman" w:hAnsi="Times New Roman" w:cs="Times New Roman"/>
          <w:b w:val="0"/>
          <w:i w:val="0"/>
          <w:sz w:val="24"/>
        </w:rPr>
        <w:t>Não há, no rol extinto, um único pedido de natureza estritamente contratual desvinculado do infortúnio: não se postulou horas extras, adicional noturno, diferenças salariais, equiparação, desvio de função ou qualquer título que pudesse ser apurado sem a prova do acidente. O que restou extinto foi, precisamente, a cadeia de consequências da doença ocupacional.</w:t>
      </w:r>
    </w:p>
    <w:p/>
    <w:p>
      <w:pPr>
        <w:ind w:firstLine="850"/>
        <w:jc w:val="both"/>
      </w:pPr>
      <w:r>
        <w:rPr>
          <w:rFonts w:ascii="Times New Roman" w:hAnsi="Times New Roman" w:cs="Times New Roman"/>
          <w:b/>
          <w:i w:val="0"/>
          <w:sz w:val="24"/>
        </w:rPr>
        <w:t>IV – DA CAUSA DE PEDIR DA RESCISÃO INDIRETA</w:t>
      </w:r>
    </w:p>
    <w:p/>
    <w:p>
      <w:pPr>
        <w:ind w:firstLine="850"/>
        <w:jc w:val="both"/>
      </w:pPr>
      <w:r>
        <w:rPr>
          <w:rFonts w:ascii="Times New Roman" w:hAnsi="Times New Roman" w:cs="Times New Roman"/>
          <w:b w:val="0"/>
          <w:i w:val="0"/>
          <w:sz w:val="24"/>
        </w:rPr>
        <w:t>A rescisão indireta postulada não se funda em atraso salarial, em ausência de recolhimento do FGTS ou em qualquer falta patronal de ordem econômica. Funda-se, única e exclusivamente, na conduta da empregadora diante do adoecimento ocupacional do Reclamante, tal como narrado nos capítulos V a XVII da petição inicial:</w:t>
      </w:r>
    </w:p>
    <w:p/>
    <w:p>
      <w:pPr>
        <w:ind w:firstLine="850"/>
        <w:jc w:val="both"/>
      </w:pPr>
      <w:r>
        <w:rPr>
          <w:rFonts w:ascii="Times New Roman" w:hAnsi="Times New Roman" w:cs="Times New Roman"/>
          <w:b w:val="0"/>
          <w:i w:val="0"/>
          <w:sz w:val="24"/>
        </w:rPr>
        <w:t>a) supressão do rodízio entre estações, medida ergonômica prevista pela própria Reclamada e destinada a distribuir a sobrecarga biomecânica;</w:t>
      </w:r>
    </w:p>
    <w:p/>
    <w:p>
      <w:pPr>
        <w:ind w:firstLine="850"/>
        <w:jc w:val="both"/>
      </w:pPr>
      <w:r>
        <w:rPr>
          <w:rFonts w:ascii="Times New Roman" w:hAnsi="Times New Roman" w:cs="Times New Roman"/>
          <w:b w:val="0"/>
          <w:i w:val="0"/>
          <w:sz w:val="24"/>
        </w:rPr>
        <w:t>b) manutenção do trabalhador na mesma tarefa repetitiva após a comunicação das dores, do edema e do desprendimento ungueal;</w:t>
      </w:r>
    </w:p>
    <w:p/>
    <w:p>
      <w:pPr>
        <w:ind w:firstLine="850"/>
        <w:jc w:val="both"/>
      </w:pPr>
      <w:r>
        <w:rPr>
          <w:rFonts w:ascii="Times New Roman" w:hAnsi="Times New Roman" w:cs="Times New Roman"/>
          <w:b w:val="0"/>
          <w:i w:val="0"/>
          <w:sz w:val="24"/>
        </w:rPr>
        <w:t>c) descumprimento das recomendações médicas de restrição de força e de repetitividade e ausência de readaptação eficaz;</w:t>
      </w:r>
    </w:p>
    <w:p/>
    <w:p>
      <w:pPr>
        <w:ind w:firstLine="850"/>
        <w:jc w:val="both"/>
      </w:pPr>
      <w:r>
        <w:rPr>
          <w:rFonts w:ascii="Times New Roman" w:hAnsi="Times New Roman" w:cs="Times New Roman"/>
          <w:b w:val="0"/>
          <w:i w:val="0"/>
          <w:sz w:val="24"/>
        </w:rPr>
        <w:t>d) omissão na emissão da comunicação de acidente do trabalho, em violação ao artigo 22 da Lei nº 8.213/1991;</w:t>
      </w:r>
    </w:p>
    <w:p/>
    <w:p>
      <w:pPr>
        <w:ind w:firstLine="850"/>
        <w:jc w:val="both"/>
      </w:pPr>
      <w:r>
        <w:rPr>
          <w:rFonts w:ascii="Times New Roman" w:hAnsi="Times New Roman" w:cs="Times New Roman"/>
          <w:b w:val="0"/>
          <w:i w:val="0"/>
          <w:sz w:val="24"/>
        </w:rPr>
        <w:t>e) inobservância do artigo 7º, XXII, da Constituição Federal, do artigo 157 da CLT e da NR-17.</w:t>
      </w:r>
    </w:p>
    <w:p/>
    <w:p>
      <w:pPr>
        <w:ind w:firstLine="850"/>
        <w:jc w:val="both"/>
      </w:pPr>
      <w:r>
        <w:rPr>
          <w:rFonts w:ascii="Times New Roman" w:hAnsi="Times New Roman" w:cs="Times New Roman"/>
          <w:b w:val="0"/>
          <w:i w:val="0"/>
          <w:sz w:val="24"/>
        </w:rPr>
        <w:t>Tais fatos foram deduzidos como fundamento simultâneo da responsabilidade civil (item 5, mantido), do reconhecimento da doença ocupacional (item 4, mantido), da estabilidade acidentária (itens 15 e 16, mantidos) e da rescisão indireta (item 6, extinto). É a mesma causa de pedir, sustentando pedidos que a decisão separou em processos distintos.</w:t>
      </w:r>
    </w:p>
    <w:p/>
    <w:p>
      <w:pPr>
        <w:ind w:firstLine="850"/>
        <w:jc w:val="both"/>
      </w:pPr>
      <w:r>
        <w:rPr>
          <w:rFonts w:ascii="Times New Roman" w:hAnsi="Times New Roman" w:cs="Times New Roman"/>
          <w:b w:val="0"/>
          <w:i w:val="0"/>
          <w:sz w:val="24"/>
        </w:rPr>
        <w:t>Nesse exato sentido a jurisprudência:</w:t>
      </w:r>
    </w:p>
    <w:p/>
    <w:p>
      <w:pPr>
        <w:ind w:firstLine="0" w:left="2268"/>
        <w:jc w:val="both"/>
      </w:pPr>
      <w:r>
        <w:rPr>
          <w:rFonts w:ascii="Times New Roman" w:hAnsi="Times New Roman" w:cs="Times New Roman"/>
          <w:b w:val="0"/>
          <w:i w:val="0"/>
          <w:sz w:val="24"/>
        </w:rPr>
        <w:t>RESCISÃO INDIRETA. ACIDENTE DO TRABALHO. DESCUMPRIMENTO DAS OBRIGAÇÕES CONTRATUAIS RELACIONADAS AO MEIO AMBIENTE SAUDÁVEL. FALTA GRAVE DO EMPREGADOR. Consistem hipóteses de rescisão indireta do contrato de trabalho o descumprimento pela empresa das obrigações contratuais e a exposição do empregado a perigo manifesto de mal considerável, com fulcro nas alíneas "c" e "d" do artigo 483 da CLT, o que se caracteriza quando constatada a exposição da saúde e da integridade física do trabalhador pela não observância de normas relacionadas ao meio ambiente do trabalho saudável, ocasionando típico acidente de trabalho. (TRT-3, RO 0010177-31.2017.5.03.0030, Rel. Emerson José Alves Lage, 1ª Turma)</w:t>
      </w:r>
    </w:p>
    <w:p/>
    <w:p>
      <w:pPr>
        <w:ind w:firstLine="0" w:left="2268"/>
        <w:jc w:val="both"/>
      </w:pPr>
      <w:r>
        <w:rPr>
          <w:rFonts w:ascii="Times New Roman" w:hAnsi="Times New Roman" w:cs="Times New Roman"/>
          <w:b w:val="0"/>
          <w:i w:val="0"/>
          <w:sz w:val="24"/>
        </w:rPr>
        <w:t xml:space="preserve">RESCISÃO INDIRETA. ACIDENTE DE TRABALHO TÍPICO. A ocorrência de acidente de trabalho típico por culpa do empregador, que não garantiu um ambiente de trabalho seguro ao empregado, autoriza a rescisão indireta do contrato de trabalho, nos termos do art. 483, "d", da CLT. </w:t>
      </w:r>
      <w:r>
        <w:rPr>
          <w:rFonts w:ascii="Times New Roman" w:hAnsi="Times New Roman" w:cs="Times New Roman"/>
          <w:b w:val="0"/>
          <w:i w:val="0"/>
          <w:color w:val="FF0000"/>
          <w:sz w:val="24"/>
        </w:rPr>
        <w:t>[CONFERIR: TRT-9, ROT 0001262-12.2023.5.09.0128, Rel. Luiz Eduardo Gunther, 7ª Turma, j. 28/01/2025]</w:t>
      </w:r>
    </w:p>
    <w:p/>
    <w:p>
      <w:pPr>
        <w:ind w:firstLine="850"/>
        <w:jc w:val="both"/>
      </w:pPr>
      <w:r>
        <w:rPr>
          <w:rFonts w:ascii="Times New Roman" w:hAnsi="Times New Roman" w:cs="Times New Roman"/>
          <w:b w:val="0"/>
          <w:i w:val="0"/>
          <w:sz w:val="24"/>
        </w:rPr>
        <w:t>Se a falta grave patronal invocada é o próprio acidente, julgar a rescisão indireta é julgar o acidente. Não há como cindir o que a lei material uniu.</w:t>
      </w:r>
    </w:p>
    <w:p/>
    <w:p>
      <w:pPr>
        <w:ind w:firstLine="850"/>
        <w:jc w:val="both"/>
      </w:pPr>
      <w:r>
        <w:rPr>
          <w:rFonts w:ascii="Times New Roman" w:hAnsi="Times New Roman" w:cs="Times New Roman"/>
          <w:b/>
          <w:i w:val="0"/>
          <w:sz w:val="24"/>
        </w:rPr>
        <w:t>V – DA PREJUDICIALIDADE COM OS PEDIDOS MANTIDOS</w:t>
      </w:r>
    </w:p>
    <w:p/>
    <w:p>
      <w:pPr>
        <w:ind w:firstLine="850"/>
        <w:jc w:val="both"/>
      </w:pPr>
      <w:r>
        <w:rPr>
          <w:rFonts w:ascii="Times New Roman" w:hAnsi="Times New Roman" w:cs="Times New Roman"/>
          <w:b w:val="0"/>
          <w:i w:val="0"/>
          <w:sz w:val="24"/>
        </w:rPr>
        <w:t>O desmembramento, tal como determinado, deixa nesta ação pedidos que não podem ser decididos sem o exame da matéria extinta.</w:t>
      </w:r>
    </w:p>
    <w:p/>
    <w:p>
      <w:pPr>
        <w:ind w:firstLine="850"/>
        <w:jc w:val="both"/>
      </w:pPr>
      <w:r>
        <w:rPr>
          <w:rFonts w:ascii="Times New Roman" w:hAnsi="Times New Roman" w:cs="Times New Roman"/>
          <w:b w:val="0"/>
          <w:i w:val="0"/>
          <w:sz w:val="24"/>
        </w:rPr>
        <w:t xml:space="preserve">A indenização substitutiva do período de estabilidade acidentária (itens 15 e 16, mantidos) pressupõe, por definição, contrato extinto, data certa de extinção e modalidade de extinção que não seja imputável ao empregado. Ocorre que a data de saída (item 14), a modalidade de extinção (item 6) e a inexistência de abandono ou justa causa (item 7) foram justamente os pedidos extintos. O Juízo permaneceu com a consequência e remeteu a outro processo a sua premissa lógica </w:t>
      </w:r>
      <w:r>
        <w:rPr>
          <w:rFonts w:ascii="Times New Roman" w:hAnsi="Times New Roman" w:cs="Times New Roman"/>
          <w:b w:val="0"/>
          <w:i w:val="0"/>
          <w:color w:val="FF0000"/>
          <w:sz w:val="24"/>
        </w:rPr>
        <w:t>[CONFERIR: Súmulas 378 e 396 do TST]</w:t>
      </w:r>
      <w:r>
        <w:rPr>
          <w:rFonts w:ascii="Times New Roman" w:hAnsi="Times New Roman" w:cs="Times New Roman"/>
          <w:b w:val="0"/>
          <w:i w:val="0"/>
          <w:sz w:val="24"/>
        </w:rPr>
        <w:t>.</w:t>
      </w:r>
    </w:p>
    <w:p/>
    <w:p>
      <w:pPr>
        <w:ind w:firstLine="850"/>
        <w:jc w:val="both"/>
      </w:pPr>
      <w:r>
        <w:rPr>
          <w:rFonts w:ascii="Times New Roman" w:hAnsi="Times New Roman" w:cs="Times New Roman"/>
          <w:b w:val="0"/>
          <w:i w:val="0"/>
          <w:sz w:val="24"/>
        </w:rPr>
        <w:t>O risco de decisões conflitantes é concreto e imediato. Basta imaginar que, na ação desmembrada, se reconheça abandono de emprego ou se valide justa causa aplicada pela Reclamada: a estabilidade acidentária discutida nestes autos restaria esvaziada, ainda que aqui reconhecidos a doença ocupacional, o nexo e a culpa patronal. O inverso também é verdadeiro. O ordenamento processual, diante desse risco, determina a reunião de causas, e não a sua separação, como se extrai dos artigos 55, § 3º, e 57 do Código de Processo Civil.</w:t>
      </w:r>
    </w:p>
    <w:p/>
    <w:p>
      <w:pPr>
        <w:ind w:firstLine="850"/>
        <w:jc w:val="both"/>
      </w:pPr>
      <w:r>
        <w:rPr>
          <w:rFonts w:ascii="Times New Roman" w:hAnsi="Times New Roman" w:cs="Times New Roman"/>
          <w:b w:val="0"/>
          <w:i w:val="0"/>
          <w:sz w:val="24"/>
        </w:rPr>
        <w:t>A tutela de urgência do item 2, igualmente extinta, destina-se a impedir que a Reclamada converta em justa causa o afastamento decorrente das lesões enquanto pende a apuração pericial nesta ação. Extinta a medida, o Reclamante fica exposto exatamente ao dano que a tutela pretendia evitar, e o objeto acidentário desta ação fica desprotegido.</w:t>
      </w:r>
    </w:p>
    <w:p/>
    <w:p>
      <w:pPr>
        <w:ind w:firstLine="850"/>
        <w:jc w:val="both"/>
      </w:pPr>
      <w:r>
        <w:rPr>
          <w:rFonts w:ascii="Times New Roman" w:hAnsi="Times New Roman" w:cs="Times New Roman"/>
          <w:b/>
          <w:i w:val="0"/>
          <w:sz w:val="24"/>
        </w:rPr>
        <w:t>VI – DA UNIDADE E DA INDIVISIBILIDADE DA PROVA</w:t>
      </w:r>
    </w:p>
    <w:p/>
    <w:p>
      <w:pPr>
        <w:ind w:firstLine="850"/>
        <w:jc w:val="both"/>
      </w:pPr>
      <w:r>
        <w:rPr>
          <w:rFonts w:ascii="Times New Roman" w:hAnsi="Times New Roman" w:cs="Times New Roman"/>
          <w:b w:val="0"/>
          <w:i w:val="0"/>
          <w:sz w:val="24"/>
        </w:rPr>
        <w:t>A prova necessária ao julgamento da rescisão indireta é rigorosamente a mesma prova requerida para o acidente:</w:t>
      </w:r>
    </w:p>
    <w:p/>
    <w:p>
      <w:pPr>
        <w:ind w:firstLine="850"/>
        <w:jc w:val="both"/>
      </w:pPr>
      <w:r>
        <w:rPr>
          <w:rFonts w:ascii="Times New Roman" w:hAnsi="Times New Roman" w:cs="Times New Roman"/>
          <w:b w:val="0"/>
          <w:i w:val="0"/>
          <w:sz w:val="24"/>
        </w:rPr>
        <w:t>a) perícia médica sobre nexo causal ou concausal e incapacidade;</w:t>
      </w:r>
    </w:p>
    <w:p/>
    <w:p>
      <w:pPr>
        <w:ind w:firstLine="850"/>
        <w:jc w:val="both"/>
      </w:pPr>
      <w:r>
        <w:rPr>
          <w:rFonts w:ascii="Times New Roman" w:hAnsi="Times New Roman" w:cs="Times New Roman"/>
          <w:b w:val="0"/>
          <w:i w:val="0"/>
          <w:sz w:val="24"/>
        </w:rPr>
        <w:t>b) perícia ergonômica ou inspeção judicial sobre tempo de ciclo, força manual, repetitividade e rodízio;</w:t>
      </w:r>
    </w:p>
    <w:p/>
    <w:p>
      <w:pPr>
        <w:ind w:firstLine="850"/>
        <w:jc w:val="both"/>
      </w:pPr>
      <w:r>
        <w:rPr>
          <w:rFonts w:ascii="Times New Roman" w:hAnsi="Times New Roman" w:cs="Times New Roman"/>
          <w:b w:val="0"/>
          <w:i w:val="0"/>
          <w:sz w:val="24"/>
        </w:rPr>
        <w:t>c) prova oral da liderança, do setor de recursos humanos, do serviço médico ocupacional e dos colegas de linha;</w:t>
      </w:r>
    </w:p>
    <w:p/>
    <w:p>
      <w:pPr>
        <w:ind w:firstLine="850"/>
        <w:jc w:val="both"/>
      </w:pPr>
      <w:r>
        <w:rPr>
          <w:rFonts w:ascii="Times New Roman" w:hAnsi="Times New Roman" w:cs="Times New Roman"/>
          <w:b w:val="0"/>
          <w:i w:val="0"/>
          <w:sz w:val="24"/>
        </w:rPr>
        <w:t>d) prova documental de programa de gerenciamento de riscos, PCMSO, análise ergonômica do trabalho, escalas de rodízio, prontuários e comunicações internas.</w:t>
      </w:r>
    </w:p>
    <w:p/>
    <w:p>
      <w:pPr>
        <w:ind w:firstLine="850"/>
        <w:jc w:val="both"/>
      </w:pPr>
      <w:r>
        <w:rPr>
          <w:rFonts w:ascii="Times New Roman" w:hAnsi="Times New Roman" w:cs="Times New Roman"/>
          <w:b w:val="0"/>
          <w:i w:val="0"/>
          <w:sz w:val="24"/>
        </w:rPr>
        <w:t>Manter o desmembramento significa produzir duas perícias médicas e duas perícias ergonômicas sobre o mesmo posto de trabalho, ouvir duas vezes as mesmas testemunhas sobre os mesmos fatos e submeter a Reclamada a duplicidade de exibição documental, com risco real de laudos e depoimentos divergentes. O resultado é o oposto da celeridade que a Resolução nº 96/2012 do Conselho Superior da Justiça do Trabalho buscou assegurar ao instituir a tramitação prioritária dos feitos acidentários.</w:t>
      </w:r>
    </w:p>
    <w:p/>
    <w:p>
      <w:pPr>
        <w:ind w:firstLine="850"/>
        <w:jc w:val="both"/>
      </w:pPr>
      <w:r>
        <w:rPr>
          <w:rFonts w:ascii="Times New Roman" w:hAnsi="Times New Roman" w:cs="Times New Roman"/>
          <w:b/>
          <w:i w:val="0"/>
          <w:sz w:val="24"/>
        </w:rPr>
        <w:t>VII – DOS FUNDAMENTOS NORMATIVOS DA APURAÇÃO CONJUNTA</w:t>
      </w:r>
    </w:p>
    <w:p/>
    <w:p>
      <w:pPr>
        <w:ind w:firstLine="850"/>
        <w:jc w:val="both"/>
      </w:pPr>
      <w:r>
        <w:rPr>
          <w:rFonts w:ascii="Times New Roman" w:hAnsi="Times New Roman" w:cs="Times New Roman"/>
          <w:b w:val="0"/>
          <w:i w:val="0"/>
          <w:sz w:val="24"/>
        </w:rPr>
        <w:t>Primeiro, os próprios atos invocados na decisão delimitam o desmembramento aos pedidos que não digam respeito ao acidente. A decisão o afirma expressamente ao extinguir as postulações "pois não dizem respeito a acidentes do trabalho/doenças ocupacionais". Demonstrado que dizem respeito, a recomendação administrativa não alcança a hipótese dos autos.</w:t>
      </w:r>
    </w:p>
    <w:p/>
    <w:p>
      <w:pPr>
        <w:ind w:firstLine="850"/>
        <w:jc w:val="both"/>
      </w:pPr>
      <w:r>
        <w:rPr>
          <w:rFonts w:ascii="Times New Roman" w:hAnsi="Times New Roman" w:cs="Times New Roman"/>
          <w:b w:val="0"/>
          <w:i w:val="0"/>
          <w:sz w:val="24"/>
        </w:rPr>
        <w:t>Segundo, recomendação administrativa de gestão não cria hipótese de extinção do processo. As hipóteses de extinção sem resolução de mérito são as do artigo 485 do Código de Processo Civil, de aplicação subsidiária por força dos artigos 769 da CLT e 15 do Código de Processo Civil, e nenhuma delas se verifica quanto a pedidos regularmente cumulados perante Juízo competente.</w:t>
      </w:r>
    </w:p>
    <w:p/>
    <w:p>
      <w:pPr>
        <w:ind w:firstLine="850"/>
        <w:jc w:val="both"/>
      </w:pPr>
      <w:r>
        <w:rPr>
          <w:rFonts w:ascii="Times New Roman" w:hAnsi="Times New Roman" w:cs="Times New Roman"/>
          <w:b w:val="0"/>
          <w:i w:val="0"/>
          <w:sz w:val="24"/>
        </w:rPr>
        <w:t>Terceiro, o artigo 842 da CLT, invocado por analogia, disciplina a cumulação de reclamações e a autoriza quando há identidade de matéria. A norma é de cumulação, não de cisão, e milita em favor do Reclamante: havendo identidade da causa de pedir, o sistema estimula a reunião. No mesmo sentido, o artigo 327 do Código de Processo Civil autoriza a cumulação de pedidos contra o mesmo réu quando compatíveis entre si, competente o mesmo juízo e adequado o procedimento — requisitos integralmente presentes.</w:t>
      </w:r>
    </w:p>
    <w:p/>
    <w:p>
      <w:pPr>
        <w:ind w:firstLine="850"/>
        <w:jc w:val="both"/>
      </w:pPr>
      <w:r>
        <w:rPr>
          <w:rFonts w:ascii="Times New Roman" w:hAnsi="Times New Roman" w:cs="Times New Roman"/>
          <w:b w:val="0"/>
          <w:i w:val="0"/>
          <w:sz w:val="24"/>
        </w:rPr>
        <w:t>Quarto, a extinção foi determinada sem prévia intimação do Reclamante para manifestação ou emenda, o que atrai os artigos 9º, 10, 317 e 321 do Código de Processo Civil, que vedam a decisão surpresa e impõem a oportunidade de correção antes da extinção.</w:t>
      </w:r>
    </w:p>
    <w:p/>
    <w:p>
      <w:pPr>
        <w:ind w:firstLine="850"/>
        <w:jc w:val="both"/>
      </w:pPr>
      <w:r>
        <w:rPr>
          <w:rFonts w:ascii="Times New Roman" w:hAnsi="Times New Roman" w:cs="Times New Roman"/>
          <w:b w:val="0"/>
          <w:i w:val="0"/>
          <w:sz w:val="24"/>
        </w:rPr>
        <w:t>Quinto, a solução determinada compromete o acesso à justiça e a duração razoável do processo, garantidos pelo artigo 5º, XXXV e LXXVIII, da Constituição Federal, além de contrariar os princípios da economia e da instrumentalidade que informam o processo do trabalho, na forma do artigo 8º da CLT.</w:t>
      </w:r>
    </w:p>
    <w:p/>
    <w:p>
      <w:pPr>
        <w:ind w:firstLine="850"/>
        <w:jc w:val="both"/>
      </w:pPr>
      <w:r>
        <w:rPr>
          <w:rFonts w:ascii="Times New Roman" w:hAnsi="Times New Roman" w:cs="Times New Roman"/>
          <w:b/>
          <w:i w:val="0"/>
          <w:sz w:val="24"/>
        </w:rPr>
        <w:t>VIII – DA CONDIÇÃO PESSOAL DO RECLAMANTE</w:t>
      </w:r>
    </w:p>
    <w:p/>
    <w:p>
      <w:pPr>
        <w:ind w:firstLine="850"/>
        <w:jc w:val="both"/>
      </w:pPr>
      <w:r>
        <w:rPr>
          <w:rFonts w:ascii="Times New Roman" w:hAnsi="Times New Roman" w:cs="Times New Roman"/>
          <w:b w:val="0"/>
          <w:i w:val="0"/>
          <w:sz w:val="24"/>
        </w:rPr>
        <w:t>O Reclamante está sem receber salário e sem benefício previdenciário, com requerimento administrativo indeferido por carência, e com lesões nas mãos que comprometem a própria atividade profissional. Impor-lhe o ajuizamento e o acompanhamento de duas ações simultâneas, com duas instruções, duas perícias e dois calendários de audiências, agrava desproporcionalmente a situação de quem já é a parte hipossuficiente da relação.</w:t>
      </w:r>
    </w:p>
    <w:p/>
    <w:p>
      <w:pPr>
        <w:ind w:firstLine="850"/>
        <w:jc w:val="both"/>
      </w:pPr>
      <w:r>
        <w:rPr>
          <w:rFonts w:ascii="Times New Roman" w:hAnsi="Times New Roman" w:cs="Times New Roman"/>
          <w:b/>
          <w:i w:val="0"/>
          <w:sz w:val="24"/>
        </w:rPr>
        <w:t>IX – DA RESSALVA QUANTO À PRESCRIÇÃO</w:t>
      </w:r>
    </w:p>
    <w:p/>
    <w:p>
      <w:pPr>
        <w:ind w:firstLine="850"/>
        <w:jc w:val="both"/>
      </w:pPr>
      <w:r>
        <w:rPr>
          <w:rFonts w:ascii="Times New Roman" w:hAnsi="Times New Roman" w:cs="Times New Roman"/>
          <w:b w:val="0"/>
          <w:i w:val="0"/>
          <w:sz w:val="24"/>
        </w:rPr>
        <w:t xml:space="preserve">Ainda que mantida a extinção, o que se admite apenas por eventualidade, requer-se ressalva expressa de que o ajuizamento desta reclamatória interrompeu a prescrição quanto aos pedidos extintos, na forma do artigo 240, § 1º, do Código de Processo Civil </w:t>
      </w:r>
      <w:r>
        <w:rPr>
          <w:rFonts w:ascii="Times New Roman" w:hAnsi="Times New Roman" w:cs="Times New Roman"/>
          <w:b w:val="0"/>
          <w:i w:val="0"/>
          <w:color w:val="FF0000"/>
          <w:sz w:val="24"/>
        </w:rPr>
        <w:t>[CONFERIR: Súmula 268 do TST — interrupção da prescrição quanto a pedidos idênticos]</w:t>
      </w:r>
      <w:r>
        <w:rPr>
          <w:rFonts w:ascii="Times New Roman" w:hAnsi="Times New Roman" w:cs="Times New Roman"/>
          <w:b w:val="0"/>
          <w:i w:val="0"/>
          <w:sz w:val="24"/>
        </w:rPr>
        <w:t>.</w:t>
      </w:r>
    </w:p>
    <w:p/>
    <w:p>
      <w:pPr>
        <w:ind w:firstLine="850"/>
        <w:jc w:val="both"/>
      </w:pPr>
      <w:r>
        <w:rPr>
          <w:rFonts w:ascii="Times New Roman" w:hAnsi="Times New Roman" w:cs="Times New Roman"/>
          <w:b/>
          <w:i w:val="0"/>
          <w:sz w:val="24"/>
        </w:rPr>
        <w:t>X – DA READEQUAÇÃO SUBSIDIÁRIA DOS VALORES E DO VALOR DA CAUSA</w:t>
      </w:r>
    </w:p>
    <w:p/>
    <w:p>
      <w:pPr>
        <w:ind w:firstLine="850"/>
        <w:jc w:val="both"/>
      </w:pPr>
      <w:r>
        <w:rPr>
          <w:rFonts w:ascii="Times New Roman" w:hAnsi="Times New Roman" w:cs="Times New Roman"/>
          <w:b w:val="0"/>
          <w:i w:val="0"/>
          <w:sz w:val="24"/>
        </w:rPr>
        <w:t>Exclusivamente para o caso de não acolhimento do pedido de reconsideração, e em atenção à determinação contida na decisão, o Reclamante desde logo readequa os valores remanescentes e o valor da causa, observado o artigo 292, VI, do Código de Processo Civil:</w:t>
      </w:r>
    </w:p>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Pr>
                <w:rFonts w:ascii="Times New Roman" w:hAnsi="Times New Roman" w:cs="Times New Roman"/>
                <w:b/>
                <w:i w:val="0"/>
                <w:sz w:val="22"/>
              </w:rPr>
              <w:t>Pedido remanescente</w:t>
            </w:r>
          </w:p>
        </w:tc>
        <w:tc>
          <w:tcPr>
            <w:tcW w:type="dxa" w:w="4819"/>
          </w:tcPr>
          <w:p>
            <w:pPr>
              <w:spacing w:line="240" w:lineRule="auto"/>
              <w:ind w:firstLine="0"/>
            </w:pPr>
            <w:r>
              <w:rPr>
                <w:rFonts w:ascii="Times New Roman" w:hAnsi="Times New Roman" w:cs="Times New Roman"/>
                <w:b/>
                <w:i w:val="0"/>
                <w:sz w:val="22"/>
              </w:rPr>
              <w:t>Valor estimado</w:t>
            </w:r>
          </w:p>
        </w:tc>
      </w:tr>
      <w:tr>
        <w:tc>
          <w:tcPr>
            <w:tcW w:type="dxa" w:w="4819"/>
          </w:tcPr>
          <w:p>
            <w:pPr>
              <w:spacing w:line="240" w:lineRule="auto"/>
              <w:ind w:firstLine="0"/>
            </w:pPr>
            <w:r>
              <w:rPr>
                <w:rFonts w:ascii="Times New Roman" w:hAnsi="Times New Roman" w:cs="Times New Roman"/>
                <w:b w:val="0"/>
                <w:i w:val="0"/>
                <w:sz w:val="22"/>
              </w:rPr>
              <w:t>Indenização substitutiva da estabilidade acidentária (item 16)</w:t>
            </w:r>
          </w:p>
        </w:tc>
        <w:tc>
          <w:tcPr>
            <w:tcW w:type="dxa" w:w="4819"/>
          </w:tcPr>
          <w:p>
            <w:pPr>
              <w:spacing w:line="240" w:lineRule="auto"/>
              <w:ind w:firstLine="0"/>
            </w:pPr>
            <w:r>
              <w:rPr>
                <w:rFonts w:ascii="Times New Roman" w:hAnsi="Times New Roman" w:cs="Times New Roman"/>
                <w:b w:val="0"/>
                <w:i w:val="0"/>
                <w:sz w:val="22"/>
              </w:rPr>
              <w:t>R$ 52.104,80</w:t>
            </w:r>
          </w:p>
        </w:tc>
      </w:tr>
      <w:tr>
        <w:tc>
          <w:tcPr>
            <w:tcW w:type="dxa" w:w="4819"/>
          </w:tcPr>
          <w:p>
            <w:pPr>
              <w:spacing w:line="240" w:lineRule="auto"/>
              <w:ind w:firstLine="0"/>
            </w:pPr>
            <w:r>
              <w:rPr>
                <w:rFonts w:ascii="Times New Roman" w:hAnsi="Times New Roman" w:cs="Times New Roman"/>
                <w:b w:val="0"/>
                <w:i w:val="0"/>
                <w:sz w:val="22"/>
              </w:rPr>
              <w:t>Indenização por danos extrapatrimoniais (item 17)</w:t>
            </w:r>
          </w:p>
        </w:tc>
        <w:tc>
          <w:tcPr>
            <w:tcW w:type="dxa" w:w="4819"/>
          </w:tcPr>
          <w:p>
            <w:pPr>
              <w:spacing w:line="240" w:lineRule="auto"/>
              <w:ind w:firstLine="0"/>
            </w:pPr>
            <w:r>
              <w:rPr>
                <w:rFonts w:ascii="Times New Roman" w:hAnsi="Times New Roman" w:cs="Times New Roman"/>
                <w:b w:val="0"/>
                <w:i w:val="0"/>
                <w:sz w:val="22"/>
              </w:rPr>
              <w:t>R$ 60.000,00</w:t>
            </w:r>
          </w:p>
        </w:tc>
      </w:tr>
      <w:tr>
        <w:tc>
          <w:tcPr>
            <w:tcW w:type="dxa" w:w="4819"/>
          </w:tcPr>
          <w:p>
            <w:pPr>
              <w:spacing w:line="240" w:lineRule="auto"/>
              <w:ind w:firstLine="0"/>
            </w:pPr>
            <w:r>
              <w:rPr>
                <w:rFonts w:ascii="Times New Roman" w:hAnsi="Times New Roman" w:cs="Times New Roman"/>
                <w:b w:val="0"/>
                <w:i w:val="0"/>
                <w:sz w:val="22"/>
              </w:rPr>
              <w:t>Subtotal dos pedidos pecuniários</w:t>
            </w:r>
          </w:p>
        </w:tc>
        <w:tc>
          <w:tcPr>
            <w:tcW w:type="dxa" w:w="4819"/>
          </w:tcPr>
          <w:p>
            <w:pPr>
              <w:spacing w:line="240" w:lineRule="auto"/>
              <w:ind w:firstLine="0"/>
            </w:pPr>
            <w:r>
              <w:rPr>
                <w:rFonts w:ascii="Times New Roman" w:hAnsi="Times New Roman" w:cs="Times New Roman"/>
                <w:b w:val="0"/>
                <w:i w:val="0"/>
                <w:sz w:val="22"/>
              </w:rPr>
              <w:t>R$ 112.104,80</w:t>
            </w:r>
          </w:p>
        </w:tc>
      </w:tr>
      <w:tr>
        <w:tc>
          <w:tcPr>
            <w:tcW w:type="dxa" w:w="4819"/>
          </w:tcPr>
          <w:p>
            <w:pPr>
              <w:spacing w:line="240" w:lineRule="auto"/>
              <w:ind w:firstLine="0"/>
            </w:pPr>
            <w:r>
              <w:rPr>
                <w:rFonts w:ascii="Times New Roman" w:hAnsi="Times New Roman" w:cs="Times New Roman"/>
                <w:b w:val="0"/>
                <w:i w:val="0"/>
                <w:sz w:val="22"/>
              </w:rPr>
              <w:t>Honorários advocatícios de 15%</w:t>
            </w:r>
          </w:p>
        </w:tc>
        <w:tc>
          <w:tcPr>
            <w:tcW w:type="dxa" w:w="4819"/>
          </w:tcPr>
          <w:p>
            <w:pPr>
              <w:spacing w:line="240" w:lineRule="auto"/>
              <w:ind w:firstLine="0"/>
            </w:pPr>
            <w:r>
              <w:rPr>
                <w:rFonts w:ascii="Times New Roman" w:hAnsi="Times New Roman" w:cs="Times New Roman"/>
                <w:b w:val="0"/>
                <w:i w:val="0"/>
                <w:sz w:val="22"/>
              </w:rPr>
              <w:t>R$ 16.815,72</w:t>
            </w:r>
          </w:p>
        </w:tc>
      </w:tr>
      <w:tr>
        <w:tc>
          <w:tcPr>
            <w:tcW w:type="dxa" w:w="4819"/>
          </w:tcPr>
          <w:p>
            <w:pPr>
              <w:spacing w:line="240" w:lineRule="auto"/>
              <w:ind w:firstLine="0"/>
            </w:pPr>
            <w:r>
              <w:rPr>
                <w:rFonts w:ascii="Times New Roman" w:hAnsi="Times New Roman" w:cs="Times New Roman"/>
                <w:b w:val="0"/>
                <w:i w:val="0"/>
                <w:sz w:val="22"/>
              </w:rPr>
              <w:t>VALOR DA CAUSA READEQUADO</w:t>
            </w:r>
          </w:p>
        </w:tc>
        <w:tc>
          <w:tcPr>
            <w:tcW w:type="dxa" w:w="4819"/>
          </w:tcPr>
          <w:p>
            <w:pPr>
              <w:spacing w:line="240" w:lineRule="auto"/>
              <w:ind w:firstLine="0"/>
            </w:pPr>
            <w:r>
              <w:rPr>
                <w:rFonts w:ascii="Times New Roman" w:hAnsi="Times New Roman" w:cs="Times New Roman"/>
                <w:b w:val="0"/>
                <w:i w:val="0"/>
                <w:sz w:val="22"/>
              </w:rPr>
              <w:t>R$ 128.920,52</w:t>
            </w:r>
          </w:p>
        </w:tc>
      </w:tr>
    </w:tbl>
    <w:p/>
    <w:p>
      <w:pPr>
        <w:ind w:firstLine="850"/>
        <w:jc w:val="both"/>
      </w:pPr>
      <w:r>
        <w:rPr>
          <w:rFonts w:ascii="Times New Roman" w:hAnsi="Times New Roman" w:cs="Times New Roman"/>
          <w:b w:val="0"/>
          <w:i w:val="0"/>
          <w:sz w:val="24"/>
        </w:rPr>
        <w:t>Os demais pedidos mantidos (itens 1, 3, 4, 5, 20 a 28) são declaratórios, cominatórios ou de natureza instrumental, sem valor autônomo. Os valores permanecem estimativos, nos termos do artigo 840, § 1º, da CLT, sem limitação da condenação apurada em liquidação.</w:t>
      </w:r>
    </w:p>
    <w:p/>
    <w:p>
      <w:pPr>
        <w:ind w:firstLine="850"/>
        <w:jc w:val="both"/>
      </w:pPr>
      <w:r>
        <w:rPr>
          <w:rFonts w:ascii="Times New Roman" w:hAnsi="Times New Roman" w:cs="Times New Roman"/>
          <w:b w:val="0"/>
          <w:i w:val="0"/>
          <w:sz w:val="24"/>
        </w:rPr>
        <w:t>Essa readequação é expressamente condicionada: acolhido o pedido de reconsideração, prevalece o valor da causa originário de R$ 142.500,10.</w:t>
      </w:r>
    </w:p>
    <w:p/>
    <w:p>
      <w:pPr>
        <w:ind w:firstLine="850"/>
        <w:jc w:val="both"/>
      </w:pPr>
      <w:r>
        <w:rPr>
          <w:rFonts w:ascii="Times New Roman" w:hAnsi="Times New Roman" w:cs="Times New Roman"/>
          <w:b/>
          <w:i w:val="0"/>
          <w:sz w:val="24"/>
        </w:rPr>
        <w:t>XI – DOS PEDIDOS</w:t>
      </w:r>
    </w:p>
    <w:p/>
    <w:p>
      <w:pPr>
        <w:ind w:firstLine="850"/>
        <w:jc w:val="both"/>
      </w:pPr>
      <w:r>
        <w:rPr>
          <w:rFonts w:ascii="Times New Roman" w:hAnsi="Times New Roman" w:cs="Times New Roman"/>
          <w:b w:val="0"/>
          <w:i w:val="0"/>
          <w:sz w:val="24"/>
        </w:rPr>
        <w:t>Diante do exposto, requer:</w:t>
      </w:r>
    </w:p>
    <w:p/>
    <w:p>
      <w:pPr>
        <w:ind w:firstLine="850"/>
        <w:jc w:val="both"/>
      </w:pPr>
      <w:r>
        <w:rPr>
          <w:rFonts w:ascii="Times New Roman" w:hAnsi="Times New Roman" w:cs="Times New Roman"/>
          <w:b w:val="0"/>
          <w:i w:val="0"/>
          <w:sz w:val="24"/>
        </w:rPr>
        <w:t>a) a reconsideração da decisão de 19 de agosto de 2026, para restabelecer nesta ação os pedidos dos itens "2", "6" a "14", "18" e "19" da petição inicial, ante a relação direta de todos eles com o acidente do trabalho equiparado, cuja apuração conjunta é imprescindível;</w:t>
      </w:r>
    </w:p>
    <w:p/>
    <w:p>
      <w:pPr>
        <w:ind w:firstLine="850"/>
        <w:jc w:val="both"/>
      </w:pPr>
      <w:r>
        <w:rPr>
          <w:rFonts w:ascii="Times New Roman" w:hAnsi="Times New Roman" w:cs="Times New Roman"/>
          <w:b w:val="0"/>
          <w:i w:val="0"/>
          <w:sz w:val="24"/>
        </w:rPr>
        <w:t>b) subsidiariamente, caso mantido o desmembramento quanto às parcelas pecuniárias rescisórias, que sejam ao menos preservados nesta ação os pedidos declaratórios dos itens "2", "6", "7" e "14", por constituírem premissa lógica dos pedidos mantidos de estabilidade acidentária e de indenização substitutiva;</w:t>
      </w:r>
    </w:p>
    <w:p/>
    <w:p>
      <w:pPr>
        <w:ind w:firstLine="850"/>
        <w:jc w:val="both"/>
      </w:pPr>
      <w:r>
        <w:rPr>
          <w:rFonts w:ascii="Times New Roman" w:hAnsi="Times New Roman" w:cs="Times New Roman"/>
          <w:b w:val="0"/>
          <w:i w:val="0"/>
          <w:sz w:val="24"/>
        </w:rPr>
        <w:t>c) sucessivamente, caso mantida integralmente a extinção, que se determine a distribuição por dependência da ação própria a este mesmo Juízo, com prevenção, na forma do artigo 286, II, do Código de Processo Civil, e o seu sobrestamento até o julgamento da matéria acidentária, autorizado o aproveitamento, como prova emprestada, das perícias médica e ergonômica e da prova oral produzidas nestes autos, nos termos do artigo 372 do Código de Processo Civil;</w:t>
      </w:r>
    </w:p>
    <w:p/>
    <w:p>
      <w:pPr>
        <w:ind w:firstLine="850"/>
        <w:jc w:val="both"/>
      </w:pPr>
      <w:r>
        <w:rPr>
          <w:rFonts w:ascii="Times New Roman" w:hAnsi="Times New Roman" w:cs="Times New Roman"/>
          <w:b w:val="0"/>
          <w:i w:val="0"/>
          <w:sz w:val="24"/>
        </w:rPr>
        <w:t>d) a ressalva expressa de que o ajuizamento desta reclamatória interrompeu a prescrição quanto aos pedidos extintos;</w:t>
      </w:r>
    </w:p>
    <w:p/>
    <w:p>
      <w:pPr>
        <w:ind w:firstLine="850"/>
        <w:jc w:val="both"/>
      </w:pPr>
      <w:r>
        <w:rPr>
          <w:rFonts w:ascii="Times New Roman" w:hAnsi="Times New Roman" w:cs="Times New Roman"/>
          <w:b w:val="0"/>
          <w:i w:val="0"/>
          <w:sz w:val="24"/>
        </w:rPr>
        <w:t>e) o recebimento da readequação subsidiária dos valores e do valor da causa constante do capítulo X, condicionada ao não acolhimento do pedido de reconsideração;</w:t>
      </w:r>
    </w:p>
    <w:p/>
    <w:p>
      <w:pPr>
        <w:ind w:firstLine="850"/>
        <w:jc w:val="both"/>
      </w:pPr>
      <w:r>
        <w:rPr>
          <w:rFonts w:ascii="Times New Roman" w:hAnsi="Times New Roman" w:cs="Times New Roman"/>
          <w:b w:val="0"/>
          <w:i w:val="0"/>
          <w:sz w:val="24"/>
        </w:rPr>
        <w:t>f) o registro do protesto antipreclusivo, nos termos do artigo 795 da CLT, com ressalva da interposição do recurso cabível no momento processual oportuno;</w:t>
      </w:r>
    </w:p>
    <w:p/>
    <w:p>
      <w:pPr>
        <w:ind w:firstLine="850"/>
        <w:jc w:val="both"/>
      </w:pPr>
      <w:r>
        <w:rPr>
          <w:rFonts w:ascii="Times New Roman" w:hAnsi="Times New Roman" w:cs="Times New Roman"/>
          <w:b w:val="0"/>
          <w:i w:val="0"/>
          <w:sz w:val="24"/>
        </w:rPr>
        <w:t>g) na hipótese de acolhimento parcial, a devolução do prazo de cinco dias para readequação dos valores, a contar da intimação da decisão que apreciar este pedido.</w:t>
      </w:r>
    </w:p>
    <w:p/>
    <w:p>
      <w:pPr>
        <w:ind w:firstLine="850"/>
        <w:jc w:val="both"/>
      </w:pPr>
      <w:r>
        <w:rPr>
          <w:rFonts w:ascii="Times New Roman" w:hAnsi="Times New Roman" w:cs="Times New Roman"/>
          <w:b w:val="0"/>
          <w:i w:val="0"/>
          <w:sz w:val="24"/>
        </w:rPr>
        <w:t>Termos em que pede deferimento.</w:t>
      </w:r>
    </w:p>
    <w:p/>
    <w:p>
      <w:pPr>
        <w:ind w:firstLine="0"/>
        <w:jc w:val="center"/>
      </w:pPr>
      <w:r>
        <w:rPr>
          <w:rFonts w:ascii="Times New Roman" w:hAnsi="Times New Roman" w:cs="Times New Roman"/>
          <w:b/>
          <w:i w:val="0"/>
          <w:sz w:val="24"/>
        </w:rPr>
        <w:t>Gravataí/RS, data do protocolo.</w:t>
      </w:r>
    </w:p>
    <w:p/>
    <w:p>
      <w:pPr>
        <w:ind w:firstLine="0"/>
        <w:jc w:val="center"/>
      </w:pPr>
      <w:r>
        <w:rPr>
          <w:rFonts w:ascii="Times New Roman" w:hAnsi="Times New Roman" w:cs="Times New Roman"/>
          <w:b/>
          <w:i w:val="0"/>
          <w:sz w:val="24"/>
        </w:rPr>
        <w:t>RÓGER BENTO DE SOUZA</w:t>
      </w:r>
    </w:p>
    <w:p/>
    <w:p>
      <w:pPr>
        <w:ind w:firstLine="0"/>
        <w:jc w:val="center"/>
      </w:pPr>
      <w:r>
        <w:rPr>
          <w:rFonts w:ascii="Times New Roman" w:hAnsi="Times New Roman" w:cs="Times New Roman"/>
          <w:b/>
          <w:i w:val="0"/>
          <w:sz w:val="24"/>
        </w:rPr>
        <w:t>OAB/RS 98.365</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drawing>
        <wp:inline xmlns:a="http://schemas.openxmlformats.org/drawingml/2006/main" xmlns:pic="http://schemas.openxmlformats.org/drawingml/2006/picture">
          <wp:extent cx="6120000" cy="949698"/>
          <wp:docPr id="1" name="Picture 1"/>
          <wp:cNvGraphicFramePr>
            <a:graphicFrameLocks noChangeAspect="1"/>
          </wp:cNvGraphicFramePr>
          <a:graphic>
            <a:graphicData uri="http://schemas.openxmlformats.org/drawingml/2006/picture">
              <pic:pic>
                <pic:nvPicPr>
                  <pic:cNvPr id="0" name="rodape.png"/>
                  <pic:cNvPicPr/>
                </pic:nvPicPr>
                <pic:blipFill>
                  <a:blip r:embed="rId1"/>
                  <a:stretch>
                    <a:fillRect/>
                  </a:stretch>
                </pic:blipFill>
                <pic:spPr>
                  <a:xfrm>
                    <a:off x="0" y="0"/>
                    <a:ext cx="6120000" cy="94969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drawing>
        <wp:inline xmlns:a="http://schemas.openxmlformats.org/drawingml/2006/main" xmlns:pic="http://schemas.openxmlformats.org/drawingml/2006/picture">
          <wp:extent cx="2149200" cy="1257511"/>
          <wp:docPr id="1" name="Picture 1"/>
          <wp:cNvGraphicFramePr>
            <a:graphicFrameLocks noChangeAspect="1"/>
          </wp:cNvGraphicFramePr>
          <a:graphic>
            <a:graphicData uri="http://schemas.openxmlformats.org/drawingml/2006/picture">
              <pic:pic>
                <pic:nvPicPr>
                  <pic:cNvPr id="0" name="logo-cabecalho.png"/>
                  <pic:cNvPicPr/>
                </pic:nvPicPr>
                <pic:blipFill>
                  <a:blip r:embed="rId1"/>
                  <a:stretch>
                    <a:fillRect/>
                  </a:stretch>
                </pic:blipFill>
                <pic:spPr>
                  <a:xfrm>
                    <a:off x="0" y="0"/>
                    <a:ext cx="2149200" cy="125751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