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pPr>
      <w:r>
        <w:rPr>
          <w:rFonts w:ascii="Times New Roman" w:hAnsi="Times New Roman"/>
          <w:b/>
          <w:i w:val="0"/>
          <w:color w:val="202020"/>
          <w:sz w:val="40"/>
        </w:rPr>
        <w:t>OJT Manuscript Aligned Insertions</w:t>
      </w:r>
    </w:p>
    <w:p>
      <w:pPr>
        <w:keepNext w:val="0"/>
        <w:keepLines/>
        <w:spacing w:before="0" w:after="240" w:line="240" w:lineRule="auto"/>
      </w:pPr>
      <w:r>
        <w:rPr>
          <w:rFonts w:ascii="Times New Roman" w:hAnsi="Times New Roman"/>
          <w:b w:val="0"/>
          <w:i w:val="0"/>
          <w:color w:val="5B6570"/>
          <w:sz w:val="24"/>
        </w:rPr>
        <w:t>Copy-ready additions and limited corrections for Chapter 1</w:t>
      </w:r>
    </w:p>
    <w:p>
      <w:pPr>
        <w:keepNext w:val="0"/>
        <w:keepLines/>
        <w:spacing w:before="0" w:after="160" w:line="360" w:lineRule="auto"/>
      </w:pPr>
      <w:r>
        <w:rPr>
          <w:rFonts w:ascii="Times New Roman" w:hAnsi="Times New Roman"/>
          <w:b w:val="0"/>
          <w:i w:val="0"/>
          <w:color w:val="202020"/>
          <w:sz w:val="24"/>
        </w:rPr>
        <w:t>Use the replacement passages where the manuscript currently makes a conflicting claim. Add the remaining passages under the matching Chapter 1 headings. These edits preserve content that already matches the approved scope, including the target institution, fourth-year ICS and IBE beneficiaries, and the stated exclusions.</w:t>
      </w:r>
    </w:p>
    <w:p>
      <w:pPr>
        <w:keepNext/>
        <w:spacing w:before="180" w:after="80" w:line="240" w:lineRule="auto"/>
      </w:pPr>
      <w:r>
        <w:rPr>
          <w:rFonts w:ascii="Times New Roman" w:hAnsi="Times New Roman"/>
          <w:b/>
          <w:i w:val="0"/>
          <w:color w:val="202020"/>
          <w:sz w:val="28"/>
        </w:rPr>
        <w:t>Replace the ISO evaluation objective</w:t>
      </w:r>
    </w:p>
    <w:p>
      <w:pPr>
        <w:keepNext/>
        <w:keepLines/>
        <w:spacing w:before="40" w:after="40" w:line="240" w:lineRule="auto"/>
      </w:pPr>
      <w:r>
        <w:rPr>
          <w:rFonts w:ascii="Times New Roman" w:hAnsi="Times New Roman"/>
          <w:b/>
          <w:i w:val="0"/>
          <w:color w:val="5B6570"/>
          <w:sz w:val="18"/>
        </w:rPr>
        <w:t>Placement: Section 1.3.2, replace the objective that says the system will meet all nine characteristics.</w:t>
      </w:r>
    </w:p>
    <w:p>
      <w:pPr>
        <w:keepNext w:val="0"/>
        <w:keepLines/>
        <w:spacing w:before="0" w:after="180" w:line="360" w:lineRule="auto"/>
        <w:ind w:left="360" w:right="216"/>
        <w:shd w:fill="EFF4F8"/>
        <w:pBdr>
          <w:left w:val="single" w:sz="16" w:space="6" w:color="263E56"/>
        </w:pBdr>
      </w:pPr>
      <w:r>
        <w:rPr>
          <w:rFonts w:ascii="Times New Roman" w:hAnsi="Times New Roman"/>
          <w:b w:val="0"/>
          <w:i w:val="0"/>
          <w:color w:val="202020"/>
          <w:sz w:val="24"/>
        </w:rPr>
        <w:t>To evaluate the developed Cross-Platform OJT Monitoring and Management System using selected characteristics of ISO/IEC 25010:2023 in terms of functional suitability, performance efficiency, usability, and security-related features.</w:t>
      </w:r>
    </w:p>
    <w:p>
      <w:pPr>
        <w:keepNext/>
        <w:spacing w:before="180" w:after="80" w:line="240" w:lineRule="auto"/>
      </w:pPr>
      <w:r>
        <w:rPr>
          <w:rFonts w:ascii="Times New Roman" w:hAnsi="Times New Roman"/>
          <w:b/>
          <w:i w:val="0"/>
          <w:color w:val="202020"/>
          <w:sz w:val="28"/>
        </w:rPr>
        <w:t>Replace the abstract evaluation statement</w:t>
      </w:r>
    </w:p>
    <w:p>
      <w:pPr>
        <w:keepNext/>
        <w:keepLines/>
        <w:spacing w:before="40" w:after="40" w:line="240" w:lineRule="auto"/>
      </w:pPr>
      <w:r>
        <w:rPr>
          <w:rFonts w:ascii="Times New Roman" w:hAnsi="Times New Roman"/>
          <w:b/>
          <w:i w:val="0"/>
          <w:color w:val="5B6570"/>
          <w:sz w:val="18"/>
        </w:rPr>
        <w:t>Placement: Abstract, replace the sentence that describes the respondents and ISO evaluation.</w:t>
      </w:r>
    </w:p>
    <w:p>
      <w:pPr>
        <w:keepNext w:val="0"/>
        <w:keepLines/>
        <w:spacing w:before="0" w:after="180" w:line="360" w:lineRule="auto"/>
        <w:ind w:left="360" w:right="216"/>
        <w:shd w:fill="EFF4F8"/>
        <w:pBdr>
          <w:left w:val="single" w:sz="16" w:space="6" w:color="263E56"/>
        </w:pBdr>
      </w:pPr>
      <w:r>
        <w:rPr>
          <w:rFonts w:ascii="Times New Roman" w:hAnsi="Times New Roman"/>
          <w:b w:val="0"/>
          <w:i w:val="0"/>
          <w:color w:val="202020"/>
          <w:sz w:val="24"/>
        </w:rPr>
        <w:t>Thirty OJT students and two OJT coordinators will participate in the user evaluation. IT Experts/Evaluators will conduct the technical evaluation according to selected characteristics of ISO/IEC 25010:2023. The evaluation covers functional suitability, performance efficiency, usability, and security. The security result is reported as: "security-related features were evaluated." The study reports these selected areas and does not claim conformity with all nine characteristics of the standard.</w:t>
      </w:r>
    </w:p>
    <w:p>
      <w:pPr>
        <w:keepNext/>
        <w:spacing w:before="180" w:after="80" w:line="240" w:lineRule="auto"/>
      </w:pPr>
      <w:r>
        <w:rPr>
          <w:rFonts w:ascii="Times New Roman" w:hAnsi="Times New Roman"/>
          <w:b/>
          <w:i w:val="0"/>
          <w:color w:val="202020"/>
          <w:sz w:val="28"/>
        </w:rPr>
        <w:t>Correct the degree name</w:t>
      </w:r>
    </w:p>
    <w:p>
      <w:pPr>
        <w:keepNext/>
        <w:keepLines/>
        <w:spacing w:before="40" w:after="40" w:line="240" w:lineRule="auto"/>
      </w:pPr>
      <w:r>
        <w:rPr>
          <w:rFonts w:ascii="Times New Roman" w:hAnsi="Times New Roman"/>
          <w:b/>
          <w:i w:val="0"/>
          <w:color w:val="5B6570"/>
          <w:sz w:val="18"/>
        </w:rPr>
        <w:t>Placement: Section 1.7, replace “Bachelor of Science in Computing Studies” with the official degree name used on the cover.</w:t>
      </w:r>
    </w:p>
    <w:p>
      <w:pPr>
        <w:keepNext w:val="0"/>
        <w:keepLines/>
        <w:spacing w:before="0" w:after="180" w:line="360" w:lineRule="auto"/>
        <w:ind w:left="360" w:right="216"/>
        <w:shd w:fill="EFF4F8"/>
        <w:pBdr>
          <w:left w:val="single" w:sz="16" w:space="6" w:color="263E56"/>
        </w:pBdr>
      </w:pPr>
      <w:r>
        <w:rPr>
          <w:rFonts w:ascii="Times New Roman" w:hAnsi="Times New Roman"/>
          <w:b w:val="0"/>
          <w:i w:val="0"/>
          <w:color w:val="202020"/>
          <w:sz w:val="24"/>
        </w:rPr>
        <w:t>Bachelor of Science in Information Technology (BSIT)</w:t>
      </w:r>
    </w:p>
    <w:p>
      <w:r>
        <w:br w:type="page"/>
      </w:r>
    </w:p>
    <w:p>
      <w:pPr>
        <w:keepNext/>
        <w:spacing w:before="180" w:after="80" w:line="240" w:lineRule="auto"/>
      </w:pPr>
      <w:r>
        <w:rPr>
          <w:rFonts w:ascii="Times New Roman" w:hAnsi="Times New Roman"/>
          <w:b/>
          <w:i w:val="0"/>
          <w:color w:val="202020"/>
          <w:sz w:val="28"/>
        </w:rPr>
        <w:t>Add the approved roles and access limits</w:t>
      </w:r>
    </w:p>
    <w:p>
      <w:pPr>
        <w:keepNext/>
        <w:keepLines/>
        <w:spacing w:before="40" w:after="40" w:line="240" w:lineRule="auto"/>
      </w:pPr>
      <w:r>
        <w:rPr>
          <w:rFonts w:ascii="Times New Roman" w:hAnsi="Times New Roman"/>
          <w:b/>
          <w:i w:val="0"/>
          <w:color w:val="5B6570"/>
          <w:sz w:val="18"/>
        </w:rPr>
        <w:t>Placement: Add under Section 1.6 Scope or Section 1.8 User Features.</w:t>
      </w:r>
    </w:p>
    <w:p>
      <w:pPr>
        <w:keepNext w:val="0"/>
        <w:keepLines/>
        <w:spacing w:before="0" w:after="180" w:line="360" w:lineRule="auto"/>
        <w:ind w:left="360" w:right="216"/>
        <w:shd w:fill="EFF4F8"/>
        <w:pBdr>
          <w:left w:val="single" w:sz="16" w:space="6" w:color="263E56"/>
        </w:pBdr>
      </w:pPr>
      <w:r>
        <w:rPr>
          <w:rFonts w:ascii="Times New Roman" w:hAnsi="Times New Roman"/>
          <w:b w:val="0"/>
          <w:i w:val="0"/>
          <w:color w:val="202020"/>
          <w:sz w:val="24"/>
        </w:rPr>
        <w:t>The system supports six roles: Student, OJT Coordinator, Company Supervisor, Program Head, System Administrator, and IT Experts/Evaluators. Students use the mobile application for attendance, hour tracking, document and report submission, and notifications. OJT Coordinators handle student approval, company and supervisor assignment, attendance validation, report grading, and progress monitoring. Company Supervisors verify assigned trainees’ attendance, review selfie evidence, provide feedback, and submit performance evaluations. Program Heads review and manage OJT activities within their assigned department, ICS or IBE, including student approvals, assignments, schedule review, report and evaluation grading, progress monitoring, and department summaries. Program Heads have no cross-department access, company-administration access, or certificate issuance or revocation authority. System Administrators manage user accounts, announcements, and system configuration. IT Experts/Evaluators conduct technical evaluation according to ISO/IEC 25010:2023.</w:t>
      </w:r>
    </w:p>
    <w:p>
      <w:pPr>
        <w:keepNext/>
        <w:spacing w:before="180" w:after="80" w:line="240" w:lineRule="auto"/>
      </w:pPr>
      <w:r>
        <w:rPr>
          <w:rFonts w:ascii="Times New Roman" w:hAnsi="Times New Roman"/>
          <w:b/>
          <w:i w:val="0"/>
          <w:color w:val="202020"/>
          <w:sz w:val="28"/>
        </w:rPr>
        <w:t>Add the attendance and offline boundary</w:t>
      </w:r>
    </w:p>
    <w:p>
      <w:pPr>
        <w:keepNext/>
        <w:keepLines/>
        <w:spacing w:before="40" w:after="40" w:line="240" w:lineRule="auto"/>
      </w:pPr>
      <w:r>
        <w:rPr>
          <w:rFonts w:ascii="Times New Roman" w:hAnsi="Times New Roman"/>
          <w:b/>
          <w:i w:val="0"/>
          <w:color w:val="5B6570"/>
          <w:sz w:val="18"/>
        </w:rPr>
        <w:t>Placement: Add under Section 1.6 Limitations or Section 1.8 System Capabilities.</w:t>
      </w:r>
    </w:p>
    <w:p>
      <w:pPr>
        <w:keepNext w:val="0"/>
        <w:keepLines/>
        <w:spacing w:before="0" w:after="180" w:line="360" w:lineRule="auto"/>
        <w:ind w:left="360" w:right="216"/>
        <w:shd w:fill="EFF4F8"/>
        <w:pBdr>
          <w:left w:val="single" w:sz="16" w:space="6" w:color="263E56"/>
        </w:pBdr>
      </w:pPr>
      <w:r>
        <w:rPr>
          <w:rFonts w:ascii="Times New Roman" w:hAnsi="Times New Roman"/>
          <w:b w:val="0"/>
          <w:i w:val="0"/>
          <w:color w:val="202020"/>
          <w:sz w:val="24"/>
        </w:rPr>
        <w:t>Mobile attendance logging uses a selfie and point-in-time GPS satellite verification at Time In and Time Out. When the device is offline, attendance information and its selfie evidence are stored in device-private storage and synchronized automatically after internet connectivity returns. Offline operation is limited to mobile attendance logging; all other system modules require an active internet connection. The system captures location for attendance events and does not continuously track students.</w:t>
      </w:r>
    </w:p>
    <w:p>
      <w:pPr>
        <w:keepNext/>
        <w:spacing w:before="180" w:after="80" w:line="240" w:lineRule="auto"/>
      </w:pPr>
      <w:r>
        <w:rPr>
          <w:rFonts w:ascii="Times New Roman" w:hAnsi="Times New Roman"/>
          <w:b/>
          <w:i w:val="0"/>
          <w:color w:val="202020"/>
          <w:sz w:val="28"/>
        </w:rPr>
        <w:t>Clarify the company supervisor scope</w:t>
      </w:r>
    </w:p>
    <w:p>
      <w:pPr>
        <w:keepNext/>
        <w:keepLines/>
        <w:spacing w:before="40" w:after="40" w:line="240" w:lineRule="auto"/>
      </w:pPr>
      <w:r>
        <w:rPr>
          <w:rFonts w:ascii="Times New Roman" w:hAnsi="Times New Roman"/>
          <w:b/>
          <w:i w:val="0"/>
          <w:color w:val="5B6570"/>
          <w:sz w:val="18"/>
        </w:rPr>
        <w:t>Placement: In Section 1.6 Scope, replace “Company Supervisors and HR Personnel” as a user category.</w:t>
      </w:r>
    </w:p>
    <w:p>
      <w:pPr>
        <w:keepNext w:val="0"/>
        <w:keepLines/>
        <w:spacing w:before="0" w:after="180" w:line="360" w:lineRule="auto"/>
        <w:ind w:left="360" w:right="216"/>
        <w:shd w:fill="EFF4F8"/>
        <w:pBdr>
          <w:left w:val="single" w:sz="16" w:space="6" w:color="263E56"/>
        </w:pBdr>
      </w:pPr>
      <w:r>
        <w:rPr>
          <w:rFonts w:ascii="Times New Roman" w:hAnsi="Times New Roman"/>
          <w:b w:val="0"/>
          <w:i w:val="0"/>
          <w:color w:val="202020"/>
          <w:sz w:val="24"/>
        </w:rPr>
        <w:t>Company Supervisors verify assigned students’ attendance, review attendance selfie evidence, provide feedback, and submit performance evaluations. General human-resources management is outside the scope of the system.</w:t>
      </w:r>
    </w:p>
    <w:p>
      <w:r>
        <w:br w:type="page"/>
      </w:r>
    </w:p>
    <w:p>
      <w:pPr>
        <w:keepNext/>
        <w:spacing w:before="180" w:after="80" w:line="240" w:lineRule="auto"/>
      </w:pPr>
      <w:r>
        <w:rPr>
          <w:rFonts w:ascii="Times New Roman" w:hAnsi="Times New Roman"/>
          <w:b/>
          <w:i w:val="0"/>
          <w:color w:val="202020"/>
          <w:sz w:val="28"/>
        </w:rPr>
        <w:t>Replace the technology integration paragraph</w:t>
      </w:r>
    </w:p>
    <w:p>
      <w:pPr>
        <w:keepNext/>
        <w:keepLines/>
        <w:spacing w:before="40" w:after="40" w:line="240" w:lineRule="auto"/>
      </w:pPr>
      <w:r>
        <w:rPr>
          <w:rFonts w:ascii="Times New Roman" w:hAnsi="Times New Roman"/>
          <w:b/>
          <w:i w:val="0"/>
          <w:color w:val="5B6570"/>
          <w:sz w:val="18"/>
        </w:rPr>
        <w:t>Placement: Section 1.8 Technology Integration, replace the current software and desktop-client description.</w:t>
      </w:r>
    </w:p>
    <w:p>
      <w:pPr>
        <w:keepNext w:val="0"/>
        <w:keepLines/>
        <w:spacing w:before="0" w:after="180" w:line="360" w:lineRule="auto"/>
        <w:ind w:left="360" w:right="216"/>
        <w:shd w:fill="EFF4F8"/>
        <w:pBdr>
          <w:left w:val="single" w:sz="16" w:space="6" w:color="263E56"/>
        </w:pBdr>
      </w:pPr>
      <w:r>
        <w:rPr>
          <w:rFonts w:ascii="Times New Roman" w:hAnsi="Times New Roman"/>
          <w:b w:val="0"/>
          <w:i w:val="0"/>
          <w:color w:val="202020"/>
          <w:sz w:val="24"/>
        </w:rPr>
        <w:t>The student mobile application uses React Native and Expo Go with TypeScript and NativeWind. The staff web portal uses Next.js App Router with TypeScript and Tailwind CSS. Supabase provides PostgreSQL database services, authentication, private storage, and Row Level Security. The approved platforms are the student mobile application and the staff web portal.</w:t>
      </w:r>
    </w:p>
    <w:p>
      <w:pPr>
        <w:keepNext/>
        <w:spacing w:before="180" w:after="80" w:line="240" w:lineRule="auto"/>
      </w:pPr>
      <w:r>
        <w:rPr>
          <w:rFonts w:ascii="Times New Roman" w:hAnsi="Times New Roman"/>
          <w:b/>
          <w:i w:val="0"/>
          <w:color w:val="202020"/>
          <w:sz w:val="28"/>
        </w:rPr>
        <w:t>Limit communication to approved features</w:t>
      </w:r>
    </w:p>
    <w:p>
      <w:pPr>
        <w:keepNext/>
        <w:keepLines/>
        <w:spacing w:before="40" w:after="40" w:line="240" w:lineRule="auto"/>
      </w:pPr>
      <w:r>
        <w:rPr>
          <w:rFonts w:ascii="Times New Roman" w:hAnsi="Times New Roman"/>
          <w:b/>
          <w:i w:val="0"/>
          <w:color w:val="5B6570"/>
          <w:sz w:val="18"/>
        </w:rPr>
        <w:t>Placement: Replace references to direct communication tools or a separate communication module in Sections 1.2, 1.5, or 1.8.</w:t>
      </w:r>
    </w:p>
    <w:p>
      <w:pPr>
        <w:keepNext w:val="0"/>
        <w:keepLines/>
        <w:spacing w:before="0" w:after="180" w:line="360" w:lineRule="auto"/>
        <w:ind w:left="360" w:right="216"/>
        <w:shd w:fill="EFF4F8"/>
        <w:pBdr>
          <w:left w:val="single" w:sz="16" w:space="6" w:color="263E56"/>
        </w:pBdr>
      </w:pPr>
      <w:r>
        <w:rPr>
          <w:rFonts w:ascii="Times New Roman" w:hAnsi="Times New Roman"/>
          <w:b w:val="0"/>
          <w:i w:val="0"/>
          <w:color w:val="202020"/>
          <w:sz w:val="24"/>
        </w:rPr>
        <w:t>The system provides OJT-related notifications and announcements. These features communicate updates relevant to students and staff within the OJT process.</w:t>
      </w:r>
    </w:p>
    <w:p>
      <w:pPr>
        <w:keepNext/>
        <w:spacing w:before="180" w:after="80" w:line="240" w:lineRule="auto"/>
      </w:pPr>
      <w:r>
        <w:rPr>
          <w:rFonts w:ascii="Times New Roman" w:hAnsi="Times New Roman"/>
          <w:b/>
          <w:i w:val="0"/>
          <w:color w:val="202020"/>
          <w:sz w:val="28"/>
        </w:rPr>
        <w:t>Clarify certificate verification and finalization</w:t>
      </w:r>
    </w:p>
    <w:p>
      <w:pPr>
        <w:keepNext/>
        <w:keepLines/>
        <w:spacing w:before="40" w:after="40" w:line="240" w:lineRule="auto"/>
      </w:pPr>
      <w:r>
        <w:rPr>
          <w:rFonts w:ascii="Times New Roman" w:hAnsi="Times New Roman"/>
          <w:b/>
          <w:i w:val="0"/>
          <w:color w:val="5B6570"/>
          <w:sz w:val="18"/>
        </w:rPr>
        <w:t>Placement: Add under Section 1.8 Core Functional Features.</w:t>
      </w:r>
    </w:p>
    <w:p>
      <w:pPr>
        <w:keepNext w:val="0"/>
        <w:keepLines/>
        <w:spacing w:before="0" w:after="180" w:line="360" w:lineRule="auto"/>
        <w:ind w:left="360" w:right="216"/>
        <w:shd w:fill="EFF4F8"/>
        <w:pBdr>
          <w:left w:val="single" w:sz="16" w:space="6" w:color="263E56"/>
        </w:pBdr>
      </w:pPr>
      <w:r>
        <w:rPr>
          <w:rFonts w:ascii="Times New Roman" w:hAnsi="Times New Roman"/>
          <w:b w:val="0"/>
          <w:i w:val="0"/>
          <w:color w:val="202020"/>
          <w:sz w:val="24"/>
        </w:rPr>
        <w:t>The system provides code-based public verification of certificate status. Program Heads do not issue or revoke certificates. Administrative reports and finalization cover completed OJT records in read-only form.</w:t>
      </w:r>
    </w:p>
    <w:p>
      <w:pPr>
        <w:keepNext/>
        <w:spacing w:before="180" w:after="80" w:line="240" w:lineRule="auto"/>
      </w:pPr>
      <w:r>
        <w:rPr>
          <w:rFonts w:ascii="Times New Roman" w:hAnsi="Times New Roman"/>
          <w:b/>
          <w:i w:val="0"/>
          <w:color w:val="202020"/>
          <w:sz w:val="28"/>
        </w:rPr>
        <w:t>Add the hardware requirement</w:t>
      </w:r>
    </w:p>
    <w:p>
      <w:pPr>
        <w:keepNext/>
        <w:keepLines/>
        <w:spacing w:before="40" w:after="40" w:line="240" w:lineRule="auto"/>
      </w:pPr>
      <w:r>
        <w:rPr>
          <w:rFonts w:ascii="Times New Roman" w:hAnsi="Times New Roman"/>
          <w:b/>
          <w:i w:val="0"/>
          <w:color w:val="5B6570"/>
          <w:sz w:val="18"/>
        </w:rPr>
        <w:t>Placement: Add under the system requirements in Section 1.8 or the hardware requirements subsection.</w:t>
      </w:r>
    </w:p>
    <w:p>
      <w:pPr>
        <w:keepNext w:val="0"/>
        <w:keepLines/>
        <w:spacing w:before="0" w:after="180" w:line="360" w:lineRule="auto"/>
        <w:ind w:left="360" w:right="216"/>
        <w:shd w:fill="EFF4F8"/>
        <w:pBdr>
          <w:left w:val="single" w:sz="16" w:space="6" w:color="263E56"/>
        </w:pBdr>
      </w:pPr>
      <w:r>
        <w:rPr>
          <w:rFonts w:ascii="Times New Roman" w:hAnsi="Times New Roman"/>
          <w:b w:val="0"/>
          <w:i w:val="0"/>
          <w:color w:val="202020"/>
          <w:sz w:val="24"/>
        </w:rPr>
        <w:t>The system is designed to run on a computer with an Intel Core i5 or AMD Ryzen 5 processor, 8 GB of RAM, and a 256 GB solid-state drive.</w:t>
      </w:r>
    </w:p>
    <w:p>
      <w:r>
        <w:br w:type="page"/>
      </w:r>
    </w:p>
    <w:p>
      <w:pPr>
        <w:keepNext/>
        <w:spacing w:before="180" w:after="80" w:line="240" w:lineRule="auto"/>
      </w:pPr>
      <w:r>
        <w:rPr>
          <w:rFonts w:ascii="Times New Roman" w:hAnsi="Times New Roman"/>
          <w:b/>
          <w:i w:val="0"/>
          <w:color w:val="202020"/>
          <w:sz w:val="28"/>
        </w:rPr>
        <w:t>Add the nine development increments</w:t>
      </w:r>
    </w:p>
    <w:p>
      <w:pPr>
        <w:keepNext/>
        <w:keepLines/>
        <w:spacing w:before="40" w:after="40" w:line="240" w:lineRule="auto"/>
      </w:pPr>
      <w:r>
        <w:rPr>
          <w:rFonts w:ascii="Times New Roman" w:hAnsi="Times New Roman"/>
          <w:b/>
          <w:i w:val="0"/>
          <w:color w:val="5B6570"/>
          <w:sz w:val="18"/>
        </w:rPr>
        <w:t>Placement: Add after the Agile development phases in Section 1.5, or in the development scope.</w:t>
      </w:r>
    </w:p>
    <w:p>
      <w:pPr>
        <w:keepNext w:val="0"/>
        <w:keepLines/>
        <w:spacing w:before="0" w:after="100" w:line="360" w:lineRule="auto"/>
      </w:pPr>
      <w:r>
        <w:rPr>
          <w:rFonts w:ascii="Times New Roman" w:hAnsi="Times New Roman"/>
          <w:b w:val="0"/>
          <w:i w:val="0"/>
          <w:color w:val="202020"/>
          <w:sz w:val="24"/>
        </w:rPr>
        <w:t>Development is organized into the following nine increments:</w:t>
      </w:r>
    </w:p>
    <w:p>
      <w:pPr>
        <w:keepLines/>
        <w:spacing w:after="80" w:line="300" w:lineRule="auto"/>
        <w:ind w:left="490" w:hanging="461"/>
      </w:pPr>
      <w:r>
        <w:rPr>
          <w:rFonts w:ascii="Times New Roman" w:hAnsi="Times New Roman"/>
          <w:b/>
          <w:i w:val="0"/>
          <w:color w:val="202020"/>
          <w:sz w:val="23"/>
        </w:rPr>
        <w:t xml:space="preserve">1. </w:t>
      </w:r>
      <w:r>
        <w:rPr>
          <w:rFonts w:ascii="Times New Roman" w:hAnsi="Times New Roman"/>
          <w:b w:val="0"/>
          <w:i w:val="0"/>
          <w:color w:val="202020"/>
          <w:sz w:val="23"/>
        </w:rPr>
        <w:t>Authentication and role management.</w:t>
      </w:r>
    </w:p>
    <w:p>
      <w:pPr>
        <w:keepLines/>
        <w:spacing w:after="80" w:line="300" w:lineRule="auto"/>
        <w:ind w:left="490" w:hanging="461"/>
      </w:pPr>
      <w:r>
        <w:rPr>
          <w:rFonts w:ascii="Times New Roman" w:hAnsi="Times New Roman"/>
          <w:b/>
          <w:i w:val="0"/>
          <w:color w:val="202020"/>
          <w:sz w:val="23"/>
        </w:rPr>
        <w:t xml:space="preserve">2. </w:t>
      </w:r>
      <w:r>
        <w:rPr>
          <w:rFonts w:ascii="Times New Roman" w:hAnsi="Times New Roman"/>
          <w:b w:val="0"/>
          <w:i w:val="0"/>
          <w:color w:val="202020"/>
          <w:sz w:val="23"/>
        </w:rPr>
        <w:t>Student profile and OJT application for pre-deployment requirements.</w:t>
      </w:r>
    </w:p>
    <w:p>
      <w:pPr>
        <w:keepLines/>
        <w:spacing w:after="80" w:line="300" w:lineRule="auto"/>
        <w:ind w:left="490" w:hanging="461"/>
      </w:pPr>
      <w:r>
        <w:rPr>
          <w:rFonts w:ascii="Times New Roman" w:hAnsi="Times New Roman"/>
          <w:b/>
          <w:i w:val="0"/>
          <w:color w:val="202020"/>
          <w:sz w:val="23"/>
        </w:rPr>
        <w:t xml:space="preserve">3. </w:t>
      </w:r>
      <w:r>
        <w:rPr>
          <w:rFonts w:ascii="Times New Roman" w:hAnsi="Times New Roman"/>
          <w:b w:val="0"/>
          <w:i w:val="0"/>
          <w:color w:val="202020"/>
          <w:sz w:val="23"/>
        </w:rPr>
        <w:t>Attendance and selfie submission.</w:t>
      </w:r>
    </w:p>
    <w:p>
      <w:pPr>
        <w:keepLines/>
        <w:spacing w:after="80" w:line="300" w:lineRule="auto"/>
        <w:ind w:left="490" w:hanging="461"/>
      </w:pPr>
      <w:r>
        <w:rPr>
          <w:rFonts w:ascii="Times New Roman" w:hAnsi="Times New Roman"/>
          <w:b/>
          <w:i w:val="0"/>
          <w:color w:val="202020"/>
          <w:sz w:val="23"/>
        </w:rPr>
        <w:t xml:space="preserve">4. </w:t>
      </w:r>
      <w:r>
        <w:rPr>
          <w:rFonts w:ascii="Times New Roman" w:hAnsi="Times New Roman"/>
          <w:b w:val="0"/>
          <w:i w:val="0"/>
          <w:color w:val="202020"/>
          <w:sz w:val="23"/>
        </w:rPr>
        <w:t>Rendered-hour computation.</w:t>
      </w:r>
    </w:p>
    <w:p>
      <w:pPr>
        <w:keepLines/>
        <w:spacing w:after="80" w:line="300" w:lineRule="auto"/>
        <w:ind w:left="490" w:hanging="461"/>
      </w:pPr>
      <w:r>
        <w:rPr>
          <w:rFonts w:ascii="Times New Roman" w:hAnsi="Times New Roman"/>
          <w:b/>
          <w:i w:val="0"/>
          <w:color w:val="202020"/>
          <w:sz w:val="23"/>
        </w:rPr>
        <w:t xml:space="preserve">5. </w:t>
      </w:r>
      <w:r>
        <w:rPr>
          <w:rFonts w:ascii="Times New Roman" w:hAnsi="Times New Roman"/>
          <w:b w:val="0"/>
          <w:i w:val="0"/>
          <w:color w:val="202020"/>
          <w:sz w:val="23"/>
        </w:rPr>
        <w:t>Document and report submission.</w:t>
      </w:r>
    </w:p>
    <w:p>
      <w:pPr>
        <w:keepLines/>
        <w:spacing w:after="80" w:line="300" w:lineRule="auto"/>
        <w:ind w:left="490" w:hanging="461"/>
      </w:pPr>
      <w:r>
        <w:rPr>
          <w:rFonts w:ascii="Times New Roman" w:hAnsi="Times New Roman"/>
          <w:b/>
          <w:i w:val="0"/>
          <w:color w:val="202020"/>
          <w:sz w:val="23"/>
        </w:rPr>
        <w:t xml:space="preserve">6. </w:t>
      </w:r>
      <w:r>
        <w:rPr>
          <w:rFonts w:ascii="Times New Roman" w:hAnsi="Times New Roman"/>
          <w:b w:val="0"/>
          <w:i w:val="0"/>
          <w:color w:val="202020"/>
          <w:sz w:val="23"/>
        </w:rPr>
        <w:t>Progress monitoring.</w:t>
      </w:r>
    </w:p>
    <w:p>
      <w:pPr>
        <w:keepLines/>
        <w:spacing w:after="80" w:line="300" w:lineRule="auto"/>
        <w:ind w:left="490" w:hanging="461"/>
      </w:pPr>
      <w:r>
        <w:rPr>
          <w:rFonts w:ascii="Times New Roman" w:hAnsi="Times New Roman"/>
          <w:b/>
          <w:i w:val="0"/>
          <w:color w:val="202020"/>
          <w:sz w:val="23"/>
        </w:rPr>
        <w:t xml:space="preserve">7. </w:t>
      </w:r>
      <w:r>
        <w:rPr>
          <w:rFonts w:ascii="Times New Roman" w:hAnsi="Times New Roman"/>
          <w:b w:val="0"/>
          <w:i w:val="0"/>
          <w:color w:val="202020"/>
          <w:sz w:val="23"/>
        </w:rPr>
        <w:t>Performance evaluation.</w:t>
      </w:r>
    </w:p>
    <w:p>
      <w:pPr>
        <w:keepLines/>
        <w:spacing w:after="80" w:line="300" w:lineRule="auto"/>
        <w:ind w:left="490" w:hanging="461"/>
      </w:pPr>
      <w:r>
        <w:rPr>
          <w:rFonts w:ascii="Times New Roman" w:hAnsi="Times New Roman"/>
          <w:b/>
          <w:i w:val="0"/>
          <w:color w:val="202020"/>
          <w:sz w:val="23"/>
        </w:rPr>
        <w:t xml:space="preserve">8. </w:t>
      </w:r>
      <w:r>
        <w:rPr>
          <w:rFonts w:ascii="Times New Roman" w:hAnsi="Times New Roman"/>
          <w:b w:val="0"/>
          <w:i w:val="0"/>
          <w:color w:val="202020"/>
          <w:sz w:val="23"/>
        </w:rPr>
        <w:t>Notifications and announcements.</w:t>
      </w:r>
    </w:p>
    <w:p>
      <w:pPr>
        <w:keepLines/>
        <w:spacing w:after="80" w:line="300" w:lineRule="auto"/>
        <w:ind w:left="490" w:hanging="461"/>
      </w:pPr>
      <w:r>
        <w:rPr>
          <w:rFonts w:ascii="Times New Roman" w:hAnsi="Times New Roman"/>
          <w:b/>
          <w:i w:val="0"/>
          <w:color w:val="202020"/>
          <w:sz w:val="23"/>
        </w:rPr>
        <w:t xml:space="preserve">9. </w:t>
      </w:r>
      <w:r>
        <w:rPr>
          <w:rFonts w:ascii="Times New Roman" w:hAnsi="Times New Roman"/>
          <w:b w:val="0"/>
          <w:i w:val="0"/>
          <w:color w:val="202020"/>
          <w:sz w:val="23"/>
        </w:rPr>
        <w:t>Administrative reports and finalization of completed records, with completed records kept read-only.</w:t>
      </w:r>
    </w:p>
    <w:p>
      <w:pPr>
        <w:keepNext/>
        <w:spacing w:before="180" w:after="80" w:line="240" w:lineRule="auto"/>
      </w:pPr>
      <w:r>
        <w:rPr>
          <w:rFonts w:ascii="Times New Roman" w:hAnsi="Times New Roman"/>
          <w:b/>
          <w:i w:val="0"/>
          <w:color w:val="202020"/>
          <w:sz w:val="28"/>
        </w:rPr>
        <w:t>Keep these existing parts</w:t>
      </w:r>
    </w:p>
    <w:p>
      <w:pPr>
        <w:keepNext w:val="0"/>
        <w:keepLines/>
        <w:spacing w:before="0" w:after="120" w:line="360" w:lineRule="auto"/>
      </w:pPr>
      <w:r>
        <w:rPr>
          <w:rFonts w:ascii="Times New Roman" w:hAnsi="Times New Roman"/>
          <w:b w:val="0"/>
          <w:i w:val="0"/>
          <w:color w:val="202020"/>
          <w:sz w:val="24"/>
        </w:rPr>
        <w:t>The supplied manuscript already states the correct institution and intended fourth-year ICS and IBE beneficiaries. It also excludes other academic levels and institutions, job applications and hiring, MOA transactions, and general HR management. Those passages can remain; only clarify that a company employee may participate as a Company Supervisor when assigned to that OJT role.</w:t>
      </w:r>
    </w:p>
    <w:p>
      <w:pPr>
        <w:keepNext/>
        <w:spacing w:before="180" w:after="80" w:line="240" w:lineRule="auto"/>
      </w:pPr>
      <w:r>
        <w:rPr>
          <w:rFonts w:ascii="Times New Roman" w:hAnsi="Times New Roman"/>
          <w:b/>
          <w:i w:val="0"/>
          <w:color w:val="202020"/>
          <w:sz w:val="28"/>
        </w:rPr>
        <w:t>Editorial check for the complete thesis</w:t>
      </w:r>
    </w:p>
    <w:p>
      <w:pPr>
        <w:keepNext w:val="0"/>
        <w:keepLines/>
        <w:spacing w:before="0" w:after="0" w:line="360" w:lineRule="auto"/>
      </w:pPr>
      <w:r>
        <w:rPr>
          <w:rFonts w:ascii="Times New Roman" w:hAnsi="Times New Roman"/>
          <w:b w:val="0"/>
          <w:i w:val="0"/>
          <w:color w:val="202020"/>
          <w:sz w:val="24"/>
        </w:rPr>
        <w:t>The supplied PDF contains Chapter 1 only. In the research methodology, report the number of IT Experts/Evaluators and describe their technical evaluation separately from the user evaluation of 30 OJT students and two OJT coordinators. Keep the evaluation limited to the four selected characteristics stated above.</w:t>
      </w:r>
    </w:p>
    <w:sectPr w:rsidR="00FC693F" w:rsidRPr="0006063C" w:rsidSect="00034616">
      <w:headerReference w:type="default" r:id="rId9"/>
      <w:footerReference w:type="default" r:id="rId10"/>
      <w:pgSz w:w="11909" w:h="16834"/>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b w:val="0"/>
        <w:i w:val="0"/>
        <w:color w:val="5B6570"/>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b w:val="0"/>
        <w:i w:val="0"/>
        <w:color w:val="5B6570"/>
        <w:sz w:val="16"/>
      </w:rPr>
      <w:t>OJT MANUSCRIPT REVISION INSERTIONS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0202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OJT Manuscript Aligned Insertions</dc:title>
  <dc:subject>Copy-ready Chapter 1 insertions and limited corrections aligned with the approved OJT system scope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