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rial" w:hAnsi="Arial"/>
          <w:b/>
          <w:color w:val="000000"/>
          <w:sz w:val="48"/>
        </w:rPr>
        <w:t>OJT Manuscript Alignment Review</w:t>
      </w:r>
    </w:p>
    <w:p>
      <w:pPr>
        <w:spacing w:after="220"/>
      </w:pPr>
      <w:r>
        <w:rPr>
          <w:rFonts w:ascii="Arial" w:hAnsi="Arial"/>
          <w:b w:val="0"/>
          <w:color w:val="556575"/>
          <w:sz w:val="22"/>
        </w:rPr>
        <w:t>Comparison with the approved system scope and repository snapshot</w:t>
      </w:r>
    </w:p>
    <w:p>
      <w:pPr>
        <w:pStyle w:val="Heading1"/>
        <w:keepNext/>
        <w:spacing w:before="180" w:after="80"/>
      </w:pPr>
      <w:r>
        <w:rPr>
          <w:rFonts w:ascii="Arial" w:hAnsi="Arial"/>
          <w:b/>
          <w:color w:val="000000"/>
          <w:sz w:val="28"/>
        </w:rPr>
        <w:t>Overall finding</w:t>
      </w:r>
    </w:p>
    <w:p>
      <w:pPr>
        <w:spacing w:after="100" w:before="0" w:line="269" w:lineRule="auto"/>
      </w:pPr>
      <w:r>
        <w:rPr>
          <w:rFonts w:ascii="Arial" w:hAnsi="Arial"/>
          <w:b w:val="0"/>
          <w:color w:val="202A33"/>
          <w:sz w:val="19"/>
        </w:rPr>
        <w:t>The manuscript is broadly aligned with the system purpose, target students, and core OJT workflows. It is not fully aligned yet. The clearest issue is an internal evaluation claim that says the study will meet all nine ISO/IEC 25010 characteristics while other sections evaluate only four. The approved system rules also contain boundaries and requirements that the manuscript does not state, and the current repository has a few implementation-level differences that should be resolved before claiming full alignment.</w:t>
      </w:r>
    </w:p>
    <w:p>
      <w:pPr>
        <w:spacing w:after="120" w:before="0" w:line="269" w:lineRule="auto"/>
      </w:pPr>
      <w:r>
        <w:rPr>
          <w:rFonts w:ascii="Arial" w:hAnsi="Arial"/>
          <w:b w:val="0"/>
          <w:color w:val="556575"/>
          <w:sz w:val="17"/>
        </w:rPr>
        <w:t>Review boundary: The supplied PDF has 21 pages and contains the cover, abstract, and Chapter 1 through the definition of terms. It refers to later chapters, but those chapters and completed evaluation results are not in this file. This review therefore checks the supplied manuscript against the project rules and a static repository inspection; it does not validate unprovided chapters or run the application.</w:t>
      </w:r>
    </w:p>
    <w:p>
      <w:pPr>
        <w:pStyle w:val="Heading1"/>
        <w:keepNext/>
        <w:spacing w:before="180" w:after="80"/>
      </w:pPr>
      <w:r>
        <w:rPr>
          <w:rFonts w:ascii="Arial" w:hAnsi="Arial"/>
          <w:b/>
          <w:color w:val="000000"/>
          <w:sz w:val="28"/>
        </w:rPr>
        <w:t>What the manuscript already includes</w:t>
      </w:r>
    </w:p>
    <w:tbl>
      <w:tblPr>
        <w:tblW w:type="auto" w:w="0"/>
        <w:jc w:val="center"/>
        <w:tblLayout w:type="fixed"/>
        <w:tblLook w:firstColumn="1" w:firstRow="1" w:lastColumn="0" w:lastRow="0" w:noHBand="0" w:noVBand="1" w:val="04A0"/>
      </w:tblPr>
      <w:tblGrid>
        <w:gridCol w:w="1800"/>
        <w:gridCol w:w="6480"/>
        <w:gridCol w:w="1656"/>
      </w:tblGrid>
      <w:tr>
        <w:trPr>
          <w:tblHeader w:val="true"/>
          <w:cantSplit/>
        </w:trPr>
        <w:tc>
          <w:tcPr>
            <w:tcW w:type="dxa" w:w="180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183B5B"/>
          </w:tcPr>
          <w:p>
            <w:pPr>
              <w:spacing w:after="0" w:before="0" w:line="259" w:lineRule="auto"/>
            </w:pPr>
            <w:r/>
            <w:r>
              <w:rPr>
                <w:rFonts w:ascii="Arial" w:hAnsi="Arial"/>
                <w:b/>
                <w:color w:val="FFFFFF"/>
                <w:sz w:val="16"/>
              </w:rPr>
              <w:t>Area</w:t>
            </w:r>
          </w:p>
        </w:tc>
        <w:tc>
          <w:tcPr>
            <w:tcW w:type="dxa" w:w="648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183B5B"/>
          </w:tcPr>
          <w:p>
            <w:pPr>
              <w:spacing w:after="0" w:before="0" w:line="259" w:lineRule="auto"/>
            </w:pPr>
            <w:r/>
            <w:r>
              <w:rPr>
                <w:rFonts w:ascii="Arial" w:hAnsi="Arial"/>
                <w:b/>
                <w:color w:val="FFFFFF"/>
                <w:sz w:val="16"/>
              </w:rPr>
              <w:t>What is already stated</w:t>
            </w:r>
          </w:p>
        </w:tc>
        <w:tc>
          <w:tcPr>
            <w:tcW w:type="dxa" w:w="1656"/>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183B5B"/>
          </w:tcPr>
          <w:p>
            <w:pPr>
              <w:spacing w:after="0" w:before="0" w:line="259" w:lineRule="auto"/>
            </w:pPr>
            <w:r/>
            <w:r>
              <w:rPr>
                <w:rFonts w:ascii="Arial" w:hAnsi="Arial"/>
                <w:b/>
                <w:color w:val="FFFFFF"/>
                <w:sz w:val="16"/>
              </w:rPr>
              <w:t>Manuscript pages</w:t>
            </w:r>
          </w:p>
        </w:tc>
      </w:tr>
      <w:tr>
        <w:trPr>
          <w:cantSplit/>
        </w:trPr>
        <w:tc>
          <w:tcPr>
            <w:tcW w:type="dxa" w:w="180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Purpose and beneficiaries</w:t>
            </w:r>
          </w:p>
        </w:tc>
        <w:tc>
          <w:tcPr>
            <w:tcW w:type="dxa" w:w="648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Fourth-year ICS and IBE OJT students at Colegio de Montalban.</w:t>
            </w:r>
          </w:p>
        </w:tc>
        <w:tc>
          <w:tcPr>
            <w:tcW w:type="dxa" w:w="1656"/>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pp. 2, 10, 15</w:t>
            </w:r>
          </w:p>
        </w:tc>
      </w:tr>
      <w:tr>
        <w:trPr>
          <w:cantSplit/>
        </w:trPr>
        <w:tc>
          <w:tcPr>
            <w:tcW w:type="dxa" w:w="180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Core OJT work</w:t>
            </w:r>
          </w:p>
        </w:tc>
        <w:tc>
          <w:tcPr>
            <w:tcW w:type="dxa" w:w="648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Applications and requirements, schedule review, attendance, rendered hours, reports, evaluations, progress monitoring, and updates.</w:t>
            </w:r>
          </w:p>
        </w:tc>
        <w:tc>
          <w:tcPr>
            <w:tcW w:type="dxa" w:w="1656"/>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pp. 8-20</w:t>
            </w:r>
          </w:p>
        </w:tc>
      </w:tr>
      <w:tr>
        <w:trPr>
          <w:cantSplit/>
        </w:trPr>
        <w:tc>
          <w:tcPr>
            <w:tcW w:type="dxa" w:w="180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Attendance evidence</w:t>
            </w:r>
          </w:p>
        </w:tc>
        <w:tc>
          <w:tcPr>
            <w:tcW w:type="dxa" w:w="648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Time In/Out with a selfie and event-time location evidence when available; the abstract rejects facial recognition.</w:t>
            </w:r>
          </w:p>
        </w:tc>
        <w:tc>
          <w:tcPr>
            <w:tcW w:type="dxa" w:w="1656"/>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pp. 2, 17, 19-20</w:t>
            </w:r>
          </w:p>
        </w:tc>
      </w:tr>
      <w:tr>
        <w:trPr>
          <w:cantSplit/>
        </w:trPr>
        <w:tc>
          <w:tcPr>
            <w:tcW w:type="dxa" w:w="180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Offline attendance</w:t>
            </w:r>
          </w:p>
        </w:tc>
        <w:tc>
          <w:tcPr>
            <w:tcW w:type="dxa" w:w="648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Mobile attendance and selfie evidence can be queued on-device and synchronized after connectivity returns.</w:t>
            </w:r>
          </w:p>
        </w:tc>
        <w:tc>
          <w:tcPr>
            <w:tcW w:type="dxa" w:w="1656"/>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pp. 2, 9, 18</w:t>
            </w:r>
          </w:p>
        </w:tc>
      </w:tr>
      <w:tr>
        <w:trPr>
          <w:cantSplit/>
        </w:trPr>
        <w:tc>
          <w:tcPr>
            <w:tcW w:type="dxa" w:w="180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Scope exclusions</w:t>
            </w:r>
          </w:p>
        </w:tc>
        <w:tc>
          <w:tcPr>
            <w:tcW w:type="dxa" w:w="648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The limitations exclude other academic levels/institutions, job applications and hiring, MOA transactions, and HR management.</w:t>
            </w:r>
          </w:p>
        </w:tc>
        <w:tc>
          <w:tcPr>
            <w:tcW w:type="dxa" w:w="1656"/>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p. 15</w:t>
            </w:r>
          </w:p>
        </w:tc>
      </w:tr>
      <w:tr>
        <w:trPr>
          <w:cantSplit/>
        </w:trPr>
        <w:tc>
          <w:tcPr>
            <w:tcW w:type="dxa" w:w="180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Evaluation topics</w:t>
            </w:r>
          </w:p>
        </w:tc>
        <w:tc>
          <w:tcPr>
            <w:tcW w:type="dxa" w:w="648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Functional suitability, performance efficiency, usability, and security are named as selected quality characteristics.</w:t>
            </w:r>
          </w:p>
        </w:tc>
        <w:tc>
          <w:tcPr>
            <w:tcW w:type="dxa" w:w="1656"/>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pp. 2, 9</w:t>
            </w:r>
          </w:p>
        </w:tc>
      </w:tr>
    </w:tbl>
    <w:p>
      <w:pPr>
        <w:spacing w:after="20" w:before="20"/>
      </w:pPr>
    </w:p>
    <w:p>
      <w:pPr>
        <w:pStyle w:val="Heading2"/>
        <w:keepNext/>
        <w:spacing w:before="120" w:after="80"/>
      </w:pPr>
      <w:r>
        <w:rPr>
          <w:rFonts w:ascii="Arial" w:hAnsi="Arial"/>
          <w:b/>
          <w:color w:val="000000"/>
          <w:sz w:val="22"/>
        </w:rPr>
        <w:t>How to read the findings</w:t>
      </w:r>
    </w:p>
    <w:p>
      <w:pPr>
        <w:spacing w:after="0" w:before="0" w:line="269" w:lineRule="auto"/>
      </w:pPr>
      <w:r>
        <w:rPr>
          <w:rFonts w:ascii="Arial" w:hAnsi="Arial"/>
          <w:b w:val="0"/>
          <w:color w:val="202A33"/>
          <w:sz w:val="17"/>
        </w:rPr>
        <w:t>“Included” means the supplied manuscript states the item. “Missing or unclear” means the approved system requires a boundary or detail that this manuscript does not establish. “Conflict” means two statements disagree or a repository rule differs from the manuscript. These labels distinguish the user-provided system instructions from instructions and feature descriptions appearing inside the PDF.</w:t>
      </w:r>
    </w:p>
    <w:p>
      <w:r>
        <w:br w:type="page"/>
      </w:r>
    </w:p>
    <w:p>
      <w:pPr>
        <w:pStyle w:val="Heading1"/>
        <w:keepNext/>
        <w:spacing w:before="180" w:after="80"/>
      </w:pPr>
      <w:r>
        <w:rPr>
          <w:rFonts w:ascii="Arial" w:hAnsi="Arial"/>
          <w:b/>
          <w:color w:val="000000"/>
          <w:sz w:val="28"/>
        </w:rPr>
        <w:t>What is missing or underspecified</w:t>
      </w:r>
    </w:p>
    <w:tbl>
      <w:tblPr>
        <w:tblW w:type="auto" w:w="0"/>
        <w:jc w:val="center"/>
        <w:tblLayout w:type="fixed"/>
        <w:tblLook w:firstColumn="1" w:firstRow="1" w:lastColumn="0" w:lastRow="0" w:noHBand="0" w:noVBand="1" w:val="04A0"/>
      </w:tblPr>
      <w:tblGrid>
        <w:gridCol w:w="1843"/>
        <w:gridCol w:w="6595"/>
        <w:gridCol w:w="1498"/>
      </w:tblGrid>
      <w:tr>
        <w:trPr>
          <w:tblHeader w:val="true"/>
          <w:cantSplit/>
        </w:trPr>
        <w:tc>
          <w:tcPr>
            <w:tcW w:type="dxa" w:w="184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183B5B"/>
          </w:tcPr>
          <w:p>
            <w:pPr>
              <w:spacing w:after="0" w:before="0" w:line="259" w:lineRule="auto"/>
            </w:pPr>
            <w:r/>
            <w:r>
              <w:rPr>
                <w:rFonts w:ascii="Arial" w:hAnsi="Arial"/>
                <w:b/>
                <w:color w:val="FFFFFF"/>
                <w:sz w:val="16"/>
              </w:rPr>
              <w:t>Area</w:t>
            </w:r>
          </w:p>
        </w:tc>
        <w:tc>
          <w:tcPr>
            <w:tcW w:type="dxa" w:w="6595"/>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183B5B"/>
          </w:tcPr>
          <w:p>
            <w:pPr>
              <w:spacing w:after="0" w:before="0" w:line="259" w:lineRule="auto"/>
            </w:pPr>
            <w:r/>
            <w:r>
              <w:rPr>
                <w:rFonts w:ascii="Arial" w:hAnsi="Arial"/>
                <w:b/>
                <w:color w:val="FFFFFF"/>
                <w:sz w:val="16"/>
              </w:rPr>
              <w:t>What is missing or unclear</w:t>
            </w:r>
          </w:p>
        </w:tc>
        <w:tc>
          <w:tcPr>
            <w:tcW w:type="dxa" w:w="1498"/>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183B5B"/>
          </w:tcPr>
          <w:p>
            <w:pPr>
              <w:spacing w:after="0" w:before="0" w:line="259" w:lineRule="auto"/>
            </w:pPr>
            <w:r/>
            <w:r>
              <w:rPr>
                <w:rFonts w:ascii="Arial" w:hAnsi="Arial"/>
                <w:b/>
                <w:color w:val="FFFFFF"/>
                <w:sz w:val="16"/>
              </w:rPr>
              <w:t>Evidence</w:t>
            </w:r>
          </w:p>
        </w:tc>
      </w:tr>
      <w:tr>
        <w:trPr>
          <w:cantSplit/>
        </w:trPr>
        <w:tc>
          <w:tcPr>
            <w:tcW w:type="dxa" w:w="184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Role list and access boundaries</w:t>
            </w:r>
          </w:p>
        </w:tc>
        <w:tc>
          <w:tcPr>
            <w:tcW w:type="dxa" w:w="6595"/>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The manuscript names students, coordinators, program heads, supervisors, administrators, and HR personnel in broad terms. It does not define the six approved roles and their permissions, the department boundary for Program Heads, or whether IT Experts/Evaluators are system accounts or study respondents.</w:t>
            </w:r>
          </w:p>
        </w:tc>
        <w:tc>
          <w:tcPr>
            <w:tcW w:type="dxa" w:w="1498"/>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pp. 14-18; compare approved system rules</w:t>
            </w:r>
          </w:p>
        </w:tc>
      </w:tr>
      <w:tr>
        <w:trPr>
          <w:cantSplit/>
        </w:trPr>
        <w:tc>
          <w:tcPr>
            <w:tcW w:type="dxa" w:w="184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Nine-increment plan</w:t>
            </w:r>
          </w:p>
        </w:tc>
        <w:tc>
          <w:tcPr>
            <w:tcW w:type="dxa" w:w="6595"/>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The manuscript lists feature groups but does not map work to the approved nine increments. In particular, read-only finalization of completed records and administrative reports are not specified as such.</w:t>
            </w:r>
          </w:p>
        </w:tc>
        <w:tc>
          <w:tcPr>
            <w:tcW w:type="dxa" w:w="1498"/>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pp. 17-20; compare approved increments</w:t>
            </w:r>
          </w:p>
        </w:tc>
      </w:tr>
      <w:tr>
        <w:trPr>
          <w:cantSplit/>
        </w:trPr>
        <w:tc>
          <w:tcPr>
            <w:tcW w:type="dxa" w:w="184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GPS requirement</w:t>
            </w:r>
          </w:p>
        </w:tc>
        <w:tc>
          <w:tcPr>
            <w:tcW w:type="dxa" w:w="6595"/>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The manuscript promises point-in-time location evidence when available. It does not define satellite-only verification, GPS failure handling, or a geofence rule/radius.</w:t>
            </w:r>
          </w:p>
        </w:tc>
        <w:tc>
          <w:tcPr>
            <w:tcW w:type="dxa" w:w="1498"/>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pp. 2, 17, 20</w:t>
            </w:r>
          </w:p>
        </w:tc>
      </w:tr>
      <w:tr>
        <w:trPr>
          <w:cantSplit/>
        </w:trPr>
        <w:tc>
          <w:tcPr>
            <w:tcW w:type="dxa" w:w="184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Offline boundary</w:t>
            </w:r>
          </w:p>
        </w:tc>
        <w:tc>
          <w:tcPr>
            <w:tcW w:type="dxa" w:w="6595"/>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Offline attendance queuing is stated, but the manuscript does not explicitly say that every other module requires internet access or whether queued records include the location sample.</w:t>
            </w:r>
          </w:p>
        </w:tc>
        <w:tc>
          <w:tcPr>
            <w:tcW w:type="dxa" w:w="1498"/>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pp. 2, 9, 18</w:t>
            </w:r>
          </w:p>
        </w:tc>
      </w:tr>
      <w:tr>
        <w:trPr>
          <w:cantSplit/>
        </w:trPr>
        <w:tc>
          <w:tcPr>
            <w:tcW w:type="dxa" w:w="184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Communication</w:t>
            </w:r>
          </w:p>
        </w:tc>
        <w:tc>
          <w:tcPr>
            <w:tcW w:type="dxa" w:w="6595"/>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Direct communication and communication tools/modules are mentioned, but the user-facing function and its place in the approved notification/announcement increment are not defined.</w:t>
            </w:r>
          </w:p>
        </w:tc>
        <w:tc>
          <w:tcPr>
            <w:tcW w:type="dxa" w:w="1498"/>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pp. 8, 13-14</w:t>
            </w:r>
          </w:p>
        </w:tc>
      </w:tr>
      <w:tr>
        <w:trPr>
          <w:cantSplit/>
        </w:trPr>
        <w:tc>
          <w:tcPr>
            <w:tcW w:type="dxa" w:w="184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Hardware target</w:t>
            </w:r>
          </w:p>
        </w:tc>
        <w:tc>
          <w:tcPr>
            <w:tcW w:type="dxa" w:w="6595"/>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The required i5/Ryzen 5, 8 GB RAM, and 256 GB SSD baseline is absent from the supplied pages.</w:t>
            </w:r>
          </w:p>
        </w:tc>
        <w:tc>
          <w:tcPr>
            <w:tcW w:type="dxa" w:w="1498"/>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6"/>
              </w:rPr>
              <w:t>Not stated in supplied PDF</w:t>
            </w:r>
          </w:p>
        </w:tc>
      </w:tr>
      <w:tr>
        <w:trPr>
          <w:cantSplit/>
        </w:trPr>
        <w:tc>
          <w:tcPr>
            <w:tcW w:type="dxa" w:w="184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System stack boundaries</w:t>
            </w:r>
          </w:p>
        </w:tc>
        <w:tc>
          <w:tcPr>
            <w:tcW w:type="dxa" w:w="6595"/>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TypeScript, Tailwind CSS, NativeWind, Expo Go, and Supabase Private Storage are not all specified in the supplied pages. The manuscript instead names Electron and a Firebase Storage fallback; see conflicts below.</w:t>
            </w:r>
          </w:p>
        </w:tc>
        <w:tc>
          <w:tcPr>
            <w:tcW w:type="dxa" w:w="1498"/>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6"/>
              </w:rPr>
              <w:t>pp. 18-20</w:t>
            </w:r>
          </w:p>
        </w:tc>
      </w:tr>
    </w:tbl>
    <w:p>
      <w:pPr>
        <w:spacing w:after="20" w:before="20"/>
      </w:pPr>
    </w:p>
    <w:p>
      <w:pPr>
        <w:pStyle w:val="Heading1"/>
        <w:keepNext/>
        <w:spacing w:before="180" w:after="80"/>
      </w:pPr>
      <w:r>
        <w:rPr>
          <w:rFonts w:ascii="Arial" w:hAnsi="Arial"/>
          <w:b/>
          <w:color w:val="000000"/>
          <w:sz w:val="28"/>
        </w:rPr>
        <w:t>Conflicts and manuscript corrections</w:t>
      </w:r>
    </w:p>
    <w:tbl>
      <w:tblPr>
        <w:tblW w:type="auto" w:w="0"/>
        <w:jc w:val="center"/>
        <w:tblLayout w:type="fixed"/>
        <w:tblLook w:firstColumn="1" w:firstRow="1" w:lastColumn="0" w:lastRow="0" w:noHBand="0" w:noVBand="1" w:val="04A0"/>
      </w:tblPr>
      <w:tblGrid>
        <w:gridCol w:w="1613"/>
        <w:gridCol w:w="6840"/>
        <w:gridCol w:w="1483"/>
      </w:tblGrid>
      <w:tr>
        <w:trPr>
          <w:tblHeader w:val="true"/>
          <w:cantSplit/>
        </w:trPr>
        <w:tc>
          <w:tcPr>
            <w:tcW w:type="dxa" w:w="161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183B5B"/>
          </w:tcPr>
          <w:p>
            <w:pPr>
              <w:spacing w:after="0" w:before="0" w:line="259" w:lineRule="auto"/>
            </w:pPr>
            <w:r/>
            <w:r>
              <w:rPr>
                <w:rFonts w:ascii="Arial" w:hAnsi="Arial"/>
                <w:b/>
                <w:color w:val="FFFFFF"/>
                <w:sz w:val="15"/>
              </w:rPr>
              <w:t>Issue</w:t>
            </w:r>
          </w:p>
        </w:tc>
        <w:tc>
          <w:tcPr>
            <w:tcW w:type="dxa" w:w="684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183B5B"/>
          </w:tcPr>
          <w:p>
            <w:pPr>
              <w:spacing w:after="0" w:before="0" w:line="259" w:lineRule="auto"/>
            </w:pPr>
            <w:r/>
            <w:r>
              <w:rPr>
                <w:rFonts w:ascii="Arial" w:hAnsi="Arial"/>
                <w:b/>
                <w:color w:val="FFFFFF"/>
                <w:sz w:val="15"/>
              </w:rPr>
              <w:t>Why it needs correction or a decision</w:t>
            </w:r>
          </w:p>
        </w:tc>
        <w:tc>
          <w:tcPr>
            <w:tcW w:type="dxa" w:w="148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183B5B"/>
          </w:tcPr>
          <w:p>
            <w:pPr>
              <w:spacing w:after="0" w:before="0" w:line="259" w:lineRule="auto"/>
            </w:pPr>
            <w:r/>
            <w:r>
              <w:rPr>
                <w:rFonts w:ascii="Arial" w:hAnsi="Arial"/>
                <w:b/>
                <w:color w:val="FFFFFF"/>
                <w:sz w:val="15"/>
              </w:rPr>
              <w:t>Pages</w:t>
            </w:r>
          </w:p>
        </w:tc>
      </w:tr>
      <w:tr>
        <w:trPr>
          <w:cantSplit/>
        </w:trPr>
        <w:tc>
          <w:tcPr>
            <w:tcW w:type="dxa" w:w="161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5"/>
              </w:rPr>
              <w:t>ISO claim</w:t>
            </w:r>
          </w:p>
        </w:tc>
        <w:tc>
          <w:tcPr>
            <w:tcW w:type="dxa" w:w="684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5"/>
              </w:rPr>
              <w:t>The abstract and problem statement select four characteristics, but a specific objective says the system will meet the updated nine core characteristics. These claims do not match. Do not claim all-nine compliance unless all nine are actually evaluated. Keep the evaluation limited to what the study measures and use the approved wording: “security-related features were evaluated.”</w:t>
            </w:r>
          </w:p>
        </w:tc>
        <w:tc>
          <w:tcPr>
            <w:tcW w:type="dxa" w:w="148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5"/>
              </w:rPr>
              <w:t>pp. 2, 9, 11</w:t>
            </w:r>
          </w:p>
        </w:tc>
      </w:tr>
      <w:tr>
        <w:trPr>
          <w:cantSplit/>
        </w:trPr>
        <w:tc>
          <w:tcPr>
            <w:tcW w:type="dxa" w:w="161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5"/>
              </w:rPr>
              <w:t>Desktop and storage stack</w:t>
            </w:r>
          </w:p>
        </w:tc>
        <w:tc>
          <w:tcPr>
            <w:tcW w:type="dxa" w:w="684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5"/>
              </w:rPr>
              <w:t>The manuscript specifies a desktop client using Electron and Firebase Storage with Supabase fallback. The approved stack lists Next.js, React Native/Expo, and Supabase Private Storage, and omits Electron/Firebase. Choose and document the authoritative stack; the repository currently contains both Electron and Firebase fallback code.</w:t>
            </w:r>
          </w:p>
        </w:tc>
        <w:tc>
          <w:tcPr>
            <w:tcW w:type="dxa" w:w="148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5"/>
              </w:rPr>
              <w:t>pp. 2, 18-20</w:t>
            </w:r>
          </w:p>
        </w:tc>
      </w:tr>
      <w:tr>
        <w:trPr>
          <w:cantSplit/>
        </w:trPr>
        <w:tc>
          <w:tcPr>
            <w:tcW w:type="dxa" w:w="161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5"/>
              </w:rPr>
              <w:t>Company HR personnel</w:t>
            </w:r>
          </w:p>
        </w:tc>
        <w:tc>
          <w:tcPr>
            <w:tcW w:type="dxa" w:w="684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5"/>
              </w:rPr>
              <w:t>The scope lists Company Supervisors and HR Personnel as users, while the limitations exclude HR management. Clarify that any company HR user, if retained, only acts within the approved Company Supervisor role and OJT duties; do not imply a general HR module.</w:t>
            </w:r>
          </w:p>
        </w:tc>
        <w:tc>
          <w:tcPr>
            <w:tcW w:type="dxa" w:w="148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5"/>
              </w:rPr>
              <w:t>p. 15</w:t>
            </w:r>
          </w:p>
        </w:tc>
      </w:tr>
      <w:tr>
        <w:trPr>
          <w:cantSplit/>
        </w:trPr>
        <w:tc>
          <w:tcPr>
            <w:tcW w:type="dxa" w:w="161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5"/>
              </w:rPr>
              <w:t>Degree name</w:t>
            </w:r>
          </w:p>
        </w:tc>
        <w:tc>
          <w:tcPr>
            <w:tcW w:type="dxa" w:w="684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5"/>
              </w:rPr>
              <w:t>The cover identifies the degree as Bachelor of Science in Information Technology. A significance paragraph calls it “Bachelor of Science in Computing Studies” and associates ICS with the degree name. Verify and use the official degree/program name consistently.</w:t>
            </w:r>
          </w:p>
        </w:tc>
        <w:tc>
          <w:tcPr>
            <w:tcW w:type="dxa" w:w="148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5"/>
              </w:rPr>
              <w:t>pp. 1, 16</w:t>
            </w:r>
          </w:p>
        </w:tc>
      </w:tr>
      <w:tr>
        <w:trPr>
          <w:cantSplit/>
        </w:trPr>
        <w:tc>
          <w:tcPr>
            <w:tcW w:type="dxa" w:w="161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5"/>
              </w:rPr>
              <w:t>Evaluation participants</w:t>
            </w:r>
          </w:p>
        </w:tc>
        <w:tc>
          <w:tcPr>
            <w:tcW w:type="dxa" w:w="684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5"/>
              </w:rPr>
              <w:t>The abstract specifies 30 OJT students and 2 coordinators for ISO evaluation. The Agile section separately says selected students, coordinators, and supervisors will test the system. These may be different activities, but the manuscript does not distinguish the samples or phases.</w:t>
            </w:r>
          </w:p>
        </w:tc>
        <w:tc>
          <w:tcPr>
            <w:tcW w:type="dxa" w:w="148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tcPr>
          <w:p>
            <w:pPr>
              <w:spacing w:after="0" w:before="0" w:line="259" w:lineRule="auto"/>
            </w:pPr>
            <w:r/>
            <w:r>
              <w:rPr>
                <w:rFonts w:ascii="Arial" w:hAnsi="Arial"/>
                <w:b w:val="0"/>
                <w:color w:val="202A33"/>
                <w:sz w:val="15"/>
              </w:rPr>
              <w:t>pp. 2, 14</w:t>
            </w:r>
          </w:p>
        </w:tc>
      </w:tr>
      <w:tr>
        <w:trPr>
          <w:cantSplit/>
        </w:trPr>
        <w:tc>
          <w:tcPr>
            <w:tcW w:type="dxa" w:w="161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5"/>
              </w:rPr>
              <w:t>Certificate workflow</w:t>
            </w:r>
          </w:p>
        </w:tc>
        <w:tc>
          <w:tcPr>
            <w:tcW w:type="dxa" w:w="6840"/>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5"/>
              </w:rPr>
              <w:t>Certificate-code verification is an explicit manuscript feature, but it is not mapped to the nine approved increments. The approved rules prohibit Program Head certificate issuance/revocation. State whether verification remains in scope and which authorized role may issue or revoke certificates.</w:t>
            </w:r>
          </w:p>
        </w:tc>
        <w:tc>
          <w:tcPr>
            <w:tcW w:type="dxa" w:w="1483"/>
            <w:vAlign w:val="center"/>
            <w:tcMar>
              <w:top w:w="90" w:type="dxa"/>
              <w:start w:w="110" w:type="dxa"/>
              <w:bottom w:w="90" w:type="dxa"/>
              <w:end w:w="110" w:type="dxa"/>
            </w:tcMar>
            <w:tcBorders>
              <w:top w:val="single" w:sz="6" w:color="D9E0E7"/>
              <w:left w:val="single" w:sz="6" w:color="D9E0E7"/>
              <w:bottom w:val="single" w:sz="6" w:color="D9E0E7"/>
              <w:right w:val="single" w:sz="6" w:color="D9E0E7"/>
              <w:insideH w:val="single" w:sz="6" w:color="D9E0E7"/>
              <w:insideV w:val="single" w:sz="6" w:color="D9E0E7"/>
            </w:tcBorders>
            <w:shd w:fill="F5F7FA"/>
          </w:tcPr>
          <w:p>
            <w:pPr>
              <w:spacing w:after="0" w:before="0" w:line="259" w:lineRule="auto"/>
            </w:pPr>
            <w:r/>
            <w:r>
              <w:rPr>
                <w:rFonts w:ascii="Arial" w:hAnsi="Arial"/>
                <w:b w:val="0"/>
                <w:color w:val="202A33"/>
                <w:sz w:val="15"/>
              </w:rPr>
              <w:t>pp. 9, 17, 21</w:t>
            </w:r>
          </w:p>
        </w:tc>
      </w:tr>
    </w:tbl>
    <w:p>
      <w:pPr>
        <w:spacing w:after="20" w:before="20"/>
      </w:pPr>
    </w:p>
    <w:p>
      <w:r>
        <w:br w:type="page"/>
      </w:r>
    </w:p>
    <w:p>
      <w:pPr>
        <w:pStyle w:val="Heading1"/>
        <w:keepNext/>
        <w:spacing w:before="180" w:after="80"/>
      </w:pPr>
      <w:r>
        <w:rPr>
          <w:rFonts w:ascii="Arial" w:hAnsi="Arial"/>
          <w:b/>
          <w:color w:val="000000"/>
          <w:sz w:val="28"/>
        </w:rPr>
        <w:t>Repository snapshot</w:t>
      </w:r>
    </w:p>
    <w:p>
      <w:pPr>
        <w:spacing w:after="100" w:before="0" w:line="269" w:lineRule="auto"/>
      </w:pPr>
      <w:r>
        <w:rPr>
          <w:rFonts w:ascii="Arial" w:hAnsi="Arial"/>
          <w:b w:val="0"/>
          <w:color w:val="202A33"/>
          <w:sz w:val="19"/>
        </w:rPr>
        <w:t>These are static findings from the current source tree, included to distinguish the written manuscript from the software implementation. They do not represent a runtime or security test.</w:t>
      </w:r>
    </w:p>
    <w:p>
      <w:pPr>
        <w:pStyle w:val="ListBullet"/>
        <w:spacing w:after="60" w:line="259" w:lineRule="auto"/>
        <w:ind w:left="317" w:hanging="216"/>
      </w:pPr>
      <w:r>
        <w:rPr>
          <w:rFonts w:ascii="Arial" w:hAnsi="Arial"/>
          <w:b/>
          <w:color w:val="202A33"/>
          <w:sz w:val="18"/>
        </w:rPr>
        <w:t xml:space="preserve">Authentication roles: </w:t>
      </w:r>
      <w:r>
        <w:rPr>
          <w:rFonts w:ascii="Arial" w:hAnsi="Arial"/>
          <w:b w:val="0"/>
          <w:color w:val="202A33"/>
          <w:sz w:val="18"/>
        </w:rPr>
        <w:t>shared/types/roles.ts defines five account roles: Student, Coordinator, Supervisor, ProgramHead, and Admin. It does not define IT Experts/Evaluators as an account role. Decide whether evaluators are external study respondents or authenticated system users.</w:t>
      </w:r>
    </w:p>
    <w:p>
      <w:pPr>
        <w:pStyle w:val="ListBullet"/>
        <w:spacing w:after="60" w:line="259" w:lineRule="auto"/>
        <w:ind w:left="317" w:hanging="216"/>
      </w:pPr>
      <w:r>
        <w:rPr>
          <w:rFonts w:ascii="Arial" w:hAnsi="Arial"/>
          <w:b/>
          <w:color w:val="202A33"/>
          <w:sz w:val="18"/>
        </w:rPr>
        <w:t xml:space="preserve">Desktop and storage: </w:t>
      </w:r>
      <w:r>
        <w:rPr>
          <w:rFonts w:ascii="Arial" w:hAnsi="Arial"/>
          <w:b w:val="0"/>
          <w:color w:val="202A33"/>
          <w:sz w:val="18"/>
        </w:rPr>
        <w:t>apps/desktop contains an Electron client. apps/mobile/src/lib/storage.ts can upload to Firebase Storage when configured and falls back to Supabase Storage. This matches the manuscript wording, but conflicts with the approved stack list that omits Electron and Firebase.</w:t>
      </w:r>
    </w:p>
    <w:p>
      <w:pPr>
        <w:pStyle w:val="ListBullet"/>
        <w:spacing w:after="60" w:line="259" w:lineRule="auto"/>
        <w:ind w:left="317" w:hanging="216"/>
      </w:pPr>
      <w:r>
        <w:rPr>
          <w:rFonts w:ascii="Arial" w:hAnsi="Arial"/>
          <w:b/>
          <w:color w:val="202A33"/>
          <w:sz w:val="18"/>
        </w:rPr>
        <w:t xml:space="preserve">Location capture: </w:t>
      </w:r>
      <w:r>
        <w:rPr>
          <w:rFonts w:ascii="Arial" w:hAnsi="Arial"/>
          <w:b w:val="0"/>
          <w:color w:val="202A33"/>
          <w:sz w:val="18"/>
        </w:rPr>
        <w:t>apps/mobile/src/services/location.ts attempts high-accuracy location, then balanced network-based location, then a last-known position. shared/geo.ts also contains geofence calculations. The manuscript describes location evidence when available and does not define these exact behaviors.</w:t>
      </w:r>
    </w:p>
    <w:p>
      <w:pPr>
        <w:pStyle w:val="ListBullet"/>
        <w:spacing w:after="60" w:line="259" w:lineRule="auto"/>
        <w:ind w:left="317" w:hanging="216"/>
      </w:pPr>
      <w:r>
        <w:rPr>
          <w:rFonts w:ascii="Arial" w:hAnsi="Arial"/>
          <w:b/>
          <w:color w:val="202A33"/>
          <w:sz w:val="18"/>
        </w:rPr>
        <w:t xml:space="preserve">Certificate permissions: </w:t>
      </w:r>
      <w:r>
        <w:rPr>
          <w:rFonts w:ascii="Arial" w:hAnsi="Arial"/>
          <w:b w:val="0"/>
          <w:color w:val="202A33"/>
          <w:sz w:val="18"/>
        </w:rPr>
        <w:t>The web service functions restrict certificate issue/revoke actions to Coordinator or Admin. However, database/migrations/013_certificates_and_public_verification.sql gives the certificate management policy to Coordinator, Admin, and ProgramHead. That database rule conflicts with the approved Program Head restriction and should be reviewed by the project team.</w:t>
      </w:r>
    </w:p>
    <w:p>
      <w:pPr>
        <w:pStyle w:val="Heading1"/>
        <w:keepNext/>
        <w:spacing w:before="180" w:after="80"/>
      </w:pPr>
      <w:r>
        <w:rPr>
          <w:rFonts w:ascii="Arial" w:hAnsi="Arial"/>
          <w:b/>
          <w:color w:val="000000"/>
          <w:sz w:val="28"/>
        </w:rPr>
        <w:t>Recommended corrections before calling the system aligned</w:t>
      </w:r>
    </w:p>
    <w:p>
      <w:pPr>
        <w:pStyle w:val="ListNumber"/>
        <w:spacing w:after="80" w:line="259" w:lineRule="auto"/>
        <w:ind w:left="360" w:hanging="245"/>
      </w:pPr>
      <w:r>
        <w:rPr>
          <w:rFonts w:ascii="Arial" w:hAnsi="Arial"/>
          <w:b w:val="0"/>
          <w:color w:val="202A33"/>
          <w:sz w:val="18"/>
        </w:rPr>
        <w:t>Resolve the authoritative technology list, including whether Electron and Firebase are allowed alongside the approved Next.js, Expo, and Supabase stack.</w:t>
      </w:r>
    </w:p>
    <w:p>
      <w:pPr>
        <w:pStyle w:val="ListNumber"/>
        <w:spacing w:after="80" w:line="259" w:lineRule="auto"/>
        <w:ind w:left="360" w:hanging="245"/>
      </w:pPr>
      <w:r>
        <w:rPr>
          <w:rFonts w:ascii="Arial" w:hAnsi="Arial"/>
          <w:b w:val="0"/>
          <w:color w:val="202A33"/>
          <w:sz w:val="18"/>
        </w:rPr>
        <w:t>Reconcile the ISO objective with the four characteristics actually named for evaluation, and avoid wording that suggests full ISO compliance.</w:t>
      </w:r>
    </w:p>
    <w:p>
      <w:pPr>
        <w:pStyle w:val="ListNumber"/>
        <w:spacing w:after="80" w:line="259" w:lineRule="auto"/>
        <w:ind w:left="360" w:hanging="245"/>
      </w:pPr>
      <w:r>
        <w:rPr>
          <w:rFonts w:ascii="Arial" w:hAnsi="Arial"/>
          <w:b w:val="0"/>
          <w:color w:val="202A33"/>
          <w:sz w:val="18"/>
        </w:rPr>
        <w:t>Define attendance location as point-in-time evidence or satellite verification, specify whether a geofence is required, and state the offline exception precisely.</w:t>
      </w:r>
    </w:p>
    <w:p>
      <w:pPr>
        <w:pStyle w:val="ListNumber"/>
        <w:spacing w:after="80" w:line="259" w:lineRule="auto"/>
        <w:ind w:left="360" w:hanging="245"/>
      </w:pPr>
      <w:r>
        <w:rPr>
          <w:rFonts w:ascii="Arial" w:hAnsi="Arial"/>
          <w:b w:val="0"/>
          <w:color w:val="202A33"/>
          <w:sz w:val="18"/>
        </w:rPr>
        <w:t>Write the six role names and access limits, including department boundaries and the distinction between evaluator respondents and user accounts.</w:t>
      </w:r>
    </w:p>
    <w:p>
      <w:pPr>
        <w:pStyle w:val="ListNumber"/>
        <w:spacing w:after="80" w:line="259" w:lineRule="auto"/>
        <w:ind w:left="360" w:hanging="245"/>
      </w:pPr>
      <w:r>
        <w:rPr>
          <w:rFonts w:ascii="Arial" w:hAnsi="Arial"/>
          <w:b w:val="0"/>
          <w:color w:val="202A33"/>
          <w:sz w:val="18"/>
        </w:rPr>
        <w:t>Clarify communication and certificate workflows, map them to increments, and state that completed-record finalization is read-only if that remains required.</w:t>
      </w:r>
    </w:p>
    <w:p>
      <w:pPr>
        <w:pStyle w:val="ListNumber"/>
        <w:spacing w:after="80" w:line="259" w:lineRule="auto"/>
        <w:ind w:left="360" w:hanging="245"/>
      </w:pPr>
      <w:r>
        <w:rPr>
          <w:rFonts w:ascii="Arial" w:hAnsi="Arial"/>
          <w:b w:val="0"/>
          <w:color w:val="202A33"/>
          <w:sz w:val="18"/>
        </w:rPr>
        <w:t>Standardize the degree name and explain whether student evaluation and broader system testing use different participant groups.</w:t>
      </w:r>
    </w:p>
    <w:p>
      <w:pPr>
        <w:pStyle w:val="Heading1"/>
        <w:keepNext/>
        <w:spacing w:before="180" w:after="80"/>
      </w:pPr>
      <w:r>
        <w:rPr>
          <w:rFonts w:ascii="Arial" w:hAnsi="Arial"/>
          <w:b/>
          <w:color w:val="000000"/>
          <w:sz w:val="28"/>
        </w:rPr>
        <w:t>Conclusion</w:t>
      </w:r>
    </w:p>
    <w:p>
      <w:pPr>
        <w:spacing w:after="0" w:before="0" w:line="269" w:lineRule="auto"/>
      </w:pPr>
      <w:r>
        <w:rPr>
          <w:rFonts w:ascii="Arial" w:hAnsi="Arial"/>
          <w:b w:val="0"/>
          <w:color w:val="202A33"/>
          <w:sz w:val="19"/>
        </w:rPr>
        <w:t>The manuscript already covers the central OJT workflow and most target-user needs. It needs revisions to reconcile the ISO evaluation claim, clarify role and access boundaries, and decide how location verification, desktop support, storage, communication, and certificates fit the approved system scope. The repository snapshot also shows a database certificate policy that does not honor the stated Program Head restriction. No source code or manuscript text was changed for this review.</w:t>
      </w:r>
    </w:p>
    <w:sectPr w:rsidR="00FC693F" w:rsidRPr="0006063C" w:rsidSect="00034616">
      <w:headerReference w:type="default" r:id="rId9"/>
      <w:footerReference w:type="default" r:id="rId10"/>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color w:val="556575"/>
        <w:sz w:val="16"/>
      </w:rPr>
      <w:t xml:space="preserve">Manuscript alignment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556575"/>
        <w:sz w:val="16"/>
      </w:rPr>
      <w:t>OJT SYSTEM REVIEW  |  12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02A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OJT Manuscript Alignment Review</dc:title>
  <dc:subject>Comparison of the supplied OJT manuscript with approved system scope and repository snapshot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