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OJT Manuscript Review</w:t>
      </w:r>
    </w:p>
    <w:p>
      <w:pPr>
        <w:spacing w:after="220"/>
      </w:pPr>
      <w:r>
        <w:rPr>
          <w:b/>
          <w:color w:val="344D67"/>
          <w:sz w:val="24"/>
        </w:rPr>
        <w:t>Chapters 1–3 compared with the approved system scope</w:t>
      </w:r>
    </w:p>
    <w:p>
      <w:pPr>
        <w:spacing w:after="200"/>
      </w:pPr>
      <w:r>
        <w:rPr>
          <w:b/>
        </w:rPr>
        <w:t xml:space="preserve">Source: </w:t>
      </w:r>
      <w:r>
        <w:t>CAPSTONE MANUSCRIPT_OJT (1).pdf  |  PDF pages 1–68  |  Review date: 12 October 2026</w:t>
      </w:r>
    </w:p>
    <w:p>
      <w:pPr>
        <w:pStyle w:val="Heading1"/>
        <w:keepNext/>
      </w:pPr>
      <w:r>
        <w:t>Review conclusion</w:t>
      </w:r>
    </w:p>
    <w:p>
      <w:r>
        <w:rPr>
          <w:b/>
        </w:rPr>
        <w:t xml:space="preserve">The manuscript needs scope and consistency corrections before it is ready to submit. </w:t>
      </w:r>
      <w:r>
        <w:t>Its central audience, core web/mobile stack, attendance queue, hardware target, and the statement that no facial recognition is used are aligned or partly aligned. However, Chapters 1–3 also add unapproved users, a desktop client, certificate issuance and public verification, and additional business rules. The stated role list, GPS requirement, ISO/IEC 25010 wording, evaluation sample, and Chapter 3 structure do not consistently match the supplied system rules.</w:t>
      </w:r>
    </w:p>
    <w:p>
      <w:r>
        <w:rPr>
          <w:b/>
        </w:rPr>
        <w:t xml:space="preserve">Review boundary: </w:t>
      </w:r>
      <w:r>
        <w:t>This review compares manuscript statements with the system rules supplied by the user. It does not audit the repository or verify that manuscript claims about implemented code are true. Chapters 1–3 occupy PDF pages 3–45; appended material after those chapters is noted separately. Chapter 4 results and Chapter 5 conclusions were not supplied as completed chapters.</w:t>
      </w:r>
    </w:p>
    <w:p>
      <w:pPr>
        <w:pStyle w:val="Heading1"/>
        <w:keepNext/>
      </w:pPr>
      <w:r>
        <w:t>What the manuscript already covers</w:t>
      </w:r>
    </w:p>
    <w:p>
      <w:pPr>
        <w:pStyle w:val="ListBullet"/>
      </w:pPr>
      <w:r>
        <w:rPr>
          <w:b/>
        </w:rPr>
        <w:t xml:space="preserve">Institution and student scope. </w:t>
      </w:r>
      <w:r>
        <w:t>The abstract, objectives, and scope identify Colegio de Montalban and fourth-year ICS and IBE OJT students (pp. 2, 10, 14–15). The limitations exclude other academic levels and institutions, job applications, MOA transactions, and general HR management (p. 15).</w:t>
      </w:r>
    </w:p>
    <w:p>
      <w:pPr>
        <w:pStyle w:val="ListBullet"/>
      </w:pPr>
      <w:r>
        <w:rPr>
          <w:b/>
        </w:rPr>
        <w:t xml:space="preserve">Core platforms and backend. </w:t>
      </w:r>
      <w:r>
        <w:t>The manuscript names React Native with Expo for mobile, Next.js for web, and Supabase for PostgreSQL, authentication, and Row-Level Security (pp. 18–19, 37, 42). These match the approved core stack; additional technologies listed alongside them are addressed below.</w:t>
      </w:r>
    </w:p>
    <w:p>
      <w:pPr>
        <w:pStyle w:val="ListBullet"/>
      </w:pPr>
      <w:r>
        <w:rPr>
          <w:b/>
        </w:rPr>
        <w:t xml:space="preserve">Mobile attendance queue. </w:t>
      </w:r>
      <w:r>
        <w:t>It describes queued mobile attendance and later synchronization when connectivity returns (pp. 2, 18, 37, 42), consistent with the permitted offline attendance use. It does not clearly state that every other module requires an active internet connection.</w:t>
      </w:r>
    </w:p>
    <w:p>
      <w:pPr>
        <w:pStyle w:val="ListBullet"/>
      </w:pPr>
      <w:r>
        <w:rPr>
          <w:b/>
        </w:rPr>
        <w:t xml:space="preserve">Hardware target. </w:t>
      </w:r>
      <w:r>
        <w:t>The computer requirement gives Intel Core i5 or AMD Ryzen 5, 8 GB RAM, and 256 GB SSD (p. 42), matching the stated hardware constraint.</w:t>
      </w:r>
    </w:p>
    <w:p>
      <w:pPr>
        <w:pStyle w:val="ListBullet"/>
      </w:pPr>
      <w:r>
        <w:rPr>
          <w:b/>
        </w:rPr>
        <w:t xml:space="preserve">Biometric boundary and security wording. </w:t>
      </w:r>
      <w:r>
        <w:t>The manuscript says the selfie is for human review and the system does not perform face recognition or biometric matching (pp. 2, 19, 37). The evaluation instrument includes the required phrase “security-related features were evaluated” (p. 39).</w:t>
      </w:r>
    </w:p>
    <w:p>
      <w:pPr>
        <w:pStyle w:val="Heading1"/>
        <w:keepNext/>
      </w:pPr>
      <w:r>
        <w:t>Conflicts and omissions against the system rules</w:t>
      </w:r>
    </w:p>
    <w:p>
      <w:pPr>
        <w:pStyle w:val="Heading2"/>
        <w:keepNext/>
      </w:pPr>
      <w:r>
        <w:t>1. Role list and access boundaries do not match</w:t>
      </w:r>
      <w:r>
        <w:rPr>
          <w:i/>
          <w:color w:val="5A646E"/>
          <w:sz w:val="18"/>
        </w:rPr>
        <w:t xml:space="preserve">  PDF pp. 15–18, 36, 38, 45</w:t>
      </w:r>
    </w:p>
    <w:p>
      <w:r>
        <w:t>Chapter 3 says there are five user groups and omits IT Experts / Evaluators (p. 36), while the approved system has six roles. The scope includes “HR Personnel” even though HR management is expressly excluded (pp. 15–16). The DFD groups Program Heads and Administrators together and assigns them “completion actions” and certificate functions (p. 45). State all six approved roles and keep Program Head access within the assigned department; do not give Program Heads cross-department access, company administration, or certificate issuance/revocation.</w:t>
      </w:r>
    </w:p>
    <w:p>
      <w:pPr>
        <w:pStyle w:val="Heading2"/>
        <w:keepNext/>
      </w:pPr>
      <w:r>
        <w:t>2. Unapproved client, storage provider, and technical additions</w:t>
      </w:r>
      <w:r>
        <w:rPr>
          <w:i/>
          <w:color w:val="5A646E"/>
          <w:sz w:val="18"/>
        </w:rPr>
        <w:t xml:space="preserve">  PDF pp. 2, 17–20, 36–37, 41–42</w:t>
      </w:r>
    </w:p>
    <w:p>
      <w:r>
        <w:t>The manuscript adds an Electron desktop application and system-tray behavior, although the approved client scope names a student mobile app and staff web portal (pp. 17–18, 41–42). It also says attendance images use Firebase Storage with Supabase Storage as fallback (pp. 19, 37, 42), while the approved backend specifies Supabase Private Storage. Confirm these additions against the approved stack and remove or correct them if they are not authorized. The named device-storage implementation details should likewise be retained only if they are part of the approved system.</w:t>
      </w:r>
    </w:p>
    <w:p>
      <w:pPr>
        <w:pStyle w:val="Heading2"/>
        <w:keepNext/>
      </w:pPr>
      <w:r>
        <w:t>3. Added workflows and business rules</w:t>
      </w:r>
      <w:r>
        <w:rPr>
          <w:i/>
          <w:color w:val="5A646E"/>
          <w:sz w:val="18"/>
        </w:rPr>
        <w:t xml:space="preserve">  PDF pp. 20, 37, 41, 44–45</w:t>
      </w:r>
    </w:p>
    <w:p>
      <w:r>
        <w:t>The text adds student-ID proofing, a two-document pre-deployment gate, schedule commitments and CHED compliance checks, automatic lunch deductions and daily hour caps, a five-dimension grade rubric with automatic percentage computation, and public certificate lookup/issuance. These are not in the supplied system scope. Increment 9 is administrative reports and finalization of completed records as read-only. Remove unapproved workflow claims or obtain explicit approval before treating them as system requirements. In particular, the Program Head must not issue or revoke certificates.</w:t>
      </w:r>
    </w:p>
    <w:p>
      <w:pPr>
        <w:pStyle w:val="Heading2"/>
        <w:keepNext/>
      </w:pPr>
      <w:r>
        <w:t>4. Location evidence is described as optional</w:t>
      </w:r>
      <w:r>
        <w:rPr>
          <w:i/>
          <w:color w:val="5A646E"/>
          <w:sz w:val="18"/>
        </w:rPr>
        <w:t xml:space="preserve">  PDF pp. 2, 17–18, 37, 42</w:t>
      </w:r>
    </w:p>
    <w:p>
      <w:r>
        <w:t>Several passages qualify event-time location evidence with “when available” or “when applicable”; Chapter 3 also permits a submission when location is unavailable or outside a geofence (p. 37). The approved system requires GPS satellite verification for mobile attendance. Revise the attendance description so it states that requirement accurately, and define what happens when satellite verification cannot be obtained. Keep offline support limited to mobile attendance logging and its later sync.</w:t>
      </w:r>
    </w:p>
    <w:p>
      <w:pPr>
        <w:pStyle w:val="Heading2"/>
        <w:keepNext/>
      </w:pPr>
      <w:r>
        <w:t>5. ISO/IEC 25010 claim overstates the evaluation</w:t>
      </w:r>
      <w:r>
        <w:rPr>
          <w:i/>
          <w:color w:val="5A646E"/>
          <w:sz w:val="18"/>
        </w:rPr>
        <w:t xml:space="preserve">  PDF pp. 2, 11, 39–40</w:t>
      </w:r>
    </w:p>
    <w:p>
      <w:r>
        <w:t>The abstract and instrument describe four selected characteristics: functional suitability, performance efficiency, usability, and security. Objective 6 instead claims the project is “meeting” the updated nine core characteristics (p. 11). That claim conflicts with the four-characteristic evaluation and with the supplied instruction to describe security as “security-related features were evaluated,” not to imply full standard compliance. Replace the nine-characteristic / compliance claim with wording limited to the four characteristics actually assessed.</w:t>
      </w:r>
    </w:p>
    <w:p>
      <w:pPr>
        <w:pStyle w:val="Heading2"/>
        <w:keepNext/>
      </w:pPr>
      <w:r>
        <w:t>6. Respondent table does not match the sampling description</w:t>
      </w:r>
      <w:r>
        <w:rPr>
          <w:i/>
          <w:color w:val="5A646E"/>
          <w:sz w:val="18"/>
        </w:rPr>
        <w:t xml:space="preserve">  PDF pp. 38–40</w:t>
      </w:r>
    </w:p>
    <w:p>
      <w:r>
        <w:t>Table 1 counts 30 students and 2 coordinators only (p. 38), but the sampling paragraph also names Program Heads, Company Supervisors, and IT Experts. The six-role system also includes a System Administrator. Add the actual participant counts and show which groups evaluate which functions and quality characteristics, or remove groups that are not participants. The methodology should identify how technical/security evaluation by IT Experts / Evaluators is handled.</w:t>
      </w:r>
    </w:p>
    <w:p>
      <w:pPr>
        <w:pStyle w:val="Heading2"/>
        <w:keepNext/>
      </w:pPr>
      <w:r>
        <w:t>7. Increment 9 and the planned feature sequence diverge</w:t>
      </w:r>
      <w:r>
        <w:rPr>
          <w:i/>
          <w:color w:val="5A646E"/>
          <w:sz w:val="18"/>
        </w:rPr>
        <w:t xml:space="preserve">  PDF pp. 18, 41–42</w:t>
      </w:r>
    </w:p>
    <w:p>
      <w:r>
        <w:t>The manuscript lists nine sprints, but Sprint 9 is desktop client and certificate verification (p. 41). The approved ninth increment is administrative reports and finalization, with completed records read-only. Map the nine sprints to the approved increments and remove features that have no approval. Several earlier sprints also encode extra workflow rules noted above.</w:t>
      </w:r>
    </w:p>
    <w:p>
      <w:pPr>
        <w:pStyle w:val="Heading1"/>
        <w:keepNext/>
      </w:pPr>
      <w:r>
        <w:t>Internal writing and assembly errors</w:t>
      </w:r>
    </w:p>
    <w:p>
      <w:pPr>
        <w:pStyle w:val="ListBullet"/>
      </w:pPr>
      <w:r>
        <w:rPr>
          <w:b/>
        </w:rPr>
        <w:t xml:space="preserve">Objective numbering, p. 10. </w:t>
      </w:r>
      <w:r>
        <w:t>Specific Objective 1 is split by a separate “2.” in the middle of its sentence. Reformat the list so each objective has one number and complete text.</w:t>
      </w:r>
    </w:p>
    <w:p>
      <w:pPr>
        <w:pStyle w:val="ListBullet"/>
      </w:pPr>
      <w:r>
        <w:rPr>
          <w:b/>
        </w:rPr>
        <w:t xml:space="preserve">Figure sequence, pp. 11–12. </w:t>
      </w:r>
      <w:r>
        <w:t>The conceptual framework is labeled Figure 2 before the operational framework is labeled Figure 1. Renumber figures in order of first appearance and update captions and references.</w:t>
      </w:r>
    </w:p>
    <w:p>
      <w:pPr>
        <w:pStyle w:val="ListBullet"/>
      </w:pPr>
      <w:r>
        <w:rPr>
          <w:b/>
        </w:rPr>
        <w:t xml:space="preserve">Chapter 3 section order, pp. 41–45. </w:t>
      </w:r>
      <w:r>
        <w:t>Sections 3.10 and 3.11 appear before sections 3.8 and 3.9; “3.10” is then used again for the DFD. Reorder sections and renumber headings, figures, captions, and in-text references consistently.</w:t>
      </w:r>
    </w:p>
    <w:p>
      <w:pPr>
        <w:pStyle w:val="ListBullet"/>
      </w:pPr>
      <w:r>
        <w:rPr>
          <w:b/>
        </w:rPr>
        <w:t xml:space="preserve">Department and degree wording, pp. 1, 15–16. </w:t>
      </w:r>
      <w:r>
        <w:t>The cover identifies a Bachelor of Science in Information Technology, while p. 16 calls “Bachelor of Science in Computing Studies (ICS)” a program and p. 15 narrows the audience to “BSIT” students even while including IBE. Use the official degree and department names consistently and clarify the eligible IBE cohort.</w:t>
      </w:r>
    </w:p>
    <w:p>
      <w:pPr>
        <w:pStyle w:val="ListBullet"/>
      </w:pPr>
      <w:r>
        <w:rPr>
          <w:b/>
        </w:rPr>
        <w:t xml:space="preserve">Research tense, pp. 13–14, 36, 40–42. </w:t>
      </w:r>
      <w:r>
        <w:t>The text alternates between future plans (“will”) and completed actions (“utilized,” “is developed”). Set tense according to whether development and data collection have occurred.</w:t>
      </w:r>
    </w:p>
    <w:p>
      <w:pPr>
        <w:pStyle w:val="ListBullet"/>
      </w:pPr>
      <w:r>
        <w:rPr>
          <w:b/>
        </w:rPr>
        <w:t xml:space="preserve">Reference list, pp. 3–7, 13, 36, 48–51. </w:t>
      </w:r>
      <w:r>
        <w:t>Several in-text citations are not findable in the reference list, including Bouchrika (2026), Deloitte (2025), Euler (2013), Cabalbag and Ontiveros (2024), Amora et al. (2022), Kadenic (2023), and Ravitch and Riggan (2016). Add complete reference entries or correct/remove the in-text citations. This is a text-match check, not source verification.</w:t>
      </w:r>
    </w:p>
    <w:p>
      <w:pPr>
        <w:pStyle w:val="ListBullet"/>
      </w:pPr>
      <w:r>
        <w:rPr>
          <w:b/>
        </w:rPr>
        <w:t xml:space="preserve">Extra pages in the PDF, pp. 47, 52–68. </w:t>
      </w:r>
      <w:r>
        <w:t>Page 47 contains a note saying future recommendations are “to be placed in Chapter 5.” Pages 52 onward include another title page/front matter and a research-manuscript template outline; these are not integrated chapters. Remove template/duplicate pages from the submission copy and place future recommendations only in the completed recommendations chapter.</w:t>
      </w:r>
    </w:p>
    <w:p>
      <w:pPr>
        <w:pStyle w:val="Heading1"/>
        <w:keepNext/>
      </w:pPr>
      <w:r>
        <w:t>Next corrections to make</w:t>
      </w:r>
    </w:p>
    <w:p>
      <w:pPr>
        <w:pStyle w:val="ListNumber"/>
      </w:pPr>
      <w:r>
        <w:t>First, align the roles, department permissions, approved platforms, offline boundary, GPS satellite verification, and nine increments with the supplied system rules.</w:t>
      </w:r>
    </w:p>
    <w:p>
      <w:pPr>
        <w:pStyle w:val="ListNumber"/>
      </w:pPr>
      <w:r>
        <w:t>Next, correct the ISO/IEC 25010 objective and respondent distribution so the evaluation claims match the actual evaluation plan.</w:t>
      </w:r>
    </w:p>
    <w:p>
      <w:pPr>
        <w:pStyle w:val="ListNumber"/>
      </w:pPr>
      <w:r>
        <w:t>Then fix objective and figure numbering, Chapter 3 order, degree/department wording, tense, references, and remove the appended template pages.</w:t>
      </w:r>
    </w:p>
    <w:p>
      <w:pPr>
        <w:pStyle w:val="ListNumber"/>
      </w:pPr>
      <w:r>
        <w:t>Review only Chapters 1–3 here. Chapter 4 results and Chapter 5 conclusions/recommendations were not included as completed chapters, so their findings and alignment remain unreviewed.</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E73"/>
        <w:sz w:val="16"/>
      </w:rPr>
      <w:t xml:space="preserve">OJT Monitoring and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46E"/>
        <w:sz w:val="16"/>
      </w:rPr>
      <w:t>MANUSCRIPT REVIEW  •  CHAPTERS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3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