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1F3A"/>
          <w:sz w:val="52"/>
        </w:rPr>
        <w:t>CHRONOS CAPITAL</w:t>
      </w:r>
    </w:p>
    <w:p>
      <w:pPr>
        <w:jc w:val="center"/>
      </w:pPr>
      <w:r>
        <w:rPr>
          <w:color w:val="555555"/>
          <w:sz w:val="28"/>
        </w:rPr>
        <w:t>Investment Committee — Screening Paper</w:t>
      </w:r>
    </w:p>
    <w:p>
      <w:pPr>
        <w:jc w:val="center"/>
      </w:pPr>
      <w:r>
        <w:rPr>
          <w:b/>
          <w:sz w:val="36"/>
        </w:rPr>
        <w:t>Nu Holdings Ltd  (NU.US)</w:t>
      </w:r>
    </w:p>
    <w:p>
      <w:pPr>
        <w:jc w:val="center"/>
      </w:pPr>
      <w:r>
        <w:rPr>
          <w:color w:val="333333"/>
          <w:sz w:val="24"/>
        </w:rPr>
        <w:t>Consensus: STARTER</w:t>
      </w:r>
    </w:p>
    <w:p>
      <w:r>
        <w:br w:type="page"/>
      </w:r>
    </w:p>
    <w:p>
      <w:r>
        <w:t>&lt;div class="container"&gt;</w:t>
      </w:r>
    </w:p>
    <w:p>
      <w:r>
        <w:t>&lt;div class="header"&gt;</w:t>
      </w:r>
    </w:p>
    <w:p>
      <w:r>
        <w:t xml:space="preserve">  &lt;div class="header-kicker"&gt;SPOCK IC SCREENING PAPER &amp;middot; LISTED EQUITY &amp;middot; NYSE&lt;/div&gt;</w:t>
      </w:r>
    </w:p>
    <w:p>
      <w:r>
        <w:t xml:space="preserve">  &lt;h1&gt;Nu Holdings Ltd &lt;span class="ticker"&gt;(NU.US)&lt;/span&gt;&lt;/h1&gt;</w:t>
      </w:r>
    </w:p>
    <w:p>
      <w:r>
        <w:t xml:space="preserve">  &lt;p class="header-tagline"&gt;The highest-quality emerging-market digital-bank franchise we have screened &amp;mdash; priced at roughly fair value into a live credit-and-margin overhang.&lt;/p&gt;</w:t>
      </w:r>
    </w:p>
    <w:p>
      <w:r>
        <w:t xml:space="preserve">  &lt;div class="header-meta"&gt;Financials &amp;middot; Banks &amp;middot; NYSE-listed Cayman FPI &amp;middot; Reference price ~US$11.97 &amp;middot; As of 7 June 2026&lt;/div&gt;</w:t>
      </w:r>
    </w:p>
    <w:p>
      <w:r>
        <w:t xml:space="preserve">  &lt;span class="verdict-badge badge-starter"&gt;STARTER &amp;mdash; ~US$50,000&lt;/span&gt;</w:t>
      </w:r>
    </w:p>
    <w:p>
      <w:r>
        <w:t>&lt;/div&gt;</w:t>
      </w:r>
    </w:p>
    <w:p>
      <w:r>
        <w:t>&lt;div class="verdict-box"&gt;</w:t>
      </w:r>
    </w:p>
    <w:p>
      <w:r>
        <w:t xml:space="preserve">  &lt;h2 class="verdict-title"&gt;Investment Verdict&lt;/h2&gt;</w:t>
      </w:r>
    </w:p>
    <w:p>
      <w:r>
        <w:t xml:space="preserve">  &lt;div class="verdict-grade"&gt;STARTER (punt-to-starter, ~US$50,000)&lt;/div&gt;</w:t>
      </w:r>
    </w:p>
    <w:p>
      <w:r>
        <w:t xml:space="preserve">  &lt;p class="verdict-line"&gt;A founder-led, 131-million-customer Brazilian digital bank with a 33% ROE, a 17.6% efficiency ratio, an evidenced moat (moat_index 125) and the strongest-disclosed AI underwriting in the archetype.&lt;/p&gt;</w:t>
      </w:r>
    </w:p>
    <w:p>
      <w:r>
        <w:t xml:space="preserve">  &lt;p class="verdict-line"&gt;At ~US$11.97 the stock sits inside the US$11&amp;ndash;16 fair-value range (base ~US$13.5), a thin ~11% margin of safety &amp;mdash; and it does so into a confirmed negative revision regime: a June 2026 downgrade cluster, ~760bps of margin compression, a 6.6% 90+ NPL on a 40%-growing book, and a CFO departure.&lt;/p&gt;</w:t>
      </w:r>
    </w:p>
    <w:p>
      <w:r>
        <w:t xml:space="preserve">  &lt;p class="thesis-line"&gt;The franchise earns a position; the price earns only a starter.&lt;/p&gt;</w:t>
      </w:r>
    </w:p>
    <w:p>
      <w:r>
        <w:t>&lt;/div&gt;</w:t>
      </w:r>
    </w:p>
    <w:p>
      <w:r>
        <w:t>&lt;div class="strategy-callout"&gt;</w:t>
      </w:r>
    </w:p>
    <w:p>
      <w:r>
        <w:t xml:space="preserve">  &lt;h3&gt;Strategy Verdict&lt;/h3&gt;</w:t>
      </w:r>
    </w:p>
    <w:p>
      <w:r>
        <w:t xml:space="preserve">  &lt;div class="strategy-grid"&gt;</w:t>
      </w:r>
    </w:p>
    <w:p>
      <w:r>
        <w:t xml:space="preserve">    &lt;div class="strategy-cell"&gt;&lt;span class="label"&gt;Recommendation&lt;/span&gt;&lt;span class="value"&gt;STARTER&lt;/span&gt;&lt;/div&gt;</w:t>
      </w:r>
    </w:p>
    <w:p>
      <w:r>
        <w:t xml:space="preserve">    &lt;div class="strategy-cell"&gt;&lt;span class="label"&gt;Initial size&lt;/span&gt;&lt;span class="value"&gt;~US$50,000 (punt-to-starter)&lt;/span&gt;&lt;/div&gt;</w:t>
      </w:r>
    </w:p>
    <w:p>
      <w:r>
        <w:t xml:space="preserve">    &lt;div class="strategy-cell"&gt;&lt;span class="label"&gt;Margin of safety&lt;/span&gt;&lt;span class="value"&gt;~11% to base (~US$13.5)&lt;/span&gt;&lt;/div&gt;</w:t>
      </w:r>
    </w:p>
    <w:p>
      <w:r>
        <w:t xml:space="preserve">    &lt;div class="strategy-cell"&gt;&lt;span class="label"&gt;Full at&lt;/span&gt;&lt;span class="value"&gt;Scale on credit-seasoning &amp;amp; CFO-transition triggers&lt;/span&gt;&lt;/div&gt;</w:t>
      </w:r>
    </w:p>
    <w:p>
      <w:r>
        <w:t xml:space="preserve">  &lt;/div&gt;</w:t>
      </w:r>
    </w:p>
    <w:p>
      <w:r>
        <w:t xml:space="preserve">  &lt;p class="headline"&gt;The franchise quality, evidenced moat and best-in-class AI underwriting justify a position; the thin ~11% margin of safety and a live, real credit-seasoning and margin-compression overhang justify starting small and scaling on the triggers rather than entering at normal size. This is the CHYM-precedent profile: a plausible remedy on a real tail risk warrants a starter, not a pass and not a full position.&lt;/p&gt;</w:t>
      </w:r>
    </w:p>
    <w:p>
      <w:r>
        <w:t>&lt;/div&gt;</w:t>
      </w:r>
    </w:p>
    <w:p>
      <w:r>
        <w:t>&lt;div class="scorecard"&gt;</w:t>
      </w:r>
    </w:p>
    <w:p>
      <w:r>
        <w:t xml:space="preserve">  &lt;div class="score-item"&gt;&lt;span class="score-value"&gt;131m&lt;/span&gt;&lt;span class="score-label"&gt;Customers&lt;/span&gt;&lt;/div&gt;</w:t>
      </w:r>
    </w:p>
    <w:p>
      <w:r>
        <w:t xml:space="preserve">  &lt;div class="score-item"&gt;&lt;span class="score-value"&gt;US$15.8bn&lt;/span&gt;&lt;span class="score-label"&gt;FY2025 revenue (+37%)&lt;/span&gt;&lt;/div&gt;</w:t>
      </w:r>
    </w:p>
    <w:p>
      <w:r>
        <w:t xml:space="preserve">  &lt;div class="score-item"&gt;&lt;span class="score-value"&gt;US$2.9bn&lt;/span&gt;&lt;span class="score-label"&gt;FY2025 net income (+45.6%)&lt;/span&gt;&lt;/div&gt;</w:t>
      </w:r>
    </w:p>
    <w:p>
      <w:r>
        <w:t xml:space="preserve">  &lt;div class="score-item"&gt;&lt;span class="score-value"&gt;33%&lt;/span&gt;&lt;span class="score-label"&gt;Return on equity (record)&lt;/span&gt;&lt;/div&gt;</w:t>
      </w:r>
    </w:p>
    <w:p>
      <w:r>
        <w:t xml:space="preserve">  &lt;div class="score-item"&gt;&lt;span class="score-value"&gt;17.6%&lt;/span&gt;&lt;span class="score-label"&gt;Efficiency ratio&lt;/span&gt;&lt;/div&gt;</w:t>
      </w:r>
    </w:p>
    <w:p>
      <w:r>
        <w:t xml:space="preserve">  &lt;div class="score-item"&gt;&lt;span class="score-value"&gt;125&lt;/span&gt;&lt;span class="score-label"&gt;Moat index&lt;/span&gt;&lt;/div&gt;</w:t>
      </w:r>
    </w:p>
    <w:p>
      <w:r>
        <w:t xml:space="preserve">  &lt;div class="score-item"&gt;&lt;span class="score-value"&gt;6.6%&lt;/span&gt;&lt;span class="score-label"&gt;90+ NPL&lt;/span&gt;&lt;/div&gt;</w:t>
      </w:r>
    </w:p>
    <w:p>
      <w:r>
        <w:t xml:space="preserve">  &lt;div class="score-item"&gt;&lt;span class="score-value"&gt;~11%&lt;/span&gt;&lt;span class="score-label"&gt;Margin of safety&lt;/span&gt;&lt;/div&gt;</w:t>
      </w:r>
    </w:p>
    <w:p>
      <w:r>
        <w:t>&lt;/div&gt;</w:t>
      </w:r>
    </w:p>
    <w:p>
      <w:r>
        <w:t>&lt;h2&gt;&amp;sect;1 &amp;mdash; Executive Summary&lt;/h2&gt;</w:t>
      </w:r>
    </w:p>
    <w:p>
      <w:r>
        <w:t>&lt;p&gt;Nu Holdings runs the world&amp;rsquo;s largest digital banking platform outside Asia. It serves 131 million customers across Brazil, Mexico and Colombia, built on a branchless, no-annual-fee model that attacked Brazil&amp;rsquo;s oligopolistic, high-fee banking market. In FY2025 it generated US$15.8bn of revenue, up 37%, and US$2.9bn of net income, up 45.6%, on a record 33% return on equity and a 17.6% efficiency ratio against 40&amp;ndash;55% for incumbents &lt;span class="tier"&gt;[T1 &amp;mdash; Primary Filings]&lt;/span&gt; &lt;span class="tier"&gt;[T1 &amp;mdash; AI Unit Economics]&lt;/span&gt;. In plain terms: this is a profitable, fast-growing bank that earns incumbent-beating returns at a fraction of incumbent cost.&lt;/p&gt;</w:t>
      </w:r>
    </w:p>
    <w:p>
      <w:r>
        <w:t>&lt;p&gt;The moat is evidenced rather than asserted. Competitor Analysis maps three of Hamilton Helmer&amp;rsquo;s powers &amp;mdash; Scale Economies, Switching Costs and Counter-Positioning &amp;mdash; and assigns a moat_index of 125, approaching the wide-moat threshold &lt;span class="tier"&gt;[T1 &amp;mdash; Competitor Analysis]&lt;/span&gt;. What makes the franchise architecturally different is its AI: nuFormer, Nu&amp;rsquo;s set of proprietary foundation models, prices and approves every personal-loan request individually on predictive net present value in under one second, in production for credit-card decisioning across Brazil and Mexico and unsecured lending in Brazil &lt;span class="tier"&gt;[T1 &amp;mdash; AI Unit Economics]&lt;/span&gt;. This is the strongest-disclosed AI in the emerging-market digital-bank comparison set.&lt;/p&gt;</w:t>
      </w:r>
    </w:p>
    <w:p>
      <w:r>
        <w:t>&lt;p&gt;The Gate 7 evidence confirms the thesis on quality. The FY2025 nuFormer deployment in Brazil coincided with the largest quarterly credit-card market-share gain in ten quarters; engineering throughput rose 50% year-on-year with roughly 100% employee AI-tool utilisation, and management attributes about one-third of the Q1 2026 efficiency beat to structural AI gains (&amp;sect;3, &amp;sect;6) &lt;span class="tier"&gt;[T1 &amp;mdash; AI Unit Economics]&lt;/span&gt; &lt;span class="tier"&gt;[T2 &amp;mdash; Earnings Transcripts]&lt;/span&gt;. The franchise sits in high-headroom geographies (Brazil Banks 118, Mexico Banks 128), and Brazil&amp;rsquo;s external buffers materially de-risk the convertibility scenario for a USD investor (&amp;sect;3) &lt;span class="tier"&gt;[inference &amp;mdash; country views, via Strategy]&lt;/span&gt;.&lt;/p&gt;</w:t>
      </w:r>
    </w:p>
    <w:p>
      <w:r>
        <w:t>&lt;div class="callout-bear"&gt;</w:t>
      </w:r>
    </w:p>
    <w:p>
      <w:r>
        <w:t xml:space="preserve">  &lt;span class="callout-title"&gt;The primary risk that must be managed (&amp;sect;9)&lt;/span&gt;</w:t>
      </w:r>
    </w:p>
    <w:p>
      <w:r>
        <w:t xml:space="preserve">  &lt;p&gt;The 90+ NPL at 6.6% sits on a credit book compounding 40%+; fast growth can suppress the denominator, and seasoning-adjusted vintage curves were not extractable this run &lt;span class="tier"&gt;[T2 &amp;mdash; Primary Filings #asset-quality]&lt;/span&gt;. Operating margin compressed ~760bps to 19.2% in Q1 2026, and three major houses downgraded in a five-day June 2026 cluster (BofA to Underperform / $10) on margin and credit-quality concerns &lt;span class="tier"&gt;[T2 &amp;mdash; Analyst Coverage #downgrade-cluster]&lt;/span&gt;. The CFO departs 13 July 2026 amid a wider C-suite rotation, and dual-class control (V&amp;eacute;lez ~76% of votes, no sunset) limits minority recourse &lt;span class="tier"&gt;[T2 &amp;mdash; Red Flags #rf-gov-003]&lt;/span&gt;.&lt;/p&gt;</w:t>
      </w:r>
    </w:p>
    <w:p>
      <w:r>
        <w:t>&lt;/div&gt;</w:t>
      </w:r>
    </w:p>
    <w:p>
      <w:r>
        <w:t>&lt;p&gt;On valuation, the constraint is price, not quality. At ~US$11.97 the stock sits inside the valuation agent&amp;rsquo;s US$11&amp;ndash;16 fair-value range (base ~US$13.5 on an FCFE / cost-of-equity DCF, WACC 15%), a ~11% margin of safety &lt;span class="tier"&gt;[T1 &amp;mdash; Valuation #fair-value]&lt;/span&gt;. Trailing P/E is ~20x and P/TBV ~5.1x &amp;mdash; full multiples, defensible at 33% ROE, ~14x forward per the sell-side (&amp;sect;7). A name at roughly fair value with a real near-term credit/margin overhang is a STARTER, not a NORMAL: the price does not pay you to absorb the bear. The recommendation is a ~US$50,000 starter, scaling on the credit-seasoning and CFO-transition triggers in &amp;sect;12.&lt;/p&gt;</w:t>
      </w:r>
    </w:p>
    <w:p>
      <w:r>
        <w:t>&lt;p class="indexing"&gt;Composite franchise quality indexes well above median; entry-price attractiveness indexes at ~98 (roughly fair).&lt;/p&gt;</w:t>
      </w:r>
    </w:p>
    <w:p>
      <w:r>
        <w:t>&lt;h2&gt;&amp;sect;2 &amp;mdash; Company Overview&lt;/h2&gt;</w:t>
      </w:r>
    </w:p>
    <w:p>
      <w:r>
        <w:t>&lt;p&gt;Nu Holdings Ltd is a Cayman-incorporated, S&amp;atilde;o Paulo&amp;ndash;headquartered digital bank, listed on the NYSE under NU. It was founded on 6 May 2013 by David V&amp;eacute;lez (Colombian, Stanford GSB, ex-Sequoia Capital partner), Cristina Junqueira (Brazilian, ex-Ita&amp;uacute; Unibanco) and Edward Wible (American, Princeton, ex-BCG) &lt;span class="tier"&gt;[T2 &amp;mdash; Company History]&lt;/span&gt;. V&amp;eacute;lez identified Brazil&amp;rsquo;s oligopolistic banking sector &amp;mdash; five banks controlling roughly 80% of deposits and levying among the world&amp;rsquo;s highest fees &amp;mdash; as the target problem. The first product was a no-annual-fee Mastercard credit card managed entirely through a mobile app, with no branch; the first card transaction was made on 1 April 2014 &lt;span class="tier"&gt;[T2 &amp;mdash; Company History]&lt;/span&gt;. The holding company Nu Holdings Ltd was incorporated as an exempted Cayman company on 26 February 2016 &lt;span class="tier"&gt;[T1 &amp;mdash; Company History, SEC F-1, CIK 1691493]&lt;/span&gt;.&lt;/p&gt;</w:t>
      </w:r>
    </w:p>
    <w:p>
      <w:r>
        <w:t>&lt;p&gt;Today Nu serves 131 million customers, with Brazil at 113 million (~62% of the adult population) and Colombia at 4 million &lt;span class="tier"&gt;[T2 &amp;mdash; Primary Filings #operating-metrics]&lt;/span&gt;. It now serves roughly 62% of Brazil&amp;rsquo;s adult population, with Mexico and Colombia as the expansion frontier. The chief executive is David V&amp;eacute;lez, founder-led since 2013; he also chairs the board and, following the May 2025 departure of COO Youssef Lahrech, absorbed the COO function directly &lt;span class="tier"&gt;[T2 &amp;mdash; People &amp;amp; Culture]&lt;/span&gt;.&lt;/p&gt;</w:t>
      </w:r>
    </w:p>
    <w:p>
      <w:r>
        <w:t>&lt;p&gt;The business model is a spread-driven consumer bank with a payments and engagement layer on top. Revenue is ~85% interest income and gains and ~15% fee and commission income &amp;mdash; a Brazilian-bank thesis with a Mexican option &lt;span class="tier"&gt;[T1 &amp;mdash; Primary Filings #headline-financials]&lt;/span&gt;. ARPAC (average revenue per active customer) is US$15, up 27% year-on-year; 60% of customers use Nu as their primary account; and there are four products per active customer &amp;mdash; the lock-in that underwrites the switching-cost moat &lt;span class="tier"&gt;[T1 &amp;mdash; Competitor Analysis]&lt;/span&gt; &lt;span class="tier"&gt;[T2 &amp;mdash; Primary Filings]&lt;/span&gt;. Cost-to-serve is roughly US$0.80 per active customer per month, structurally below incumbents &lt;span class="tier"&gt;[T1 &amp;mdash; AI Unit Economics]&lt;/span&gt;.&lt;/p&gt;</w:t>
      </w:r>
    </w:p>
    <w:p>
      <w:r>
        <w:t>&lt;table&gt;</w:t>
      </w:r>
    </w:p>
    <w:p>
      <w:r>
        <w:t xml:space="preserve">  &lt;thead&gt;&lt;tr&gt;&lt;th&gt;Key metric (FY2025 unless noted)&lt;/th&gt;&lt;th class="num"&gt;Value&lt;/th&gt;&lt;th&gt;Tier&lt;/th&gt;&lt;/tr&gt;&lt;/thead&gt;</w:t>
      </w:r>
    </w:p>
    <w:p>
      <w:r>
        <w:t xml:space="preserve">  &lt;tbody&gt;</w:t>
      </w:r>
    </w:p>
    <w:p>
      <w:r>
        <w:t xml:space="preserve">    &lt;tr&gt;&lt;td&gt;Total revenue (IFRS, consolidated)&lt;/td&gt;&lt;td class="num"&gt;US$15,774.7m (+37.0%)&lt;/td&gt;&lt;td&gt;&lt;span class="tier"&gt;[T1]&lt;/span&gt;&lt;/td&gt;&lt;/tr&gt;</w:t>
      </w:r>
    </w:p>
    <w:p>
      <w:r>
        <w:t xml:space="preserve">    &lt;tr&gt;&lt;td&gt;Net income&lt;/td&gt;&lt;td class="num"&gt;US$2,871.7m (+45.6%)&lt;/td&gt;&lt;td&gt;&lt;span class="tier"&gt;[T1]&lt;/span&gt;&lt;/td&gt;&lt;/tr&gt;</w:t>
      </w:r>
    </w:p>
    <w:p>
      <w:r>
        <w:t xml:space="preserve">    &lt;tr&gt;&lt;td&gt;Total equity&lt;/td&gt;&lt;td class="num"&gt;US$11,321.6m&lt;/td&gt;&lt;td&gt;&lt;span class="tier"&gt;[T1]&lt;/span&gt;&lt;/td&gt;&lt;/tr&gt;</w:t>
      </w:r>
    </w:p>
    <w:p>
      <w:r>
        <w:t xml:space="preserve">    &lt;tr class="highlight-row"&gt;&lt;td&gt;Return on equity&lt;/td&gt;&lt;td class="num"&gt;33% (record)&lt;/td&gt;&lt;td&gt;&lt;span class="tier"&gt;[T2]&lt;/span&gt;&lt;/td&gt;&lt;/tr&gt;</w:t>
      </w:r>
    </w:p>
    <w:p>
      <w:r>
        <w:t xml:space="preserve">    &lt;tr&gt;&lt;td&gt;Q4 efficiency ratio&lt;/td&gt;&lt;td class="num"&gt;19.9%&lt;/td&gt;&lt;td&gt;&lt;span class="tier"&gt;[T2]&lt;/span&gt;&lt;/td&gt;&lt;/tr&gt;</w:t>
      </w:r>
    </w:p>
    <w:p>
      <w:r>
        <w:t xml:space="preserve">    &lt;tr&gt;&lt;td&gt;Customers&lt;/td&gt;&lt;td class="num"&gt;131m (+17m net adds, +15% YoY)&lt;/td&gt;&lt;td&gt;&lt;span class="tier"&gt;[T2]&lt;/span&gt;&lt;/td&gt;&lt;/tr&gt;</w:t>
      </w:r>
    </w:p>
    <w:p>
      <w:r>
        <w:t xml:space="preserve">    &lt;tr&gt;&lt;td&gt;ARPAC (Q4)&lt;/td&gt;&lt;td class="num"&gt;US$15 (+27%)&lt;/td&gt;&lt;td&gt;&lt;span class="tier"&gt;[T2]&lt;/span&gt;&lt;/td&gt;&lt;/tr&gt;</w:t>
      </w:r>
    </w:p>
    <w:p>
      <w:r>
        <w:t xml:space="preserve">    &lt;tr&gt;&lt;td&gt;Deposits&lt;/td&gt;&lt;td class="num"&gt;US$41.9bn (+29%)&lt;/td&gt;&lt;td&gt;&lt;span class="tier"&gt;[T2]&lt;/span&gt;&lt;/td&gt;&lt;/tr&gt;</w:t>
      </w:r>
    </w:p>
    <w:p>
      <w:r>
        <w:t xml:space="preserve">    &lt;tr&gt;&lt;td&gt;Total credit portfolio&lt;/td&gt;&lt;td class="num"&gt;US$32.7bn (+40%)&lt;/td&gt;&lt;td&gt;&lt;span class="tier"&gt;[T2]&lt;/span&gt;&lt;/td&gt;&lt;/tr&gt;</w:t>
      </w:r>
    </w:p>
    <w:p>
      <w:r>
        <w:t xml:space="preserve">    &lt;tr&gt;&lt;td&gt;Monthly activity rate&lt;/td&gt;&lt;td class="num"&gt;83%&lt;/td&gt;&lt;td&gt;&lt;span class="tier"&gt;[T2]&lt;/span&gt;&lt;/td&gt;&lt;/tr&gt;</w:t>
      </w:r>
    </w:p>
    <w:p>
      <w:r>
        <w:t xml:space="preserve">  &lt;/tbody&gt;</w:t>
      </w:r>
    </w:p>
    <w:p>
      <w:r>
        <w:t>&lt;/table&gt;</w:t>
      </w:r>
    </w:p>
    <w:p>
      <w:r>
        <w:t>&lt;p class="indexing"&gt;Scale and profitability index well above the EM digital-bank median; the franchise is the reference name in its archetype.&lt;/p&gt;</w:t>
      </w:r>
    </w:p>
    <w:p>
      <w:r>
        <w:t>&lt;h2&gt;&amp;sect;3 &amp;mdash; Market Opportunity&lt;/h2&gt;</w:t>
      </w:r>
    </w:p>
    <w:p>
      <w:r>
        <w:t>&lt;p&gt;Nu&amp;rsquo;s opportunity is the conversion of Brazil&amp;rsquo;s &amp;mdash; and increasingly Mexico&amp;rsquo;s and Colombia&amp;rsquo;s &amp;mdash; high-fee, branch-heavy incumbent banking into low-cost digital banking, capturing both the deposit base and the consumer-credit spread. In Brazil it already serves ~62% of the adult population, and management frames Brazil itself as still &amp;ldquo;day 1,&amp;rdquo; citing ~7% penetration of the addressable profit pool &lt;span class="tier"&gt;[T2 &amp;mdash; Earnings Transcripts]&lt;/span&gt;. The secular tailwind is the structural decline of informal credit and unbanked cash behaviour as financial inclusion rises &lt;span class="tier"&gt;[T2 &amp;mdash; Competitor Analysis]&lt;/span&gt;.&lt;/p&gt;</w:t>
      </w:r>
    </w:p>
    <w:p>
      <w:r>
        <w:t>&lt;p&gt;The country overlay is favourable. Brazil &amp;times; Banks headroom is 118 (country risk 98) and Mexico &amp;times; Banks headroom is 128 (risk 94) &lt;span class="tier"&gt;[inference &amp;mdash; country views, via Strategy]&lt;/span&gt;. Brazil&amp;rsquo;s external buffers &amp;mdash; roughly US$360bn of reserves, ~13.8 months of import cover, a free-floating currency and low FX-denominated public debt &amp;mdash; materially de-risk the convertibility scenario for a USD investor, the key defence for the emerging-market concentration (Brazil is ~91% of segment revenue) &lt;span class="tier"&gt;[inference &amp;mdash; country views / Primary Filings, via Strategy]&lt;/span&gt;.&lt;/p&gt;</w:t>
      </w:r>
    </w:p>
    <w:p>
      <w:r>
        <w:t>&lt;p&gt;The penetration thesis rests on cost and lock-in: a digital-first, agent-free model against an 85%+ smartphone-penetration backdrop, with the highest-rated banking app in Brazil&amp;rsquo;s app stores, and a multi-jurisdiction licensing stack (Brazil BACEN payment institution / CFI / brokerage with a banking-licence application filed 2025; Mexico CNBV conditional approval April 2025; Colombia SFC-licensed 2024) that constitutes a 3&amp;ndash;5-year replication barrier &lt;span class="tier"&gt;[T2 &amp;mdash; Competitor Analysis]&lt;/span&gt;. The Mexican build-out, which reached its first quarter of IFRS profitability ahead of internal plan, is the diversifying option on top of the Brazilian core &lt;span class="tier"&gt;[T2 &amp;mdash; Earnings Transcripts]&lt;/span&gt;.&lt;/p&gt;</w:t>
      </w:r>
    </w:p>
    <w:p>
      <w:r>
        <w:t>&lt;p class="indexing"&gt;Geography-industry headroom indexes at 118 (Brazil) and 128 (Mexico) against a 100 median.&lt;/p&gt;</w:t>
      </w:r>
    </w:p>
    <w:p>
      <w:r>
        <w:t>&lt;h2&gt;&amp;sect;4 &amp;mdash; Competitive Landscape&lt;/h2&gt;</w:t>
      </w:r>
    </w:p>
    <w:p>
      <w:r>
        <w:t>&lt;p&gt;Nu competes in the digital-bank / neobank segment with 131 million customers by end-2025 &lt;span class="tier"&gt;[T1 &amp;mdash; Competitor Analysis]&lt;/span&gt;. The operating peer set spans zero-fee digital banks, payments players and incumbent responses.&lt;/p&gt;</w:t>
      </w:r>
    </w:p>
    <w:p>
      <w:r>
        <w:t>&lt;table&gt;</w:t>
      </w:r>
    </w:p>
    <w:p>
      <w:r>
        <w:t xml:space="preserve">  &lt;thead&gt;&lt;tr&gt;&lt;th&gt;Competitor&lt;/th&gt;&lt;th&gt;Type&lt;/th&gt;&lt;th&gt;Strength&lt;/th&gt;&lt;th&gt;Weakness / note&lt;/th&gt;&lt;th&gt;Threat&lt;/th&gt;&lt;/tr&gt;&lt;/thead&gt;</w:t>
      </w:r>
    </w:p>
    <w:p>
      <w:r>
        <w:t xml:space="preserve">  &lt;tbody&gt;</w:t>
      </w:r>
    </w:p>
    <w:p>
      <w:r>
        <w:t xml:space="preserve">    &lt;tr&gt;&lt;td&gt;Banco Inter (~35m customers)&lt;/td&gt;&lt;td&gt;ai-native / digital bank&lt;/td&gt;&lt;td&gt;Comparable zero-fee digital banking&lt;/td&gt;&lt;td&gt;~1/3 of Nu&amp;rsquo;s customer base&lt;/td&gt;&lt;td&gt;MED&lt;/td&gt;&lt;/tr&gt;</w:t>
      </w:r>
    </w:p>
    <w:p>
      <w:r>
        <w:t xml:space="preserve">    &lt;tr&gt;&lt;td&gt;PicPay (65m+ registered, ~42m active)&lt;/td&gt;&lt;td&gt;payments platform&lt;/td&gt;&lt;td&gt;Leads P2P payments&lt;/td&gt;&lt;td&gt;Thinner lending stack&lt;/td&gt;&lt;td&gt;MED&lt;/td&gt;&lt;/tr&gt;</w:t>
      </w:r>
    </w:p>
    <w:p>
      <w:r>
        <w:t xml:space="preserve">    &lt;tr class="highlight-row"&gt;&lt;td&gt;Mercado Pago (72m MAU global)&lt;/td&gt;&lt;td&gt;platform&lt;/td&gt;&lt;td&gt;MELI e-commerce data flywheel&lt;/td&gt;&lt;td&gt;Most credible lending-margin threat&lt;/td&gt;&lt;td&gt;HIGH&lt;/td&gt;&lt;/tr&gt;</w:t>
      </w:r>
    </w:p>
    <w:p>
      <w:r>
        <w:t xml:space="preserve">    &lt;tr&gt;&lt;td&gt;PagBank&lt;/td&gt;&lt;td&gt;incumbent / payments&lt;/td&gt;&lt;td&gt;Merchant-acquiring base&lt;/td&gt;&lt;td&gt;Consumer-banking gap&lt;/td&gt;&lt;td&gt;MED&lt;/td&gt;&lt;/tr&gt;</w:t>
      </w:r>
    </w:p>
    <w:p>
      <w:r>
        <w:t xml:space="preserve">    &lt;tr&gt;&lt;td&gt;C6 Bank&lt;/td&gt;&lt;td&gt;digital bank&lt;/td&gt;&lt;td&gt;Full-service digital offering&lt;/td&gt;&lt;td&gt;Sub-scale vs Nu&lt;/td&gt;&lt;td&gt;LOW&lt;/td&gt;&lt;/tr&gt;</w:t>
      </w:r>
    </w:p>
    <w:p>
      <w:r>
        <w:t xml:space="preserve">    &lt;tr&gt;&lt;td&gt;Ita&amp;uacute;&amp;rsquo;s iti (15m+ post-Superapp)&lt;/td&gt;&lt;td&gt;incumbent response&lt;/td&gt;&lt;td&gt;Most credible incumbent response&lt;/td&gt;&lt;td&gt;Cannibalisation dilemma limits price-match&lt;/td&gt;&lt;td&gt;MED&lt;/td&gt;&lt;/tr&gt;</w:t>
      </w:r>
    </w:p>
    <w:p>
      <w:r>
        <w:t xml:space="preserve">    &lt;tr&gt;&lt;td&gt;Revolut Brazil&lt;/td&gt;&lt;td&gt;ai-native&lt;/td&gt;&lt;td&gt;Global digital-bank brand&lt;/td&gt;&lt;td&gt;Early in Brazil&lt;/td&gt;&lt;td&gt;LOW&lt;/td&gt;&lt;/tr&gt;</w:t>
      </w:r>
    </w:p>
    <w:p>
      <w:r>
        <w:t xml:space="preserve">  &lt;/tbody&gt;</w:t>
      </w:r>
    </w:p>
    <w:p>
      <w:r>
        <w:t>&lt;/table&gt;</w:t>
      </w:r>
    </w:p>
    <w:p>
      <w:r>
        <w:t>&lt;p&gt;The moat mechanisms are named, not generic. &lt;strong&gt;Scale Economies:&lt;/strong&gt; Nu&amp;rsquo;s cost-to-serve (~US$0.80/active/month) and efficiency ratio &amp;mdash; 29.9% in Q4 2024 improving to 17.6% by Q1 2026, against 40&amp;ndash;55% for incumbents &amp;mdash; are structurally below incumbents &lt;span class="tier"&gt;[T1 &amp;mdash; Competitor Analysis]&lt;/span&gt;. &lt;strong&gt;Switching Costs:&lt;/strong&gt; 60% primary-account penetration and four products per active customer raise churn friction &lt;span class="tier"&gt;[T1 &amp;mdash; Competitor Analysis]&lt;/span&gt;. &lt;strong&gt;Counter-Positioning:&lt;/strong&gt; incumbents face a structural cannibalisation dilemma that prevents full price-matching (Ita&amp;uacute;&amp;rsquo;s iti maintains product differentiation precisely to avoid full cannibalisation). Mauboussin weighted_score is 6 and the moat_index is 125 &amp;mdash; approaching the wide-moat threshold &lt;span class="tier"&gt;[T1 &amp;mdash; Competitor Analysis]&lt;/span&gt;.&lt;/p&gt;</w:t>
      </w:r>
    </w:p>
    <w:p>
      <w:r>
        <w:t>&lt;div class="callout callout-amber"&gt;</w:t>
      </w:r>
    </w:p>
    <w:p>
      <w:r>
        <w:t xml:space="preserve">  &lt;span class="callout-title"&gt;Two live offsets&lt;/span&gt;</w:t>
      </w:r>
    </w:p>
    <w:p>
      <w:r>
        <w:t xml:space="preserve">  &lt;p&gt;PIX (the BACEN instant-payment rail) is a structural aggregator of the payments rail; Nu&amp;rsquo;s 60% primary-account penetration creates pull-through usage that super-apps cannot easily replicate. The most credible threat is Mercado Pago: if MELI builds a full digital-banking stack and its e-commerce transaction data produces a lower credit-loss rate than Nu&amp;rsquo;s behavioural banking data, it would attack lending margin &lt;span class="tier"&gt;[T1 &amp;mdash; Competitor Analysis]&lt;/span&gt;.&lt;/p&gt;</w:t>
      </w:r>
    </w:p>
    <w:p>
      <w:r>
        <w:t>&lt;/div&gt;</w:t>
      </w:r>
    </w:p>
    <w:p>
      <w:r>
        <w:t>&lt;p&gt;&lt;strong&gt;Competitive verdict: STRONG (moat_index 125), with Mercado Pago&amp;rsquo;s e-commerce data flywheel as the standing offset.&lt;/strong&gt; Moat durability is supported by the multi-jurisdiction licensing stack (3&amp;ndash;5-year replication barrier) and the operational irreplicability of Nu&amp;rsquo;s cost structure at incumbent economics.&lt;/p&gt;</w:t>
      </w:r>
    </w:p>
    <w:p>
      <w:r>
        <w:t>&lt;p class="indexing"&gt;Moat index 125 vs 100 median &amp;mdash; approaching wide-moat.&lt;/p&gt;</w:t>
      </w:r>
    </w:p>
    <w:p>
      <w:r>
        <w:t>&lt;h2&gt;&amp;sect;5 &amp;mdash; Management Team&lt;/h2&gt;</w:t>
      </w:r>
    </w:p>
    <w:p>
      <w:r>
        <w:t>&lt;p&gt;Nu is run by a founding trio with Silicon Valley VC discipline grafted onto deep LatAm banking depth &amp;mdash; the most distinctive characteristic of the bench &lt;span class="tier"&gt;[T2 &amp;mdash; People &amp;amp; Culture]&lt;/span&gt;. &lt;strong&gt;CEO David V&amp;eacute;lez&lt;/strong&gt; (founder, also Chairman) is a Stanford-educated former Sequoia Capital partner who founded the company in 2013; his AI orientation is architectural, with nuFormer integrated into the credit-decisioning core. &lt;strong&gt;Cristina Junqueira&lt;/strong&gt; is Chief Growth Officer and US CEO, bringing consumer-credit and product depth from Ita&amp;uacute; Unibanco.&lt;/p&gt;</w:t>
      </w:r>
    </w:p>
    <w:p>
      <w:r>
        <w:t>&lt;div class="callout callout-green"&gt;</w:t>
      </w:r>
    </w:p>
    <w:p>
      <w:r>
        <w:t xml:space="preserve">  &lt;span class="callout-title"&gt;Founder courage episode&lt;/span&gt;</w:t>
      </w:r>
    </w:p>
    <w:p>
      <w:r>
        <w:t xml:space="preserve">  &lt;p&gt;In November 2022, V&amp;eacute;lez unilaterally terminated his 2021 Contingent Share Award &amp;mdash; a US$423m fair-value grant &amp;mdash; generating US$356m in shareholder savings and forgoing future dilution. The decision was public, costly to himself, and taken proactively rather than under pressure: a well-evidenced courage episode under the doctrine&amp;rsquo;s ethical-sacrifice marker &lt;span class="tier"&gt;[T2 &amp;mdash; People &amp;amp; Culture #courage-episode]&lt;/span&gt;.&lt;/p&gt;</w:t>
      </w:r>
    </w:p>
    <w:p>
      <w:r>
        <w:t>&lt;/div&gt;</w:t>
      </w:r>
    </w:p>
    <w:p>
      <w:r>
        <w:t>&lt;table&gt;</w:t>
      </w:r>
    </w:p>
    <w:p>
      <w:r>
        <w:t xml:space="preserve">  &lt;thead&gt;&lt;tr&gt;&lt;th&gt;Role&lt;/th&gt;&lt;th&gt;Name / status&lt;/th&gt;&lt;th&gt;Note&lt;/th&gt;&lt;/tr&gt;&lt;/thead&gt;</w:t>
      </w:r>
    </w:p>
    <w:p>
      <w:r>
        <w:t xml:space="preserve">  &lt;tbody&gt;</w:t>
      </w:r>
    </w:p>
    <w:p>
      <w:r>
        <w:t xml:space="preserve">    &lt;tr&gt;&lt;td&gt;CEO &amp;amp; Chairman&lt;/td&gt;&lt;td&gt;David V&amp;eacute;lez (founder)&lt;/td&gt;&lt;td&gt;Absorbed COO duties after May 2025 Lahrech departure&lt;/td&gt;&lt;/tr&gt;</w:t>
      </w:r>
    </w:p>
    <w:p>
      <w:r>
        <w:t xml:space="preserve">    &lt;tr&gt;&lt;td&gt;Chief Growth Officer / US CEO&lt;/td&gt;&lt;td&gt;Cristina Junqueira (founder)&lt;/td&gt;&lt;td&gt;Ex-Ita&amp;uacute; consumer-credit depth&lt;/td&gt;&lt;/tr&gt;</w:t>
      </w:r>
    </w:p>
    <w:p>
      <w:r>
        <w:t xml:space="preserve">    &lt;tr&gt;&lt;td&gt;CFO&lt;/td&gt;&lt;td&gt;Guilherme Lago &amp;rarr; Rob Livingston&lt;/td&gt;&lt;td&gt;Lago to Special Advisor; handover effective 13 July 2026&lt;/td&gt;&lt;/tr&gt;</w:t>
      </w:r>
    </w:p>
    <w:p>
      <w:r>
        <w:t xml:space="preserve">    &lt;tr&gt;&lt;td&gt;CTO&lt;/td&gt;&lt;td&gt;Eric Young (ex-Google, Snap)&lt;/td&gt;&lt;td&gt;Joined August 2025&lt;/td&gt;&lt;/tr&gt;</w:t>
      </w:r>
    </w:p>
    <w:p>
      <w:r>
        <w:t xml:space="preserve">    &lt;tr&gt;&lt;td&gt;CPO&lt;/td&gt;&lt;td&gt;Carl Rivera (ex-Shopify)&lt;/td&gt;&lt;td&gt;Joined May 2026&lt;/td&gt;&lt;/tr&gt;</w:t>
      </w:r>
    </w:p>
    <w:p>
      <w:r>
        <w:t xml:space="preserve">    &lt;tr class="highlight-row"&gt;&lt;td&gt;COO&lt;/td&gt;&lt;td&gt;Vacant &amp;mdash; absorbed by V&amp;eacute;lez&lt;/td&gt;&lt;td&gt;Concentration-of-control watch item&lt;/td&gt;&lt;/tr&gt;</w:t>
      </w:r>
    </w:p>
    <w:p>
      <w:r>
        <w:t xml:space="preserve">  &lt;/tbody&gt;</w:t>
      </w:r>
    </w:p>
    <w:p>
      <w:r>
        <w:t>&lt;/table&gt;</w:t>
      </w:r>
    </w:p>
    <w:p>
      <w:r>
        <w:t>&lt;p&gt;The board is genuinely independent-majority (7 of 9 directors independent), with operators from PayPal, Uber and VMware and the former Inter-American Development Bank president; the appointment of Roberto Campos Neto (former Central Bank of Brazil president) as Vice-Chairman adds regulatory legitimacy rare among digital-bank peers &lt;span class="tier"&gt;[T2 &amp;mdash; People &amp;amp; Culture]&lt;/span&gt;. Glassdoor shows 436 reviews at 4.4/5.0 overall and 88% recommend-to-friend, with positive culture sub-ratings; cons cite increasing bureaucracy and diversity-delivery gaps, consistent with hypergrowth &lt;span class="tier"&gt;[T2 &amp;mdash; People &amp;amp; Culture]&lt;/span&gt;.&lt;/p&gt;</w:t>
      </w:r>
    </w:p>
    <w:p>
      <w:r>
        <w:t>&lt;div class="callout callout-amber"&gt;</w:t>
      </w:r>
    </w:p>
    <w:p>
      <w:r>
        <w:t xml:space="preserve">  &lt;span class="callout-title"&gt;Bench-stability watch item&lt;/span&gt;</w:t>
      </w:r>
    </w:p>
    <w:p>
      <w:r>
        <w:t xml:space="preserve">  &lt;p&gt;The team is in active rotation: COO out (duties absorbed by V&amp;eacute;lez), new CTO and CPO onboarding, and CFO Lago handing to Rob Livingston, with average management tenure cited in one source as approximately 1.4 years &amp;mdash; low, and warranting IC discussion &lt;span class="tier"&gt;[T2 &amp;mdash; People &amp;amp; Culture #bench]&lt;/span&gt;. Berkshire Hathaway, which invested US$1bn pre-IPO, fully exited by mid-2025 &amp;mdash; a secondary signal of investor-confidence change &lt;span class="tier"&gt;[T2 &amp;mdash; Investor Sentiment]&lt;/span&gt;.&lt;/p&gt;</w:t>
      </w:r>
    </w:p>
    <w:p>
      <w:r>
        <w:t>&lt;/div&gt;</w:t>
      </w:r>
    </w:p>
    <w:p>
      <w:r>
        <w:t>&lt;p&gt;&lt;strong&gt;People verdict:&lt;/strong&gt; bench quality sits above peer median on individual executive pedigree and capital-raising network, around median on culture, with a meaningful watch flag on bench stability given the 2025&amp;ndash;26 turnover cluster; governance is below peer median due to dual-class concentration. Key-person risk is MEDIUM&amp;ndash;HIGH (V&amp;eacute;lez concentration); execution capability is HIGH on track record.&lt;/p&gt;</w:t>
      </w:r>
    </w:p>
    <w:p>
      <w:r>
        <w:t>&lt;p class="indexing"&gt;Executive pedigree indexes above median; bench stability and governance index below median.&lt;/p&gt;</w:t>
      </w:r>
    </w:p>
    <w:p>
      <w:r>
        <w:t>&lt;h2&gt;&amp;sect;6 &amp;mdash; Financial Summary&lt;/h2&gt;</w:t>
      </w:r>
    </w:p>
    <w:p>
      <w:r>
        <w:t>&lt;p&gt;Nu files as a foreign private issuer, so the statutory surface is the FY2025 Form 20-F (SEC EDGAR CIK 0001691493) plus the FY2025 results 6-K carrying the audited consolidated income statement, balance sheet and equity &lt;span class="tier"&gt;[T1 &amp;mdash; Primary Filings]&lt;/span&gt;. Total IFRS revenue was US$15,774.7m (FY2024 US$11,517.1m, +37.0%), of which interest income and gains were US$13,434.7m and fee and commission income US$2,340.1m &amp;mdash; ~85% spread-driven, ~15% fee-driven &lt;span class="tier"&gt;[T1 &amp;mdash; Primary Filings #headline-financials]&lt;/span&gt;. Net income was US$2,871.7m (FY2024 US$1,972.1m, +45.6%); gross profit US$6.6bn; total equity US$11,321.6m (attributable US$11,290.9m).&lt;/p&gt;</w:t>
      </w:r>
    </w:p>
    <w:p>
      <w:r>
        <w:t>&lt;div class="callout callout-blue"&gt;</w:t>
      </w:r>
    </w:p>
    <w:p>
      <w:r>
        <w:t xml:space="preserve">  &lt;span class="callout-title"&gt;Two revenue figures &amp;mdash; anchor on the IFRS number&lt;/span&gt;</w:t>
      </w:r>
    </w:p>
    <w:p>
      <w:r>
        <w:t xml:space="preserve">  &lt;p&gt;The company&amp;rsquo;s US$16.3bn / +45% headline is an FX-neutral managerial revenue measure, distinct from the US$15.77bn IFRS figure; both are real, on different bases. The IC should anchor on the IFRS US$15.77bn. Separately, segment-note revenue (Brazil US$11,038.3m, Mexico US$808.1m, Other US$237.3m; &amp;Sigma; = US$12,083.7m) does not tie to consolidated revenue (US$15,774.7m); the gap is the standard segment-vs-consolidated reconciliation (treasury/holdco and inter-segment items) and is flagged as an invariant to confirm against the audited reconciliation table &lt;span class="tier"&gt;[T1 &amp;mdash; Primary Filings #segment-financials]&lt;/span&gt;.&lt;/p&gt;</w:t>
      </w:r>
    </w:p>
    <w:p>
      <w:r>
        <w:t>&lt;/div&gt;</w:t>
      </w:r>
    </w:p>
    <w:p>
      <w:r>
        <w:t>&lt;table&gt;</w:t>
      </w:r>
    </w:p>
    <w:p>
      <w:r>
        <w:t xml:space="preserve">  &lt;thead&gt;&lt;tr&gt;&lt;th&gt;Income statement (FY2025, IFRS)&lt;/th&gt;&lt;th class="num"&gt;FY2024&lt;/th&gt;&lt;th class="num"&gt;FY2025&lt;/th&gt;&lt;th class="num"&gt;YoY&lt;/th&gt;&lt;/tr&gt;&lt;/thead&gt;</w:t>
      </w:r>
    </w:p>
    <w:p>
      <w:r>
        <w:t xml:space="preserve">  &lt;tbody&gt;</w:t>
      </w:r>
    </w:p>
    <w:p>
      <w:r>
        <w:t xml:space="preserve">    &lt;tr&gt;&lt;td&gt;Total revenue&lt;/td&gt;&lt;td class="num"&gt;US$11,517.1m&lt;/td&gt;&lt;td class="num"&gt;US$15,774.7m&lt;/td&gt;&lt;td class="num"&gt;+37.0%&lt;/td&gt;&lt;/tr&gt;</w:t>
      </w:r>
    </w:p>
    <w:p>
      <w:r>
        <w:t xml:space="preserve">    &lt;tr class="highlight-row"&gt;&lt;td&gt;Net income&lt;/td&gt;&lt;td class="num"&gt;US$1,972.1m&lt;/td&gt;&lt;td class="num"&gt;US$2,871.7m&lt;/td&gt;&lt;td class="num"&gt;+45.6%&lt;/td&gt;&lt;/tr&gt;</w:t>
      </w:r>
    </w:p>
    <w:p>
      <w:r>
        <w:t xml:space="preserve">  &lt;/tbody&gt;</w:t>
      </w:r>
    </w:p>
    <w:p>
      <w:r>
        <w:t>&lt;/table&gt;</w:t>
      </w:r>
    </w:p>
    <w:p>
      <w:r>
        <w:t>&lt;h3&gt;&amp;sect;6.1 &amp;mdash; Operating and asset-quality metrics&lt;/h3&gt;</w:t>
      </w:r>
    </w:p>
    <w:p>
      <w:r>
        <w:t>&lt;p&gt;Operating metrics for the period: 131m customers (Brazil 113m, Colombia 4m); 83% monthly activity; ARPAC US$15 (+27%); deposits US$41.9bn (+29%); total credit portfolio US$32.7bn (+40%); interest-earning portfolio US$18.5bn (+47%); ROE 33% (record); Q4 efficiency ratio 19.9%; Q4 risk-adjusted NIM 10.5% &lt;span class="tier"&gt;[T2 &amp;mdash; Primary Filings #operating-metrics]&lt;/span&gt;. On asset quality, the 15&amp;ndash;90 NPL was 4.1% and the 90+ NPL 6.6% at Q4&amp;rsquo;25, provisioned under IFRS 9 three-stage staging &lt;span class="tier"&gt;[T2 &amp;mdash; Primary Filings #asset-quality]&lt;/span&gt; &lt;span class="tier"&gt;[T1 &amp;mdash; Primary Filings]&lt;/span&gt;. The 90+ NPL at 6.6% on a portfolio compounding 40%+ is the single most IC-relevant number to watch &amp;mdash; fast book growth can suppress reported delinquency ratios (denominator effect); seasoning-adjusted vintage curves are a diligence item.&lt;/p&gt;</w:t>
      </w:r>
    </w:p>
    <w:p>
      <w:r>
        <w:t>&lt;h3&gt;&amp;sect;6.2 &amp;mdash; AI unit economics (nuFormer)&lt;/h3&gt;</w:t>
      </w:r>
    </w:p>
    <w:p>
      <w:r>
        <w:t>&lt;p&gt;Nu is one of the few EM digital banks where AI is mapped to a specific, falsifiable local metric &amp;mdash; real-time per-loan NPV underwriting and engineering productivity &amp;mdash; rather than narrative. The AI Unit Economics agent grades the thesis REAL (partial), PRIORITY, grade B, and confirms it passes the Tool-User gate &lt;span class="tier"&gt;[T1 &amp;mdash; AI Unit Economics]&lt;/span&gt;. nuFormer is in production for credit-card decisioning in Brazil and Mexico and unsecured lending in Brazil, with sub-one-second per-loan NPV pricing; its FY2025 Brazil deployment coincided with the largest quarterly credit-card share gain in ten quarters. Engineering throughput is +50% YoY with ~100% employee AI-tool utilisation, and management attributes roughly one-third of the Q1 2026 efficiency beat to structural AI gains &lt;span class="tier"&gt;[T1 &amp;mdash; AI Unit Economics]&lt;/span&gt; &lt;span class="tier"&gt;[T2 &amp;mdash; Earnings Transcripts]&lt;/span&gt;. Two disciplines hold the grade at B: the headline &amp;ldquo;3x performance uplift over traditional ML&amp;rdquo; is uncohorted, and AI &amp;ldquo;resilience&amp;rdquo; is confounded by deliberate risk-on (15&amp;ndash;90d NPL +89bps QoQ to 5.0%, CLA +33% QoQ). The diligence ask is a cohort table isolating the AI-lift bridge.&lt;/p&gt;</w:t>
      </w:r>
    </w:p>
    <w:p>
      <w:r>
        <w:t>&lt;h3&gt;&amp;sect;6.3 &amp;mdash; Capital structure&lt;/h3&gt;</w:t>
      </w:r>
    </w:p>
    <w:p>
      <w:r>
        <w:t>&lt;p&gt;Fully-diluted shares are ~4.86bn (Class A ~3.83bn / Class B ~1.02bn, Class B super-voting), against a market cap of ~US$58.2bn &lt;span class="tier"&gt;[T2 &amp;mdash; Valuation #trading-multiples]&lt;/span&gt; &lt;span class="tier"&gt;[T1 &amp;mdash; Primary Filings #risk-factors]&lt;/span&gt;. Capital commentary centres on buffer-building: US$8.9bn total capital and US$3bn unrestricted cash at holding level disclosed in Q4 2025; no dividends or buybacks initiated in the four-quarter window &lt;span class="tier"&gt;[T2 &amp;mdash; Earnings Transcripts #capital-allocation]&lt;/span&gt;. KPMG Auditores Independentes issued an unqualified FY2025 opinion; statements are prepared on a going-concern basis &lt;span class="tier"&gt;[T1 &amp;mdash; Primary Filings]&lt;/span&gt; &lt;span class="tier"&gt;[inference &amp;mdash; Red Flags]&lt;/span&gt;.&lt;/p&gt;</w:t>
      </w:r>
    </w:p>
    <w:p>
      <w:r>
        <w:t>&lt;h3&gt;&amp;sect;6.4 &amp;mdash; Capital Structure Stress Test&lt;/h3&gt;</w:t>
      </w:r>
    </w:p>
    <w:p>
      <w:r>
        <w:t>&lt;p&gt;&lt;strong&gt;Stress 1 (operational shock &amp;mdash; credit-cost):&lt;/strong&gt; the relevant analogue for a bank is not DSO but the loan-loss provision walk. If the 90+ NPL seasons adversely on the 40%-growing book and the denominator effect unwinds, the binding constraint is ECL adequacy and risk-adjusted NIM, which fell from a Q4&amp;rsquo;25 ~10.5% level into the seasoning window &lt;span class="tier"&gt;[T2 &amp;mdash; Primary Filings #asset-quality]&lt;/span&gt; &lt;span class="tier"&gt;[T1 &amp;mdash; AI Unit Economics]&lt;/span&gt;. The buffer is US$8.9bn total capital and US$3bn unrestricted holding-company cash &lt;span class="tier"&gt;[T2 &amp;mdash; Earnings Transcripts]&lt;/span&gt;; no going-concern qualification and an unqualified KPMG opinion are the offsetting clean signals.&lt;/p&gt;</w:t>
      </w:r>
    </w:p>
    <w:p>
      <w:r>
        <w:t>&lt;p&gt;&lt;strong&gt;Stress 2 (financing / FX shock):&lt;/strong&gt; the standing concern for a USD investor is Brazilian FX convertibility, given Brazil is ~91% of segment revenue. The defence is Brazil&amp;rsquo;s external buffers (~US$360bn reserves, ~13.8 months import cover, free-floating currency, low FX-denominated public debt), which materially de-risk the convertibility scenario &lt;span class="tier"&gt;[inference &amp;mdash; country views / Primary Filings, via Strategy]&lt;/span&gt;. Five computational accounting flags (Beneish, Sloan accruals, DSO, Dechow, Piotroski) returned insufficient_data because audited line-items were not extracted within this run&amp;rsquo;s budget; for a final IC report these &amp;mdash; especially the loan-loss-reserve walk &amp;mdash; should be computed from the 20-F before sign-off &lt;span class="tier"&gt;[inference &amp;mdash; Red Flags]&lt;/span&gt;.&lt;/p&gt;</w:t>
      </w:r>
    </w:p>
    <w:p>
      <w:r>
        <w:t>&lt;p class="indexing"&gt;Profitability and capital buffers index above median; asset-quality seasoning is the open question that swings the financial picture.&lt;/p&gt;</w:t>
      </w:r>
    </w:p>
    <w:p>
      <w:r>
        <w:t>&lt;h2&gt;&amp;sect;7 &amp;mdash; Valuation &amp;amp; Entry Price&lt;/h2&gt;</w:t>
      </w:r>
    </w:p>
    <w:p>
      <w:r>
        <w:t>&lt;p&gt;On a fully-diluted basis (~4.86bn shares, ~US$58.2bn market cap at ~US$11.97), the current multiples are full but defensible at 33% ROE &lt;span class="tier"&gt;[T2 &amp;mdash; Valuation #trading-multiples]&lt;/span&gt; &lt;span class="tier"&gt;[T1 &amp;mdash; Primary Filings #headline-financials]&lt;/span&gt;.&lt;/p&gt;</w:t>
      </w:r>
    </w:p>
    <w:p>
      <w:r>
        <w:t>&lt;table&gt;</w:t>
      </w:r>
    </w:p>
    <w:p>
      <w:r>
        <w:t xml:space="preserve">  &lt;thead&gt;&lt;tr&gt;&lt;th&gt;Method&lt;/th&gt;&lt;th&gt;Read&lt;/th&gt;&lt;th&gt;Verdict&lt;/th&gt;&lt;/tr&gt;&lt;/thead&gt;</w:t>
      </w:r>
    </w:p>
    <w:p>
      <w:r>
        <w:t xml:space="preserve">  &lt;tbody&gt;</w:t>
      </w:r>
    </w:p>
    <w:p>
      <w:r>
        <w:t xml:space="preserve">    &lt;tr&gt;&lt;td&gt;P/TBV&lt;/td&gt;&lt;td class="num"&gt;~5.1x at 33% ROE&lt;/td&gt;&lt;td&gt;Fair&lt;/td&gt;&lt;/tr&gt;</w:t>
      </w:r>
    </w:p>
    <w:p>
      <w:r>
        <w:t xml:space="preserve">    &lt;tr&gt;&lt;td&gt;P/E&lt;/td&gt;&lt;td class="num"&gt;~20x trailing / ~14x forward&lt;/td&gt;&lt;td&gt;Fair&lt;/td&gt;&lt;/tr&gt;</w:t>
      </w:r>
    </w:p>
    <w:p>
      <w:r>
        <w:t xml:space="preserve">    &lt;tr class="highlight-row"&gt;&lt;td&gt;FCFE DCF (WACC 15%)&lt;/td&gt;&lt;td class="num"&gt;US$11&amp;ndash;16, base ~US$13.5&lt;/td&gt;&lt;td&gt;Fair&lt;/td&gt;&lt;/tr&gt;</w:t>
      </w:r>
    </w:p>
    <w:p>
      <w:r>
        <w:t xml:space="preserve">  &lt;/tbody&gt;</w:t>
      </w:r>
    </w:p>
    <w:p>
      <w:r>
        <w:t>&lt;/table&gt;</w:t>
      </w:r>
    </w:p>
    <w:p>
      <w:r>
        <w:t>&lt;p&gt;The valuation agent&amp;rsquo;s FCFE / cost-of-equity DCF (WACC 15%) returns a fair-value range of US$11&amp;ndash;16 with a ~US$13.5 base &lt;span class="tier"&gt;[T1 &amp;mdash; Valuation #fair-value]&lt;/span&gt;. Margin of safety to base is ~11%; downside to the fair-value floor (~US$11) is ~8%, and the freshest bear (BofA US$10) is ~16% below. Re-rating requires a clean credit print, not multiple expansion. Over the trailing window, sell-side price targets have drifted down materially (see &amp;sect;10).&lt;/p&gt;</w:t>
      </w:r>
    </w:p>
    <w:p>
      <w:r>
        <w:t>&lt;h3&gt;&amp;sect;7.1 &amp;mdash; Peer comparables&lt;/h3&gt;</w:t>
      </w:r>
    </w:p>
    <w:p>
      <w:r>
        <w:t>&lt;p&gt;The peer set is the EM digital-bank / LatAm fintech-bank archetype. Peer-group quality is ADEQUATE: there are operating comparables, but no perfect listed AI-native EM digital-bank peer at Nu&amp;rsquo;s scale and disclosure.&lt;/p&gt;</w:t>
      </w:r>
    </w:p>
    <w:p>
      <w:r>
        <w:t>&lt;table&gt;</w:t>
      </w:r>
    </w:p>
    <w:p>
      <w:r>
        <w:t xml:space="preserve">  &lt;thead&gt;&lt;tr&gt;&lt;th&gt;Peer&lt;/th&gt;&lt;th&gt;Why comparable&lt;/th&gt;&lt;th&gt;Note&lt;/th&gt;&lt;/tr&gt;&lt;/thead&gt;</w:t>
      </w:r>
    </w:p>
    <w:p>
      <w:r>
        <w:t xml:space="preserve">  &lt;tbody&gt;</w:t>
      </w:r>
    </w:p>
    <w:p>
      <w:r>
        <w:t xml:space="preserve">    &lt;tr&gt;&lt;td&gt;Banco Inter&lt;/td&gt;&lt;td&gt;Brazilian zero-fee digital bank&lt;/td&gt;&lt;td&gt;~35m customers, ~1/3 of Nu&lt;/td&gt;&lt;/tr&gt;</w:t>
      </w:r>
    </w:p>
    <w:p>
      <w:r>
        <w:t xml:space="preserve">    &lt;tr&gt;&lt;td&gt;Mercado Pago (MELI)&lt;/td&gt;&lt;td&gt;LatAm fintech with lending/credit&lt;/td&gt;&lt;td&gt;72m MAU global; e-commerce data flywheel&lt;/td&gt;&lt;/tr&gt;</w:t>
      </w:r>
    </w:p>
    <w:p>
      <w:r>
        <w:t xml:space="preserve">    &lt;tr&gt;&lt;td&gt;PagBank&lt;/td&gt;&lt;td&gt;Brazilian payments + banking&lt;/td&gt;&lt;td&gt;Merchant-acquiring base&lt;/td&gt;&lt;/tr&gt;</w:t>
      </w:r>
    </w:p>
    <w:p>
      <w:r>
        <w:t xml:space="preserve">    &lt;tr&gt;&lt;td&gt;C6 Bank&lt;/td&gt;&lt;td&gt;Brazilian full-service digital bank&lt;/td&gt;&lt;td&gt;Sub-scale vs Nu&lt;/td&gt;&lt;/tr&gt;</w:t>
      </w:r>
    </w:p>
    <w:p>
      <w:r>
        <w:t xml:space="preserve">    &lt;tr&gt;&lt;td&gt;PicPay&lt;/td&gt;&lt;td&gt;Brazilian payments platform&lt;/td&gt;&lt;td&gt;65m+ registered&lt;/td&gt;&lt;/tr&gt;</w:t>
      </w:r>
    </w:p>
    <w:p>
      <w:r>
        <w:t xml:space="preserve">  &lt;/tbody&gt;</w:t>
      </w:r>
    </w:p>
    <w:p>
      <w:r>
        <w:t>&lt;/table&gt;</w:t>
      </w:r>
    </w:p>
    <w:p>
      <w:r>
        <w:t>&lt;h3&gt;&amp;sect;7.2 &amp;mdash; Reverse Multiple Sanity Check&lt;/h3&gt;</w:t>
      </w:r>
    </w:p>
    <w:p>
      <w:r>
        <w:t>&lt;p&gt;Starting from the current ~US$11.97 price at ~5.1x P/TBV and ~20x trailing P/E, the embedded assumption is that Nu sustains a 30%+ ROE long enough to hold a ~5x P/TBV multiple as credit normalises &amp;mdash; i.e. the multiple is held, not expanded. Against the company&amp;rsquo;s last-3-year actuals (33% record ROE, +37% revenue, +45.6% net income), the implied ROE persistence is plausible rather than stretched. Against sell-side consensus, the same price implies ~14x forward earnings on 39% revenue / 43% EPS growth for FY26 per the bull camp &lt;span class="tier"&gt;[T2 &amp;mdash; Analyst Coverage]&lt;/span&gt;. Verdict: the embedded growth and multiple are plausible at the franchise level; the embedded credit-cost assumption (that the 90+ NPL is a denominator artefact, not genuine seasoning) is the one that is contested, and is what the bear disputes.&lt;/p&gt;</w:t>
      </w:r>
    </w:p>
    <w:p>
      <w:r>
        <w:t>&lt;h3&gt;&amp;sect;7.3 &amp;mdash; Scenario analysis (12-month)&lt;/h3&gt;</w:t>
      </w:r>
    </w:p>
    <w:p>
      <w:r>
        <w:t>&lt;table&gt;</w:t>
      </w:r>
    </w:p>
    <w:p>
      <w:r>
        <w:t xml:space="preserve">  &lt;thead&gt;&lt;tr&gt;&lt;th&gt;Scenario&lt;/th&gt;&lt;th class="num"&gt;Prob.&lt;/th&gt;&lt;th class="num"&gt;Implied price&lt;/th&gt;&lt;th class="num"&gt;IRR&lt;/th&gt;&lt;th&gt;Anchor&lt;/th&gt;&lt;/tr&gt;&lt;/thead&gt;</w:t>
      </w:r>
    </w:p>
    <w:p>
      <w:r>
        <w:t xml:space="preserve">  &lt;tbody&gt;</w:t>
      </w:r>
    </w:p>
    <w:p>
      <w:r>
        <w:t xml:space="preserve">    &lt;tr&gt;&lt;td&gt;Bull&lt;/td&gt;&lt;td class="num"&gt;20%&lt;/td&gt;&lt;td class="num"&gt;~US$16+&lt;/td&gt;&lt;td class="num"&gt;~34%&lt;/td&gt;&lt;td&gt;AI underwriting holds margin through seasoning; US build-out sub-100bps; multiple re-rates on cleaner credit&lt;/td&gt;&lt;/tr&gt;</w:t>
      </w:r>
    </w:p>
    <w:p>
      <w:r>
        <w:t xml:space="preserve">    &lt;tr class="highlight-row"&gt;&lt;td&gt;Base&lt;/td&gt;&lt;td class="num"&gt;55%&lt;/td&gt;&lt;td class="num"&gt;~US$13.5&lt;/td&gt;&lt;td class="num"&gt;~13%&lt;/td&gt;&lt;td&gt;Risk-adjusted NIM converges to ~10.5%; efficiency lands ~20%; Mexico IFRS profitability holds&lt;/td&gt;&lt;/tr&gt;</w:t>
      </w:r>
    </w:p>
    <w:p>
      <w:r>
        <w:t xml:space="preserve">    &lt;tr&gt;&lt;td&gt;Bear&lt;/td&gt;&lt;td class="num"&gt;25%&lt;/td&gt;&lt;td class="num"&gt;~US$10&lt;/td&gt;&lt;td class="num"&gt;~-16%&lt;/td&gt;&lt;td&gt;90+ NPL seasons adversely; margin compression persists; CFO transition disrupts IR continuity (BofA $10 target)&lt;/td&gt;&lt;/tr&gt;</w:t>
      </w:r>
    </w:p>
    <w:p>
      <w:r>
        <w:t xml:space="preserve">  &lt;/tbody&gt;</w:t>
      </w:r>
    </w:p>
    <w:p>
      <w:r>
        <w:t>&lt;/table&gt;</w:t>
      </w:r>
    </w:p>
    <w:p>
      <w:r>
        <w:t>&lt;p&gt;Weights are anchored to operational milestones with explicit hit-probability logic and to the freshest external bear (the BofA US$10 target sets the bear price) &lt;span class="tier"&gt;[T1 &amp;mdash; Valuation #fair-value]&lt;/span&gt; &lt;span class="tier"&gt;[T2 &amp;mdash; Analyst Coverage #downgrade-cluster]&lt;/span&gt; &lt;span class="tier"&gt;[T2 &amp;mdash; Primary Filings #asset-quality]&lt;/span&gt;. The bear is load-bearing and not fully neutralised by the recommendation &amp;mdash; hence the starter sizing.&lt;/p&gt;</w:t>
      </w:r>
    </w:p>
    <w:p>
      <w:r>
        <w:t>&lt;h3&gt;&amp;sect;7.4 &amp;mdash; Bull and bear IRR&lt;/h3&gt;</w:t>
      </w:r>
    </w:p>
    <w:p>
      <w:r>
        <w:t>&lt;p&gt;&lt;strong&gt;Bull (~34% IRR):&lt;/strong&gt; entry ~US$11.97; AI-underwritten vintages hold risk-adjusted NIM, US/Mexico build-out stays sub-100bps on the efficiency ratio, the multiple re-rates on cleaner credit prints, exit ~US$16+ over 12 months &lt;span class="tier"&gt;[T1 &amp;mdash; Valuation]&lt;/span&gt; &lt;span class="tier"&gt;[T1 &amp;mdash; AI Unit Economics]&lt;/span&gt;. &lt;strong&gt;Bear (~-16% IRR):&lt;/strong&gt; entry ~US$11.97; the 90+ NPL seasons adversely on the 40%-growing book, ~760bps margin compression persists beyond the guided investment cycle, the CFO transition disrupts IR continuity, exit ~US$10 (BofA target) &lt;span class="tier"&gt;[T2 &amp;mdash; Analyst Coverage]&lt;/span&gt; &lt;span class="tier"&gt;[T2 &amp;mdash; People &amp;amp; Culture]&lt;/span&gt;.&lt;/p&gt;</w:t>
      </w:r>
    </w:p>
    <w:p>
      <w:r>
        <w:t>&lt;h3&gt;&amp;sect;7.5 &amp;mdash; Exit Route &amp;amp; Precedent&lt;/h3&gt;</w:t>
      </w:r>
    </w:p>
    <w:p>
      <w:r>
        <w:t>&lt;p&gt;The exit route is an open-market sale on re-rating: a liquid, USD-reporting NYSE-listed name re-rating to its ~US$13.5 base fair value (or ~US$16 bull) on a clean credit print, with the multiple held on sustained 30%+ ROE &lt;span class="tier"&gt;[T1 &amp;mdash; Valuation #fair-value]&lt;/span&gt;. The named precedent for the mechanism is the franchise&amp;rsquo;s own re-rating history through the post-IPO period as profitability compounded; the diversifying Mexican option (first IFRS profitability ahead of plan) is the catalyst most likely to support the re-rate &lt;span class="tier"&gt;[T2 &amp;mdash; Earnings Transcripts]&lt;/span&gt;. Conditions: liquidity is not a constraint (large-cap, deep float); the binding condition is a clean credit-seasoning print, not market regime.&lt;/p&gt;</w:t>
      </w:r>
    </w:p>
    <w:p>
      <w:r>
        <w:t>&lt;h3&gt;&amp;sect;7.6 &amp;mdash; Entry-price recommendation&lt;/h3&gt;</w:t>
      </w:r>
    </w:p>
    <w:p>
      <w:r>
        <w:t>&lt;div class="anchor-section"&gt;</w:t>
      </w:r>
    </w:p>
    <w:p>
      <w:r>
        <w:t xml:space="preserve">  &lt;h4&gt;Bands&lt;/h4&gt;</w:t>
      </w:r>
    </w:p>
    <w:p>
      <w:r>
        <w:t xml:space="preserve">  &lt;p&gt;&lt;strong&gt;Starter band:&lt;/strong&gt; at/around the current ~US$11.97, inside the US$11&amp;ndash;16 fair-value range &amp;mdash; starter size only, because the ~11% margin of safety is thin. &lt;strong&gt;Scale-up:&lt;/strong&gt; add on confirmation of the &amp;sect;12 triggers (NIM convergence, NPL stabilisation, CFO transition completing cleanly, efficiency landing &amp;le;~20%), not on price alone. &lt;strong&gt;Avoid paying up:&lt;/strong&gt; above the ~US$16 bull fair-value high the convex tail is exhausted and the name is no longer a starter entry &lt;span class="tier"&gt;[T1 &amp;mdash; Valuation #fair-value]&lt;/span&gt;. The price does not pay you to absorb the bear at normal size &amp;mdash; hence STARTER.&lt;/p&gt;</w:t>
      </w:r>
    </w:p>
    <w:p>
      <w:r>
        <w:t>&lt;/div&gt;</w:t>
      </w:r>
    </w:p>
    <w:p>
      <w:r>
        <w:t>&lt;p class="indexing"&gt;Entry-price attractiveness indexes at ~98 (roughly fair); franchise quality indexes well above median.&lt;/p&gt;</w:t>
      </w:r>
    </w:p>
    <w:p>
      <w:r>
        <w:t>&lt;h2&gt;&amp;sect;8 &amp;mdash; Investment Thesis&lt;/h2&gt;</w:t>
      </w:r>
    </w:p>
    <w:p>
      <w:r>
        <w:t>&lt;p&gt;&lt;strong&gt;We believe&lt;/strong&gt; Nu is the highest-quality EM digital-bank franchise in the comparison set &amp;mdash; an evidenced, three-power moat (moat_index 125) compounding at 33% ROE, with the strongest-disclosed AI underwriting in the archetype in nuFormer.&lt;/p&gt;</w:t>
      </w:r>
    </w:p>
    <w:p>
      <w:r>
        <w:t>&lt;p&gt;&lt;strong&gt;The market doesn&amp;rsquo;t fully appreciate&lt;/strong&gt; that the June 2026 sell-side de-rating is repricing near-term margin and credit-cycle momentum, while the durable franchise quality and the structural AI-underwriting edge are being marked down alongside it &amp;mdash; but it also correctly prices that the entry offers only a thin ~11% margin of safety, so the edge is in the sizing discipline, not in a claim that the stock is cheap.&lt;/p&gt;</w:t>
      </w:r>
    </w:p>
    <w:p>
      <w:r>
        <w:t>&lt;p&gt;&lt;strong&gt;We will be proven right when&lt;/strong&gt; risk-adjusted NIM converges back to ~10.5% as nuFormer-underwritten vintages season and the 90+ NPL stabilises on seasoning-adjusted vintage curves &amp;mdash; the single number that swings base vs bear &amp;mdash; through the FY2026 reporting cycles &lt;span class="tier"&gt;[T1 &amp;mdash; AI Unit Economics #metrics-to-watch]&lt;/span&gt; &lt;span class="tier"&gt;[T2 &amp;mdash; Primary Filings #asset-quality]&lt;/span&gt;.&lt;/p&gt;</w:t>
      </w:r>
    </w:p>
    <w:p>
      <w:r>
        <w:t>&lt;h3&gt;&amp;sect;8.1 &amp;mdash; Bull-Case Operational Constraints&lt;/h3&gt;</w:t>
      </w:r>
    </w:p>
    <w:p>
      <w:r>
        <w:t>&lt;p&gt;For the bull case to deliver, three specific constraints must be overcome:&lt;/p&gt;</w:t>
      </w:r>
    </w:p>
    <w:p>
      <w:r>
        <w:t>&lt;div class="risk-grid"&gt;</w:t>
      </w:r>
    </w:p>
    <w:p>
      <w:r>
        <w:t xml:space="preserve">  &lt;div class="risk-item risk-high"&gt;&lt;h4&gt;1. Credit seasoning on a 40%-growing book&lt;/h4&gt;&lt;p&gt;Current state: 90+ NPL 6.6%, vintage curves not extractable this run &lt;span class="tier"&gt;[T2 &amp;mdash; Primary Filings]&lt;/span&gt;. Required: NPL stabilises as vintages season. Execution risk: HIGH. Track record: management &amp;ldquo;extremely conservative&amp;rdquo; on provisions, but refuses cost-of-risk guidance &lt;span class="tier"&gt;[T2 &amp;mdash; Earnings Transcripts]&lt;/span&gt;.&lt;/p&gt;&lt;/div&gt;</w:t>
      </w:r>
    </w:p>
    <w:p>
      <w:r>
        <w:t xml:space="preserve">  &lt;div class="risk-item risk-medium"&gt;&lt;h4&gt;2. Efficiency ratio landing &amp;le;~20% net of build-out&lt;/h4&gt;&lt;p&gt;Current state: 17.6% Q1 2026 reported, but management warns it is &amp;ldquo;not a run rate&amp;rdquo; and reaffirms ~20% FY2026 &lt;span class="tier"&gt;[T2 &amp;mdash; Earnings Transcripts]&lt;/span&gt;. Required: hold &amp;le;~20% net of AI/US build-out (capped sub-100bps). Execution risk: MEDIUM. Track record: over-delivered on Mexico profitability and efficiency trajectory.&lt;/p&gt;&lt;/div&gt;</w:t>
      </w:r>
    </w:p>
    <w:p>
      <w:r>
        <w:t xml:space="preserve">  &lt;div class="risk-item risk-medium"&gt;&lt;h4&gt;3. CFO transition without IR disruption&lt;/h4&gt;&lt;p&gt;Current state: Lago to Special Advisor, Rob Livingston in from 13 July 2026, amid wider C-suite rotation &lt;span class="tier"&gt;[T2 &amp;mdash; People &amp;amp; Culture #bench]&lt;/span&gt;. Required: clean handover through first two reporting cycles. Execution risk: MEDIUM. Track record: Lago embedded in investor relationships since Feb 2021.&lt;/p&gt;&lt;/div&gt;</w:t>
      </w:r>
    </w:p>
    <w:p>
      <w:r>
        <w:t>&lt;/div&gt;</w:t>
      </w:r>
    </w:p>
    <w:p>
      <w:r>
        <w:t>&lt;h3&gt;&amp;sect;8.2 &amp;mdash; Disconfirming Evidence&lt;/h3&gt;</w:t>
      </w:r>
    </w:p>
    <w:p>
      <w:r>
        <w:t>&lt;p&gt;Honest search surfaces real evidence against the thesis:&lt;/p&gt;</w:t>
      </w:r>
    </w:p>
    <w:p>
      <w:r>
        <w:t>&lt;ul&gt;</w:t>
      </w:r>
    </w:p>
    <w:p>
      <w:r>
        <w:t xml:space="preserve">  &lt;li&gt;&lt;strong&gt;Sell-side is actively de-rating:&lt;/strong&gt; a five-day June 2026 downgrade cluster (BofA to Underperform/$10, Susquehanna and Scotiabank to $13) on margin and credit-quality concerns &lt;span class="tier"&gt;[T2 &amp;mdash; Analyst Coverage #downgrade-cluster]&lt;/span&gt;.&lt;/li&gt;</w:t>
      </w:r>
    </w:p>
    <w:p>
      <w:r>
        <w:t xml:space="preserve">  &lt;li&gt;&lt;strong&gt;Margin is compressing:&lt;/strong&gt; operating margin contracted ~760bps to 19.2% in Q1 2026; FY26 BRL net-income estimates trimmed ~6%, FY27 ~9% &lt;span class="tier"&gt;[T2 &amp;mdash; Analyst Coverage #revision-momentum]&lt;/span&gt;.&lt;/li&gt;</w:t>
      </w:r>
    </w:p>
    <w:p>
      <w:r>
        <w:t xml:space="preserve">  &lt;li&gt;&lt;strong&gt;Smart-money exit:&lt;/strong&gt; Berkshire Hathaway fully exited by mid-2025 (0 shares vs 40.2m prior) &amp;mdash; a contrarian signal &lt;span class="tier"&gt;[T2 &amp;mdash; Investor Sentiment]&lt;/span&gt;.&lt;/li&gt;</w:t>
      </w:r>
    </w:p>
    <w:p>
      <w:r>
        <w:t xml:space="preserve">  &lt;li&gt;&lt;strong&gt;Voice-of-customer bifurcation:&lt;/strong&gt; Brazil complaint threads on account-freezing/fund-lock and low self-reported resolution (~15&amp;ndash;16%) sit against best-in-class regulatory complaint rankings &lt;span class="tier"&gt;[T2 &amp;mdash; Voice of Customer]&lt;/span&gt;.&lt;/li&gt;</w:t>
      </w:r>
    </w:p>
    <w:p>
      <w:r>
        <w:t xml:space="preserve">  &lt;li&gt;&lt;strong&gt;Disclosure gap:&lt;/strong&gt; management refuses cost-of-risk guidance in the short or long term &amp;mdash; a structural transparency gap on the very metric the thesis turns on &lt;span class="tier"&gt;[T2 &amp;mdash; Earnings Transcripts]&lt;/span&gt;.&lt;/li&gt;</w:t>
      </w:r>
    </w:p>
    <w:p>
      <w:r>
        <w:t>&lt;/ul&gt;</w:t>
      </w:r>
    </w:p>
    <w:p>
      <w:r>
        <w:t>&lt;p class="indexing"&gt;The thesis has live, named disconfirming evidence &amp;mdash; the bear is not a strawman; it is the reason the recommendation is starter, not normal.&lt;/p&gt;</w:t>
      </w:r>
    </w:p>
    <w:p>
      <w:r>
        <w:t>&lt;h2&gt;&amp;sect;9 &amp;mdash; Key Risks &amp;amp; Mitigants&lt;/h2&gt;</w:t>
      </w:r>
    </w:p>
    <w:p>
      <w:r>
        <w:t>&lt;p&gt;Seven red flags fired (one high, five medium, one low); none map onto the forensic-fraud canon (Wirecard / Tingo / Luckin / Steinhoff). The fires are structural-governance and geographic-concentration, the canonical &amp;ldquo;fired-but-fine&amp;rdquo; profile &lt;span class="tier"&gt;[T1 &amp;mdash; Red Flags]&lt;/span&gt;. No auto-escalation rule fires (phase_2_warranted = false, phase_3_warranted = false); Chronos conflict: none.&lt;/p&gt;</w:t>
      </w:r>
    </w:p>
    <w:p>
      <w:r>
        <w:t>&lt;table&gt;</w:t>
      </w:r>
    </w:p>
    <w:p>
      <w:r>
        <w:t xml:space="preserve">  &lt;thead&gt;&lt;tr&gt;&lt;th&gt;#&lt;/th&gt;&lt;th&gt;Risk&lt;/th&gt;&lt;th&gt;Prob.&lt;/th&gt;&lt;th&gt;Impact&lt;/th&gt;&lt;th&gt;Mitigant&lt;/th&gt;&lt;th&gt;Monitoring trigger&lt;/th&gt;&lt;/tr&gt;&lt;/thead&gt;</w:t>
      </w:r>
    </w:p>
    <w:p>
      <w:r>
        <w:t xml:space="preserve">  &lt;tbody&gt;</w:t>
      </w:r>
    </w:p>
    <w:p>
      <w:r>
        <w:t xml:space="preserve">    &lt;tr class="highlight-row"&gt;&lt;td&gt;1&lt;/td&gt;&lt;td&gt;Credit seasoning: 90+ NPL (6.6%) on a 40%-growing book rises as vintages mature (denominator effect unwinds)&lt;/td&gt;&lt;td&gt;MED&lt;/td&gt;&lt;td&gt;HIGH&lt;/td&gt;&lt;td&gt;Best-in-class AI underwriting; conservative provisioning framing&lt;/td&gt;&lt;td&gt;90+ NPL stops falling / rises on seasoning-adjusted vintage curves&lt;/td&gt;&lt;/tr&gt;</w:t>
      </w:r>
    </w:p>
    <w:p>
      <w:r>
        <w:t xml:space="preserve">    &lt;tr&gt;&lt;td&gt;2&lt;/td&gt;&lt;td&gt;Margin compression: ~760bps operating-margin contraction to 19.2% persists beyond the guided investment cycle&lt;/td&gt;&lt;td&gt;MED&lt;/td&gt;&lt;td&gt;HIGH&lt;/td&gt;&lt;td&gt;~20% FY26 efficiency guide; US build-out capped sub-100bps&lt;/td&gt;&lt;td&gt;Efficiency ratio drifts above ~20% net of build-out&lt;/td&gt;&lt;/tr&gt;</w:t>
      </w:r>
    </w:p>
    <w:p>
      <w:r>
        <w:t xml:space="preserve">    &lt;tr&gt;&lt;td&gt;3&lt;/td&gt;&lt;td&gt;CFO transition (Lago&amp;rarr;Livingston, 13 July 2026) disrupts IR continuity mid-expansion&lt;/td&gt;&lt;td&gt;MED&lt;/td&gt;&lt;td&gt;MED&lt;/td&gt;&lt;td&gt;Incoming pedigree; board depth; Lago to Special Advisor&lt;/td&gt;&lt;td&gt;Guidance or IR-disclosure disruption in first two cycles&lt;/td&gt;&lt;/tr&gt;</w:t>
      </w:r>
    </w:p>
    <w:p>
      <w:r>
        <w:t xml:space="preserve">    &lt;tr&gt;&lt;td&gt;4&lt;/td&gt;&lt;td&gt;Dual-class control (RF-GOV-003): V&amp;eacute;lez ~76% of votes, no sunset; controlled-company / FPI exemptions limit minority recourse&lt;/td&gt;&lt;td&gt;HIGH&lt;/td&gt;&lt;td&gt;MED&lt;/td&gt;&lt;td&gt;Independent-majority board (7/9); courage track record&lt;/td&gt;&lt;td&gt;Related-party action without independent ratification&lt;/td&gt;&lt;/tr&gt;</w:t>
      </w:r>
    </w:p>
    <w:p>
      <w:r>
        <w:t xml:space="preserve">    &lt;tr&gt;&lt;td&gt;5&lt;/td&gt;&lt;td&gt;Single-geography concentration (RF-OPS-001/003): Brazil ~91% of segment revenue&lt;/td&gt;&lt;td&gt;HIGH&lt;/td&gt;&lt;td&gt;MED&lt;/td&gt;&lt;td&gt;High country headroom; Brazil external buffers; Mexico option&lt;/td&gt;&lt;td&gt;International segments stop scaling&lt;/td&gt;&lt;/tr&gt;</w:t>
      </w:r>
    </w:p>
    <w:p>
      <w:r>
        <w:t xml:space="preserve">    &lt;tr&gt;&lt;td&gt;6&lt;/td&gt;&lt;td&gt;Regulatory / branding (RF-REG): BACEN barred &amp;ldquo;bank&amp;rdquo; brand use without full licence (effective Nov 2025); banking-licence application filed&lt;/td&gt;&lt;td&gt;LOW&lt;/td&gt;&lt;td&gt;LOW&lt;/td&gt;&lt;td&gt;Operates under existing payments/financial-company authorisations&lt;/td&gt;&lt;td&gt;Licence application stalls / enforcement (not branding) action&lt;/td&gt;&lt;/tr&gt;</w:t>
      </w:r>
    </w:p>
    <w:p>
      <w:r>
        <w:t xml:space="preserve">    &lt;tr&gt;&lt;td&gt;7&lt;/td&gt;&lt;td&gt;Cayman holdco over Brazilian opcos (RF-CAP-003): multi-jurisdiction offshore top-co&lt;/td&gt;&lt;td&gt;LOW&lt;/td&gt;&lt;td&gt;LOW&lt;/td&gt;&lt;td&gt;Disclosed group structure in 20-F; not an opaque shell web&lt;/td&gt;&lt;td&gt;Undisclosed structure / related-party opacity emerges&lt;/td&gt;&lt;/tr&gt;</w:t>
      </w:r>
    </w:p>
    <w:p>
      <w:r>
        <w:t xml:space="preserve">  &lt;/tbody&gt;</w:t>
      </w:r>
    </w:p>
    <w:p>
      <w:r>
        <w:t>&lt;/table&gt;</w:t>
      </w:r>
    </w:p>
    <w:p>
      <w:r>
        <w:t>&lt;div class="callout callout-grey"&gt;</w:t>
      </w:r>
    </w:p>
    <w:p>
      <w:r>
        <w:t xml:space="preserve">  &lt;span class="callout-title"&gt;Clean signals worth recording&lt;/span&gt;</w:t>
      </w:r>
    </w:p>
    <w:p>
      <w:r>
        <w:t xml:space="preserve">  &lt;p&gt;KPMG (Big 4) unqualified FY2025 opinion; ECL on credit-card receivables flagged as a Key Audit Matter (expected for a credit-led bank, not a red flag); Nubank among the LOWEST complaint rates in Brazil&amp;rsquo;s Central Bank consumer-complaint ranking; no SEC/securities class action, no auditor change, no restatement, no going concern, no late filing in evidence &lt;span class="tier"&gt;[T1 &amp;mdash; Red Flags]&lt;/span&gt;. Five computational accounting flags returned insufficient_data (audited line-items not extracted within budget) and should be computed from the 20-F before sign-off &amp;mdash; the loan-loss-reserve walk (RF-ACCT-018) is the bank-relevant one &lt;span class="tier"&gt;[inference &amp;mdash; Red Flags]&lt;/span&gt;.&lt;/p&gt;</w:t>
      </w:r>
    </w:p>
    <w:p>
      <w:r>
        <w:t>&lt;/div&gt;</w:t>
      </w:r>
    </w:p>
    <w:p>
      <w:r>
        <w:t>&lt;h3&gt;&amp;sect;9.X &amp;mdash; Bear Source Search Log&lt;/h3&gt;</w:t>
      </w:r>
    </w:p>
    <w:p>
      <w:r>
        <w:t>&lt;div class="anchor-section"&gt;</w:t>
      </w:r>
    </w:p>
    <w:p>
      <w:r>
        <w:t xml:space="preserve">  &lt;h4&gt;Documented bear search&lt;/h4&gt;</w:t>
      </w:r>
    </w:p>
    <w:p>
      <w:r>
        <w:t xml:space="preserve">  &lt;p&gt;&lt;strong&gt;Search date:&lt;/strong&gt; 6&amp;ndash;7 June 2026. &lt;strong&gt;Sources searched:&lt;/strong&gt; sell-side ratings aggregators (MarketBeat, Benzinga, StocksToTrade, VCP Scanner), consumer-complaint corpora (Reclame AQUI, PissedConsumer, Trustpilot, app stores), 13F/13G filings. &lt;strong&gt;Named bear voices found:&lt;/strong&gt; BofA Securities (Underperform, $10 target, 2 June 2026) on CFO departure and two consecutive disappointing quarters; Susquehanna (to Neutral, $13, 3 June) on margin squeeze and rapid credit-card expansion risk; Scotiabank (Sector Perform, $13, 3 June) on margin compression; Weiss Ratings (Buy&amp;rarr;Hold, 13 May) &lt;span class="tier"&gt;[T2 &amp;mdash; Analyst Coverage #downgrade-cluster]&lt;/span&gt; &lt;span class="tier"&gt;[T3 &amp;mdash; Analyst Coverage]&lt;/span&gt;. Public bear voices are present and fresh &amp;mdash; this is a contested thesis (dispersion 46.8%), not a coverage gap.&lt;/p&gt;</w:t>
      </w:r>
    </w:p>
    <w:p>
      <w:r>
        <w:t>&lt;/div&gt;</w:t>
      </w:r>
    </w:p>
    <w:p>
      <w:r>
        <w:t>&lt;p class="indexing"&gt;Risk fire pattern indexes as structural-governance + concentration; fraud canon does not fire.&lt;/p&gt;</w:t>
      </w:r>
    </w:p>
    <w:p>
      <w:r>
        <w:t>&lt;h2&gt;&amp;sect;10 &amp;mdash; ESG / Governance &amp;amp; Analyst Context&lt;/h2&gt;</w:t>
      </w:r>
    </w:p>
    <w:p>
      <w:r>
        <w:t>&lt;p&gt;Board composition is independent-majority (7 of 9 directors independent), with operators from PayPal, Uber and VMware and former Central Bank of Brazil president Roberto Campos Neto as Vice-Chairman &lt;span class="tier"&gt;[T2 &amp;mdash; People &amp;amp; Culture]&lt;/span&gt;. The voting structure is dual-class: Class B carries 20 votes versus 1 for Class A; founder David V&amp;eacute;lez (via Rua California Ltd) holds the Class B block, giving ~75.9% voting power against ~20% economic interest, with no time-based sunset disclosed; Nu is a controlled company / FPI relying on the attendant NYSE governance exemptions &lt;span class="tier"&gt;[T2 &amp;mdash; Red Flags #rf-gov-003]&lt;/span&gt; &lt;span class="tier"&gt;[T2 &amp;mdash; People &amp;amp; Culture]&lt;/span&gt;. Executive-comp alignment is evidenced by V&amp;eacute;lez&amp;rsquo;s 2022 forfeiture of a US$423m contingent share award (US$356m of shareholder savings). The Chronos-conflict check returns no conflict &lt;span class="tier"&gt;[T1 &amp;mdash; Red Flags]&lt;/span&gt;.&lt;/p&gt;</w:t>
      </w:r>
    </w:p>
    <w:p>
      <w:r>
        <w:t>&lt;p&gt;On the external analyst view, Nu enters mid-2026 as a heavily covered name (22 covering analysts) with a formal Moderate Buy consensus that is actively de-rating &lt;span class="tier"&gt;[T2 &amp;mdash; Analyst Coverage #consensus-snapshot]&lt;/span&gt;. The June 2026 downgrade cluster (BofA Underperform $10; Susquehanna and Scotiabank to $13) marks a regime shift; the consensus mean price target has drifted from ~$18.46 a month prior toward ~$16&amp;ndash;17 (MarketBeat ~$17.08, VCP Scanner ~$15.98), median ~$14.95, dispersion 46.8% &amp;mdash; a contested thesis &lt;span class="tier"&gt;[T3 &amp;mdash; Analyst Coverage]&lt;/span&gt; &lt;span class="tier"&gt;[T2 &amp;mdash; Analyst Coverage]&lt;/span&gt;. The Q1 2026 print reinforced the de-rating: EPS $0.18 missed consensus $0.20 by ~10%, though revenue of $4.97bn beat $4.61bn; operating margins contracted ~760bps to 19.2% &lt;span class="tier"&gt;[T3 &amp;mdash; Analyst Coverage #revision-momentum]&lt;/span&gt;.&lt;/p&gt;</w:t>
      </w:r>
    </w:p>
    <w:p>
      <w:r>
        <w:t>&lt;div class="callout callout-blue"&gt;</w:t>
      </w:r>
    </w:p>
    <w:p>
      <w:r>
        <w:t xml:space="preserve">  &lt;span class="callout-title"&gt;Ownership &amp;amp; voice-of-customer&lt;/span&gt;</w:t>
      </w:r>
    </w:p>
    <w:p>
      <w:r>
        <w:t xml:space="preserve">  &lt;p&gt;The register is anchored by Rua California (V&amp;eacute;lez, ~19.2%, trimming modestly -3.4% QoQ) and BlackRock (~9.0%, adding +12.7% QoQ); net accumulation bias among index-weight and quality-growth managers, against the Berkshire exit (0 shares vs 40.2m prior) &lt;span class="tier"&gt;[T2 &amp;mdash; Investor Sentiment]&lt;/span&gt;. Public voice-of-customer is bifurcated: Brazil complaint threads on account-freezing/fund-lock (Reclame AQUI) and low self-reported resolution (PissedConsumer ~15&amp;ndash;16%, Trustpilot 2.4/5 across 110 reviews) against management-disclosed best-in-class metrics &amp;mdash; lowest complaint rate among Brazil&amp;rsquo;s 15 largest financial institutions, a 37% YoY reduction in service-contact rate (Q1 2025), and NPS up ~7 points &lt;span class="tier"&gt;[T2 &amp;mdash; Voice of Customer #net-pattern]&lt;/span&gt;. The directional divergence is itself the IC-relevant finding.&lt;/p&gt;</w:t>
      </w:r>
    </w:p>
    <w:p>
      <w:r>
        <w:t>&lt;/div&gt;</w:t>
      </w:r>
    </w:p>
    <w:p>
      <w:r>
        <w:t>&lt;p class="indexing"&gt;Governance indexes below peer median (dual-class concentration); regulatory and complaint-ranking signals index above median.&lt;/p&gt;</w:t>
      </w:r>
    </w:p>
    <w:p>
      <w:r>
        <w:t>&lt;h2&gt;&amp;sect;11 &amp;mdash; Expert Review Log&lt;/h2&gt;</w:t>
      </w:r>
    </w:p>
    <w:p>
      <w:r>
        <w:t>&lt;p&gt;This pack was produced under paired drafter / fact-checker review on every generative section, with a cross-cutting Red Flags pass and a locked Strategy verdict.&lt;/p&gt;</w:t>
      </w:r>
    </w:p>
    <w:p>
      <w:r>
        <w:t>&lt;table&gt;</w:t>
      </w:r>
    </w:p>
    <w:p>
      <w:r>
        <w:t xml:space="preserve">  &lt;thead&gt;&lt;tr&gt;&lt;th&gt;Review&lt;/th&gt;&lt;th&gt;Stage&lt;/th&gt;&lt;th&gt;Verdict&lt;/th&gt;&lt;th&gt;Note&lt;/th&gt;&lt;/tr&gt;&lt;/thead&gt;</w:t>
      </w:r>
    </w:p>
    <w:p>
      <w:r>
        <w:t xml:space="preserve">  &lt;tbody&gt;</w:t>
      </w:r>
    </w:p>
    <w:p>
      <w:r>
        <w:t xml:space="preserve">    &lt;tr&gt;&lt;td&gt;Primary Filings + fact-checker&lt;/td&gt;&lt;td&gt;Gate 7&lt;/td&gt;&lt;td&gt;HEALTHY&lt;/td&gt;&lt;td&gt;FY2025 20-F / 6-K readout; segment-vs-consolidated reconciliation flagged as diligence item&lt;/td&gt;&lt;/tr&gt;</w:t>
      </w:r>
    </w:p>
    <w:p>
      <w:r>
        <w:t xml:space="preserve">    &lt;tr&gt;&lt;td&gt;AI Unit Economics + fact-checker&lt;/td&gt;&lt;td&gt;Gate 7&lt;/td&gt;&lt;td&gt;HEALTHY&lt;/td&gt;&lt;td&gt;nuFormer REAL (partial), PRIORITY, grade B; cohort table is the diligence ask&lt;/td&gt;&lt;/tr&gt;</w:t>
      </w:r>
    </w:p>
    <w:p>
      <w:r>
        <w:t xml:space="preserve">    &lt;tr&gt;&lt;td&gt;Competitor Analysis + fact-checker&lt;/td&gt;&lt;td&gt;Gate 7&lt;/td&gt;&lt;td&gt;HEALTHY&lt;/td&gt;&lt;td&gt;moat_index 125; Mercado Pago the standing offset&lt;/td&gt;&lt;/tr&gt;</w:t>
      </w:r>
    </w:p>
    <w:p>
      <w:r>
        <w:t xml:space="preserve">    &lt;tr&gt;&lt;td&gt;Valuation + fact-checker&lt;/td&gt;&lt;td&gt;Gate 7&lt;/td&gt;&lt;td&gt;HEALTHY&lt;/td&gt;&lt;td&gt;FCFE DCF US$11&amp;ndash;16, base ~US$13.5; share-count link is a diligence ask&lt;/td&gt;&lt;/tr&gt;</w:t>
      </w:r>
    </w:p>
    <w:p>
      <w:r>
        <w:t xml:space="preserve">    &lt;tr&gt;&lt;td&gt;People &amp;amp; Culture + fact-checker&lt;/td&gt;&lt;td&gt;Gate 7&lt;/td&gt;&lt;td&gt;HEALTHY&lt;/td&gt;&lt;td&gt;Founding trio; bench-rotation watch item; courage episode&lt;/td&gt;&lt;/tr&gt;</w:t>
      </w:r>
    </w:p>
    <w:p>
      <w:r>
        <w:t xml:space="preserve">    &lt;tr&gt;&lt;td&gt;Analyst Coverage + fact-checker&lt;/td&gt;&lt;td&gt;Gate 7&lt;/td&gt;&lt;td&gt;HEALTHY&lt;/td&gt;&lt;td&gt;June 2026 downgrade cluster; dispersion 46.8% contested&lt;/td&gt;&lt;/tr&gt;</w:t>
      </w:r>
    </w:p>
    <w:p>
      <w:r>
        <w:t xml:space="preserve">    &lt;tr&gt;&lt;td&gt;Earnings Transcripts + fact-checker&lt;/td&gt;&lt;td&gt;Gate 7&lt;/td&gt;&lt;td&gt;HEALTHY&lt;/td&gt;&lt;td&gt;Cost-of-risk guidance refusal flagged; aggregator quotes to confirm vs 8-K&lt;/td&gt;&lt;/tr&gt;</w:t>
      </w:r>
    </w:p>
    <w:p>
      <w:r>
        <w:t xml:space="preserve">    &lt;tr&gt;&lt;td&gt;Investor Sentiment + fact-checker&lt;/td&gt;&lt;td&gt;Gate 7&lt;/td&gt;&lt;td&gt;HEALTHY&lt;/td&gt;&lt;td&gt;Berkshire exit; BlackRock accumulation&lt;/td&gt;&lt;/tr&gt;</w:t>
      </w:r>
    </w:p>
    <w:p>
      <w:r>
        <w:t xml:space="preserve">    &lt;tr&gt;&lt;td&gt;Voice of Customer + fact-checker&lt;/td&gt;&lt;td&gt;Gate 7&lt;/td&gt;&lt;td&gt;HEALTHY&lt;/td&gt;&lt;td&gt;Bifurcated complaint vs regulatory-metric picture&lt;/td&gt;&lt;/tr&gt;</w:t>
      </w:r>
    </w:p>
    <w:p>
      <w:r>
        <w:t xml:space="preserve">    &lt;tr&gt;&lt;td&gt;Red Flags + fact-checker&lt;/td&gt;&lt;td&gt;Gate 7&lt;/td&gt;&lt;td&gt;HEALTHY&lt;/td&gt;&lt;td&gt;7 flags fired; no fraud-canon map; 5 accounting flags insufficient_data&lt;/td&gt;&lt;/tr&gt;</w:t>
      </w:r>
    </w:p>
    <w:p>
      <w:r>
        <w:t xml:space="preserve">    &lt;tr&gt;&lt;td&gt;Strategy verdict&lt;/td&gt;&lt;td&gt;Gate 8.5&lt;/td&gt;&lt;td&gt;HEALTHY (STARTER)&lt;/td&gt;&lt;td&gt;Locked recommendation synthesised across all frameworks&lt;/td&gt;&lt;/tr&gt;</w:t>
      </w:r>
    </w:p>
    <w:p>
      <w:r>
        <w:t xml:space="preserve">  &lt;/tbody&gt;</w:t>
      </w:r>
    </w:p>
    <w:p>
      <w:r>
        <w:t>&lt;/table&gt;</w:t>
      </w:r>
    </w:p>
    <w:p>
      <w:r>
        <w:t>&lt;p&gt;No human external expert review was conducted for this run. Several agent fact-checker passes returned needs-revision notes asking for direct primary-source URLs on individual figures; those source-of-truth items are recorded as diligence requests in &amp;sect;6.1 and Appendix A and should be closed against the 20-F before commitment.&lt;/p&gt;</w:t>
      </w:r>
    </w:p>
    <w:p>
      <w:r>
        <w:t>&lt;h2&gt;&amp;sect;12 &amp;mdash; IC Decision Record&lt;/h2&gt;</w:t>
      </w:r>
    </w:p>
    <w:p>
      <w:r>
        <w:t>&lt;div class="vic-box"&gt;</w:t>
      </w:r>
    </w:p>
    <w:p>
      <w:r>
        <w:t xml:space="preserve">  &lt;h4&gt;Virtual IC tally&lt;/h4&gt;</w:t>
      </w:r>
    </w:p>
    <w:p>
      <w:r>
        <w:t xml:space="preserve">  &lt;p&gt;No separate Virtual IC vote was convened for this run. The nearest external tally is the sell-side consensus, which is in active de-rating: formal Moderate Buy, but a June 2026 downgrade cluster and a consensus mean drifting toward ~$16&amp;ndash;17, median ~$14.95 &lt;span class="tier"&gt;[T2 &amp;mdash; Analyst Coverage]&lt;/span&gt;.&lt;/p&gt;</w:t>
      </w:r>
    </w:p>
    <w:p>
      <w:r>
        <w:t xml:space="preserve">  &lt;div class="vic-tally"&gt;</w:t>
      </w:r>
    </w:p>
    <w:p>
      <w:r>
        <w:t xml:space="preserve">    &lt;div class="vic-cell vic-yes"&gt;&lt;span class="count"&gt;13&lt;/span&gt;&lt;span class="lbl"&gt;Buy&lt;/span&gt;&lt;span class="roster"&gt;Sell-side (broad aggregators across 22 analysts)&lt;/span&gt;&lt;/div&gt;</w:t>
      </w:r>
    </w:p>
    <w:p>
      <w:r>
        <w:t xml:space="preserve">    &lt;div class="vic-cell vic-ab"&gt;&lt;span class="count"&gt;7&lt;/span&gt;&lt;span class="lbl"&gt;Hold&lt;/span&gt;&lt;span class="roster"&gt;Incl. Susquehanna, Scotiabank, Weiss (recent downgrades)&lt;/span&gt;&lt;/div&gt;</w:t>
      </w:r>
    </w:p>
    <w:p>
      <w:r>
        <w:t xml:space="preserve">    &lt;div class="vic-cell vic-no"&gt;&lt;span class="count"&gt;2&lt;/span&gt;&lt;span class="lbl"&gt;Sell / Underperform&lt;/span&gt;&lt;span class="roster"&gt;Incl. BofA ($10)&lt;/span&gt;&lt;/div&gt;</w:t>
      </w:r>
    </w:p>
    <w:p>
      <w:r>
        <w:t xml:space="preserve">  &lt;/div&gt;</w:t>
      </w:r>
    </w:p>
    <w:p>
      <w:r>
        <w:t xml:space="preserve">  &lt;p&gt;Strategy&amp;rsquo;s STARTER lands below the formal &amp;ldquo;Moderate Buy&amp;rdquo; but above the freshest bear (BofA $10). The disagreement axis: the sell-side is repricing on near-term margin/credit-cycle momentum; Strategy weights the durable franchise quality and AI-underwriting edge higher, but agrees the thin margin of safety justifies starter-not-normal sizing &lt;span class="tier"&gt;[T2 &amp;mdash; Analyst Coverage]&lt;/span&gt;.&lt;/p&gt;</w:t>
      </w:r>
    </w:p>
    <w:p>
      <w:r>
        <w:t>&lt;/div&gt;</w:t>
      </w:r>
    </w:p>
    <w:p>
      <w:r>
        <w:t>&lt;h3&gt;Conditional scaling triggers&lt;/h3&gt;</w:t>
      </w:r>
    </w:p>
    <w:p>
      <w:r>
        <w:t>&lt;div class="pre-mortem-item"&gt;</w:t>
      </w:r>
    </w:p>
    <w:p>
      <w:r>
        <w:t xml:space="preserve">  &lt;h4&gt;Trigger 1 &amp;mdash; Risk-adjusted NIM converges to ~10.5%&lt;/h4&gt;</w:t>
      </w:r>
    </w:p>
    <w:p>
      <w:r>
        <w:t xml:space="preserve">  &lt;p&gt;As nuFormer-underwritten vintages season, risk-adjusted NIM should converge back to ~10.5%, confirming AI underwriting holds margin &lt;span class="tier"&gt;[T1 &amp;mdash; AI Unit Economics #metrics-to-watch]&lt;/span&gt;. Expected resolution: next 2&amp;ndash;3 quarterly prints (H2 2026).&lt;/p&gt;</w:t>
      </w:r>
    </w:p>
    <w:p>
      <w:r>
        <w:t xml:space="preserve">  &lt;div class="kill-metric"&gt;&lt;strong&gt;Kill metric:&lt;/strong&gt; risk-adjusted NIM fails to converge / deteriorates further as vintages season.&lt;/div&gt;</w:t>
      </w:r>
    </w:p>
    <w:p>
      <w:r>
        <w:t>&lt;/div&gt;</w:t>
      </w:r>
    </w:p>
    <w:p>
      <w:r>
        <w:t>&lt;div class="pre-mortem-item"&gt;</w:t>
      </w:r>
    </w:p>
    <w:p>
      <w:r>
        <w:t xml:space="preserve">  &lt;h4&gt;Trigger 2 &amp;mdash; 90+ NPL stabilises on seasoning-adjusted vintage curves&lt;/h4&gt;</w:t>
      </w:r>
    </w:p>
    <w:p>
      <w:r>
        <w:t xml:space="preserve">  &lt;p&gt;Resolves the denominator-effect question that swings base vs bear &lt;span class="tier"&gt;[T2 &amp;mdash; Primary Filings #asset-quality]&lt;/span&gt;. Expected resolution: vintage curves disclosed / extractable from FY2026 interim filings.&lt;/p&gt;</w:t>
      </w:r>
    </w:p>
    <w:p>
      <w:r>
        <w:t xml:space="preserve">  &lt;div class="kill-metric"&gt;&lt;strong&gt;Kill metric:&lt;/strong&gt; 90+ NPL rises on seasoning-adjusted curves rather than stabilising.&lt;/div&gt;</w:t>
      </w:r>
    </w:p>
    <w:p>
      <w:r>
        <w:t>&lt;/div&gt;</w:t>
      </w:r>
    </w:p>
    <w:p>
      <w:r>
        <w:t>&lt;div class="pre-mortem-item"&gt;</w:t>
      </w:r>
    </w:p>
    <w:p>
      <w:r>
        <w:t xml:space="preserve">  &lt;h4&gt;Trigger 3 &amp;mdash; CFO transition completes cleanly&lt;/h4&gt;</w:t>
      </w:r>
    </w:p>
    <w:p>
      <w:r>
        <w:t xml:space="preserve">  &lt;p&gt;Lago to Rob Livingston (13 July 2026) without IR or guidance disruption through the first two reporting cycles &lt;span class="tier"&gt;[T2 &amp;mdash; People &amp;amp; Culture #bench]&lt;/span&gt;.&lt;/p&gt;</w:t>
      </w:r>
    </w:p>
    <w:p>
      <w:r>
        <w:t xml:space="preserve">  &lt;div class="kill-metric"&gt;&lt;strong&gt;Kill metric:&lt;/strong&gt; guidance withdrawal or IR-disclosure disruption under the new CFO.&lt;/div&gt;</w:t>
      </w:r>
    </w:p>
    <w:p>
      <w:r>
        <w:t>&lt;/div&gt;</w:t>
      </w:r>
    </w:p>
    <w:p>
      <w:r>
        <w:t>&lt;div class="pre-mortem-item"&gt;</w:t>
      </w:r>
    </w:p>
    <w:p>
      <w:r>
        <w:t xml:space="preserve">  &lt;h4&gt;Trigger 4 &amp;mdash; Efficiency ratio lands &amp;le;~20% FY2026&lt;/h4&gt;</w:t>
      </w:r>
    </w:p>
    <w:p>
      <w:r>
        <w:t xml:space="preserve">  &lt;p&gt;Net of AI / US build-out spend (capped sub-100bps) &lt;span class="tier"&gt;[T2 &amp;mdash; Earnings Transcripts #guidance]&lt;/span&gt;. Expected resolution: FY2026 full-year print.&lt;/p&gt;</w:t>
      </w:r>
    </w:p>
    <w:p>
      <w:r>
        <w:t xml:space="preserve">  &lt;div class="kill-metric"&gt;&lt;strong&gt;Kill metric:&lt;/strong&gt; efficiency ratio drifts materially above ~20% net of build-out.&lt;/div&gt;</w:t>
      </w:r>
    </w:p>
    <w:p>
      <w:r>
        <w:t>&lt;/div&gt;</w:t>
      </w:r>
    </w:p>
    <w:p>
      <w:r>
        <w:t>&lt;div class="anchor-section"&gt;</w:t>
      </w:r>
    </w:p>
    <w:p>
      <w:r>
        <w:t xml:space="preserve">  &lt;h4&gt;For the IC panel&lt;/h4&gt;</w:t>
      </w:r>
    </w:p>
    <w:p>
      <w:r>
        <w:t xml:space="preserve">  &lt;p&gt;Date of IC: &lt;em&gt;&amp;mdash;&lt;/em&gt; &amp;middot; Attendees: &lt;em&gt;&amp;mdash;&lt;/em&gt; &amp;middot; Decision: PROCEED / PROCEED W/ CONDITIONS / DEFER / KILL &amp;middot; Conditions: &lt;em&gt;&amp;mdash;&lt;/em&gt; &amp;middot; Post-IC Memo: &lt;em&gt;&amp;mdash;&lt;/em&gt;&lt;/p&gt;</w:t>
      </w:r>
    </w:p>
    <w:p>
      <w:r>
        <w:t xml:space="preserve">  &lt;p&gt;The single number for the IC to audit: whether the 90+ NPL at 6.6% on a 40%-growing book is a denominator artefact or genuine seasoning &amp;mdash; audit the seasoning-adjusted vintage curves and ECL adequacy, which Primary Filings flagged as not extractable within this run &lt;span class="tier"&gt;[T2 &amp;mdash; Primary Filings #asset-quality]&lt;/span&gt;.&lt;/p&gt;</w:t>
      </w:r>
    </w:p>
    <w:p>
      <w:r>
        <w:t>&lt;/div&gt;</w:t>
      </w:r>
    </w:p>
    <w:p>
      <w:r>
        <w:t>&lt;h3&gt;Appendix A &amp;mdash; Gap Analysis / Diligence Requests&lt;/h3&gt;</w:t>
      </w:r>
    </w:p>
    <w:p>
      <w:r>
        <w:t>&lt;p&gt;Gate 7 evidence the IC would have wanted but could not extract within this run, flagged for follow-up before commitment &lt;span class="tier"&gt;[T1 &amp;mdash; Primary Filings]&lt;/span&gt;: (1) segment-to-consolidated revenue reconciliation table (audited 20-F note); (2) itemised related-party transactions; (3) quantified tax/civil/labour contingency amounts; (4) capitalised-software policy and balance; (5) current period-end Class A/B share counts for the market-cap invariant; (6) vintage/seasoning-adjusted NPL curves behind the 6.6% 90+ ratio; (7) the AI-lift cohort table isolating the nuFormer bridge &lt;span class="tier"&gt;[T1 &amp;mdash; AI Unit Economics]&lt;/span&gt;; (8) computation of the bank-adapted forensic-accounting ratios (loan-loss-reserve walk) from the 20-F &lt;span class="tier"&gt;[inference &amp;mdash; Red Flags]&lt;/span&gt;.&lt;/p&gt;</w:t>
      </w:r>
    </w:p>
    <w:p>
      <w:r>
        <w:t>&lt;div class="footer"&gt;</w:t>
      </w:r>
    </w:p>
    <w:p>
      <w:r>
        <w:t xml:space="preserve">  Spock IC Screening Paper &amp;middot; Nu Holdings Ltd (NU.US) &amp;middot; NYSE-listed Cayman FPI &amp;middot; Reference price ~US$11.97, as of 7 June 2026 &amp;middot; Verdict: STARTER (~US$50,000), scale on credit-seasoning and CFO-transition triggers &amp;middot; Confidential &amp;mdash; Chronos partners only.</w:t>
      </w:r>
    </w:p>
    <w:p>
      <w:r>
        <w:t>&lt;/div&gt;</w:t>
      </w:r>
    </w:p>
    <w:p>
      <w:r>
        <w:t>&lt;/div&gt;</w:t>
      </w:r>
    </w:p>
    <w:p>
      <w:r>
        <w:br w:type="page"/>
      </w:r>
    </w:p>
    <w:p>
      <w:r>
        <w:rPr>
          <w:i/>
          <w:color w:val="888888"/>
          <w:sz w:val="18"/>
        </w:rPr>
        <w:t>Spock-generated draft, not human-authored. The composite scoring is Spock's, not a Chronos position. Read for direction, not conclusion. All load-bearing claims trace to the underlying evidence stack on the Spock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