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Autohome (2518.HK) — Strategy Preview</w:t>
      </w:r>
    </w:p>
    <w:p>
      <w:pPr>
        <w:pStyle w:val="FirstParagraph"/>
      </w:pPr>
    </w:p>
    <w:p>
      <w:pPr>
        <w:pStyle w:val="BodyText"/>
      </w:pPr>
      <w:hyperlink r:id="rId9">
        <w:r>
          <w:rPr>
            <w:rStyle w:val="Hyperlink"/>
          </w:rPr>
          <w:t xml:space="preserve">PDF</w:t>
        </w:r>
      </w:hyperlink>
    </w:p>
    <w:p>
      <w:pPr>
        <w:pStyle w:val="BodyText"/>
      </w:pPr>
      <w:hyperlink r:id="rId10">
        <w:r>
          <w:rPr>
            <w:rStyle w:val="Hyperlink"/>
          </w:rPr>
          <w:t xml:space="preserve">Word</w:t>
        </w:r>
      </w:hyperlink>
    </w:p>
    <w:p>
      <w:pPr>
        <w:pStyle w:val="BodyText"/>
      </w:pPr>
      <w:r>
        <w:t xml:space="preserve">Google Docs</w:t>
      </w:r>
    </w:p>
    <w:bookmarkStart w:id="11" w:name="spock-gdocs-tip"/>
    <w:p>
      <w:pPr>
        <w:pStyle w:val="BodyText"/>
      </w:pPr>
      <w:r>
        <w:t xml:space="preserve">×</w:t>
      </w:r>
      <w:r>
        <w:t xml:space="preserve"> </w:t>
      </w:r>
      <w:r>
        <w:rPr>
          <w:b/>
          <w:bCs/>
        </w:rPr>
        <w:t xml:space="preserve">Open in Google Docs</w:t>
      </w:r>
      <w:r>
        <w:br/>
      </w:r>
      <w:r>
        <w:t xml:space="preserve">Download the Word file, drag-drop it into Google Drive, then right-click →</w:t>
      </w:r>
      <w:r>
        <w:t xml:space="preserve"> </w:t>
      </w:r>
      <w:r>
        <w:rPr>
          <w:i/>
          <w:iCs/>
        </w:rPr>
        <w:t xml:space="preserve">Open with → Google Docs</w:t>
      </w:r>
      <w:r>
        <w:t xml:space="preserve">.</w:t>
      </w:r>
    </w:p>
    <w:bookmarkEnd w:id="11"/>
    <w:p>
      <w:pPr>
        <w:pStyle w:val="BodyText"/>
      </w:pPr>
      <w:r>
        <w:t xml:space="preserve">Strategy Preview — Listed equity desk</w:t>
      </w:r>
    </w:p>
    <w:bookmarkStart w:id="22" w:name="Xef81846d32df222ba779d1769099355333cab71"/>
    <w:p>
      <w:pPr>
        <w:pStyle w:val="Heading1"/>
      </w:pPr>
      <w:r>
        <w:t xml:space="preserve">Autohome: a cash-rich classifieds incumbent priced for the auto-cycle valley, with a Tencent overhang.</w:t>
      </w:r>
    </w:p>
    <w:p>
      <w:pPr>
        <w:pStyle w:val="FirstParagraph"/>
      </w:pPr>
      <w:r>
        <w:t xml:space="preserve">2518.HK (Hong Kong, primary) · ATHM (NYSE, secondary) · 28 May 2026</w:t>
      </w:r>
    </w:p>
    <w:p>
      <w:pPr>
        <w:pStyle w:val="BodyText"/>
      </w:pPr>
      <w:r>
        <w:rPr>
          <w:b/>
          <w:bCs/>
        </w:rPr>
        <w:t xml:space="preserve">Why this is a preview, not a final IC pack.</w:t>
      </w:r>
      <w:r>
        <w:t xml:space="preserve"> </w:t>
      </w:r>
      <w:r>
        <w:t xml:space="preserve">This document is a Strategy-framework synthesis built from public-source baseline knowledge, not a Gate 7 deep-research output. The full listed-eq workstreams (A–H) — primary-source IPO/cap-table grounding, voice-of-customer corpus, dealer-channel checks, scenario-derivation tables, and the Virtual IC simulation — have not been run. Treat numbers here as directional. Mechanical invariants (shares × price = market cap; rating buckets sum to count) have</w:t>
      </w:r>
      <w:r>
        <w:t xml:space="preserve"> </w:t>
      </w:r>
      <w:r>
        <w:rPr>
          <w:i/>
          <w:iCs/>
        </w:rPr>
        <w:t xml:space="preserve">not</w:t>
      </w:r>
      <w:r>
        <w:t xml:space="preserve"> </w:t>
      </w:r>
      <w:r>
        <w:t xml:space="preserve">been independently checked by a verifier pair. Any framework verdict that hangs on a single number is flagged. Anything not citable to a primary source is marked</w:t>
      </w:r>
      <w:r>
        <w:t xml:space="preserve"> </w:t>
      </w:r>
      <w:r>
        <w:t xml:space="preserve">[unverified]</w:t>
      </w:r>
      <w:r>
        <w:t xml:space="preserve">.</w:t>
      </w:r>
    </w:p>
    <w:p>
      <w:pPr>
        <w:pStyle w:val="BodyText"/>
      </w:pPr>
      <w:r>
        <w:t xml:space="preserve">Autohome is a debt-free, cash-piled Chinese auto-classifieds franchise being repriced as a value name because its dealer-subscription engine is sputtering through a generational shift from ICE to NEV. The franchise still earns money; the question is whether the next decade looks like Carsales.com.au with Chinese-policy beta, or like a Yellow-Pages-with-Tencent-on-the-cap-table.</w:t>
      </w:r>
    </w:p>
    <w:bookmarkStart w:id="12" w:name="strategy-verdict"/>
    <w:p>
      <w:pPr>
        <w:pStyle w:val="Heading3"/>
      </w:pPr>
      <w:r>
        <w:t xml:space="preserve">STRATEGY VERDICT</w:t>
      </w:r>
    </w:p>
    <w:p>
      <w:pPr>
        <w:pStyle w:val="FirstParagraph"/>
      </w:pPr>
      <w:r>
        <w:t xml:space="preserve">Recommendation</w:t>
      </w:r>
      <w:r>
        <w:t xml:space="preserve">Starter position, pending Gate 7 trigger</w:t>
      </w:r>
    </w:p>
    <w:p>
      <w:pPr>
        <w:pStyle w:val="BodyText"/>
      </w:pPr>
      <w:r>
        <w:t xml:space="preserve">Sizing bucket</w:t>
      </w:r>
      <w:r>
        <w:t xml:space="preserve">Starter (below "normal" $250k)</w:t>
      </w:r>
    </w:p>
    <w:p>
      <w:pPr>
        <w:pStyle w:val="BodyText"/>
      </w:pPr>
      <w:r>
        <w:t xml:space="preserve">Indicative USD</w:t>
      </w:r>
      <w:r>
        <w:t xml:space="preserve">$75,000 – $100,000</w:t>
      </w:r>
    </w:p>
    <w:p>
      <w:pPr>
        <w:pStyle w:val="BodyText"/>
      </w:pPr>
      <w:r>
        <w:t xml:space="preserve">Trigger to upsize to "normal"</w:t>
      </w:r>
      <w:r>
        <w:t xml:space="preserve">Two consecutive quarters of stabilising new-energy dealer subscription ARPU, plus Ping An / Tencent stake clarification</w:t>
      </w:r>
    </w:p>
    <w:p>
      <w:pPr>
        <w:pStyle w:val="BodyText"/>
      </w:pPr>
      <w:r>
        <w:t xml:space="preserve">Conviction index</w:t>
      </w:r>
      <w:r>
        <w:t xml:space="preserve">~85 (below 100 median)</w:t>
      </w:r>
    </w:p>
    <w:p>
      <w:pPr>
        <w:pStyle w:val="BodyText"/>
      </w:pPr>
      <w:r>
        <w:t xml:space="preserve">Primary listing for trade</w:t>
      </w:r>
      <w:r>
        <w:t xml:space="preserve">2518.HK</w:t>
      </w:r>
    </w:p>
    <w:bookmarkEnd w:id="12"/>
    <w:bookmarkStart w:id="16" w:name="the-10-framework-grid"/>
    <w:p>
      <w:pPr>
        <w:pStyle w:val="Heading2"/>
      </w:pPr>
      <w:r>
        <w:t xml:space="preserve">The 10-framework grid</w:t>
      </w:r>
    </w:p>
    <w:p>
      <w:pPr>
        <w:pStyle w:val="FirstParagraph"/>
      </w:pPr>
      <w:r>
        <w:t xml:space="preserve">1</w:t>
      </w:r>
      <w:r>
        <w:t xml:space="preserve">Power law — is the upside asymmetric?</w:t>
      </w:r>
      <w:r>
        <w:t xml:space="preserve"> </w:t>
      </w:r>
      <w:r>
        <w:t xml:space="preserve">Verdict: bounded, not power-law</w:t>
      </w:r>
    </w:p>
    <w:p>
      <w:pPr>
        <w:pStyle w:val="BodyText"/>
      </w:pPr>
      <w:r>
        <w:t xml:space="preserve">Autohome is not a power-law payoff. The Chinese passenger-vehicle market is a mature, policy-managed system; Autohome already owns a top-two position in auto verticals (alongside Bitauto / Yiche) and the platform is monetising via dealer subscriptions, leads and new-energy auto media. The total addressable transaction pool is constrained by China’s annual new-car volume, which CAAM-reported figures peg at roughly 26–27 million units in recent years (</w:t>
      </w:r>
      <w:hyperlink r:id="rId13">
        <w:r>
          <w:rPr>
            <w:rStyle w:val="Hyperlink"/>
          </w:rPr>
          <w:t xml:space="preserve">CAAM, en.caam.org.cn</w:t>
        </w:r>
      </w:hyperlink>
      <w:r>
        <w:t xml:space="preserve">). Even with successful NEV transition, the asymmetric upside scenario looks like a 2–3× re-rate over five years if dealer ARPU stabilises and used-car gains traction — that is a respectable equity return, but not a venture-style asymmetry. The thesis here is "mean reversion of a franchise" not "discovery of a new market."</w:t>
      </w:r>
    </w:p>
    <w:p>
      <w:pPr>
        <w:pStyle w:val="BodyText"/>
      </w:pPr>
      <w:r>
        <w:t xml:space="preserve">2</w:t>
      </w:r>
      <w:r>
        <w:t xml:space="preserve">CLTV:CAC and unit economics — Michael’s ≥9× bar.</w:t>
      </w:r>
      <w:r>
        <w:t xml:space="preserve"> </w:t>
      </w:r>
      <w:r>
        <w:t xml:space="preserve">Verdict: cannot confirm ≥9×</w:t>
      </w:r>
    </w:p>
    <w:p>
      <w:pPr>
        <w:pStyle w:val="BodyText"/>
      </w:pPr>
      <w:r>
        <w:t xml:space="preserve">Autohome does not disclose CLTV:CAC at a unit level. What it does disclose, in its 20-F filings on SEC EDGAR (</w:t>
      </w:r>
      <w:hyperlink r:id="rId14">
        <w:r>
          <w:rPr>
            <w:rStyle w:val="Hyperlink"/>
          </w:rPr>
          <w:t xml:space="preserve">SEC EDGAR CIK 0001527636</w:t>
        </w:r>
      </w:hyperlink>
      <w:r>
        <w:t xml:space="preserve">), is paying dealer count, media services revenue, lead-generation services revenue, and online marketplace revenue. Paying dealers were historically &gt;25,000 with annual ARPU in the high-five-figure RMB range</w:t>
      </w:r>
      <w:r>
        <w:t xml:space="preserve"> </w:t>
      </w:r>
      <w:r>
        <w:t xml:space="preserve">[unverified at FY2025 level]</w:t>
      </w:r>
      <w:r>
        <w:t xml:space="preserve">. Gross margin has stayed above 80% in recent disclosures, consistent with classifieds-platform economics. The honest verdict: contribution-margin economics look healthy, but a clean CLTV:CAC number defensible at IC level requires the Gate 7 channel-check workstream.</w:t>
      </w:r>
      <w:r>
        <w:t xml:space="preserve"> </w:t>
      </w:r>
      <w:r>
        <w:rPr>
          <w:b/>
          <w:bCs/>
        </w:rPr>
        <w:t xml:space="preserve">Provisional read: probably 5–8× on a steady-state dealer cohort, below Michael’s ≥9× "exciting" bar.</w:t>
      </w:r>
      <w:r>
        <w:t xml:space="preserve"> </w:t>
      </w:r>
      <w:r>
        <w:t xml:space="preserve">This is one reason for starter sizing.</w:t>
      </w:r>
    </w:p>
    <w:p>
      <w:pPr>
        <w:pStyle w:val="BodyText"/>
      </w:pPr>
      <w:r>
        <w:t xml:space="preserve">3</w:t>
      </w:r>
      <w:r>
        <w:t xml:space="preserve">Helmer 7 Powers — what does Autohome actually have?</w:t>
      </w:r>
      <w:r>
        <w:t xml:space="preserve"> </w:t>
      </w:r>
      <w:r>
        <w:t xml:space="preserve">Verdict: 2 powers (Branding + Cornered Resource), weakening</w:t>
      </w:r>
    </w:p>
    <w:p>
      <w:pPr>
        <w:pStyle w:val="BodyText"/>
      </w:pPr>
      <w:r>
        <w:t xml:space="preserve">Reading Autohome through the Helmer lens: (i)</w:t>
      </w:r>
      <w:r>
        <w:t xml:space="preserve"> </w:t>
      </w:r>
      <w:r>
        <w:rPr>
          <w:i/>
          <w:iCs/>
        </w:rPr>
        <w:t xml:space="preserve">Network economies</w:t>
      </w:r>
      <w:r>
        <w:t xml:space="preserve"> </w:t>
      </w:r>
      <w:r>
        <w:t xml:space="preserve">— weak; auto classifieds is a hub-and-spoke model, dealers list, consumers browse, but there is no compounding cross-side density once you cross the threshold the incumbents already crossed. (ii)</w:t>
      </w:r>
      <w:r>
        <w:t xml:space="preserve"> </w:t>
      </w:r>
      <w:r>
        <w:rPr>
          <w:i/>
          <w:iCs/>
        </w:rPr>
        <w:t xml:space="preserve">Counter-positioning</w:t>
      </w:r>
      <w:r>
        <w:t xml:space="preserve"> </w:t>
      </w:r>
      <w:r>
        <w:t xml:space="preserve">— none against new-energy brand DTC channels (NIO, Li Auto, BYD), which can in principle bypass classifieds altogether. (iii)</w:t>
      </w:r>
      <w:r>
        <w:t xml:space="preserve"> </w:t>
      </w:r>
      <w:r>
        <w:rPr>
          <w:i/>
          <w:iCs/>
        </w:rPr>
        <w:t xml:space="preserve">Scale economies</w:t>
      </w:r>
      <w:r>
        <w:t xml:space="preserve"> </w:t>
      </w:r>
      <w:r>
        <w:t xml:space="preserve">— modest, mostly in editorial and content production. (iv)</w:t>
      </w:r>
      <w:r>
        <w:t xml:space="preserve"> </w:t>
      </w:r>
      <w:r>
        <w:rPr>
          <w:i/>
          <w:iCs/>
        </w:rPr>
        <w:t xml:space="preserve">Switching costs</w:t>
      </w:r>
      <w:r>
        <w:t xml:space="preserve"> </w:t>
      </w:r>
      <w:r>
        <w:t xml:space="preserve">— low for consumers, moderate for dealers via CRM integration. (v)</w:t>
      </w:r>
      <w:r>
        <w:t xml:space="preserve"> </w:t>
      </w:r>
      <w:r>
        <w:rPr>
          <w:i/>
          <w:iCs/>
        </w:rPr>
        <w:t xml:space="preserve">Branding</w:t>
      </w:r>
      <w:r>
        <w:t xml:space="preserve"> </w:t>
      </w:r>
      <w:r>
        <w:t xml:space="preserve">— real; Autohome is a top-of-mind destination in Chinese auto research</w:t>
      </w:r>
      <w:r>
        <w:t xml:space="preserve"> </w:t>
      </w:r>
      <w:r>
        <w:t xml:space="preserve">[Chinese consumer panel data not re-verified at preview stage]</w:t>
      </w:r>
      <w:r>
        <w:t xml:space="preserve">. (vi)</w:t>
      </w:r>
      <w:r>
        <w:t xml:space="preserve"> </w:t>
      </w:r>
      <w:r>
        <w:rPr>
          <w:i/>
          <w:iCs/>
        </w:rPr>
        <w:t xml:space="preserve">Cornered resource</w:t>
      </w:r>
      <w:r>
        <w:t xml:space="preserve"> </w:t>
      </w:r>
      <w:r>
        <w:t xml:space="preserve">— partial; Ping An-anchored dataset on Chinese auto consumer behaviour. (vii)</w:t>
      </w:r>
      <w:r>
        <w:t xml:space="preserve"> </w:t>
      </w:r>
      <w:r>
        <w:rPr>
          <w:i/>
          <w:iCs/>
        </w:rPr>
        <w:t xml:space="preserve">Process power</w:t>
      </w:r>
      <w:r>
        <w:t xml:space="preserve"> </w:t>
      </w:r>
      <w:r>
        <w:t xml:space="preserve">— not evidenced.</w:t>
      </w:r>
      <w:r>
        <w:t xml:space="preserve"> </w:t>
      </w:r>
      <w:r>
        <w:rPr>
          <w:b/>
          <w:bCs/>
        </w:rPr>
        <w:t xml:space="preserve">Two real powers, both eroding under NEV disruption. Not a fortress.</w:t>
      </w:r>
    </w:p>
    <w:p>
      <w:pPr>
        <w:pStyle w:val="BodyText"/>
      </w:pPr>
      <w:r>
        <w:t xml:space="preserve">4</w:t>
      </w:r>
      <w:r>
        <w:t xml:space="preserve">AI Maturity Level (1–5) — where on the curve?</w:t>
      </w:r>
      <w:r>
        <w:t xml:space="preserve"> </w:t>
      </w:r>
      <w:r>
        <w:t xml:space="preserve">Verdict: Level 2, with stated Level-3 ambition</w:t>
      </w:r>
    </w:p>
    <w:p>
      <w:pPr>
        <w:pStyle w:val="BodyText"/>
      </w:pPr>
      <w:r>
        <w:t xml:space="preserve">Autohome has publicly discussed AI-assisted content generation, AI-powered dealer matching, and a </w:t>
      </w:r>
      <w:r>
        <w:rPr>
          <w:rFonts w:hint="eastAsia"/>
        </w:rPr>
        <w:t xml:space="preserve">"智能"</w:t>
      </w:r>
      <w:r>
        <w:t xml:space="preserve"> (intelligent) showroom product across its investor communications</w:t>
      </w:r>
      <w:r>
        <w:t xml:space="preserve"> </w:t>
      </w:r>
      <w:r>
        <w:t xml:space="preserve">[specific filing citation deferred to Gate 7]</w:t>
      </w:r>
      <w:r>
        <w:t xml:space="preserve">. None of this rises above Level 2 on the Spock AI-maturity ladder — AI used to improve existing workflows (lead routing, content recommendation) rather than to create a new product surface or to materially shift unit economics. The company is not a tool-maker; it is a tool-user, and a relatively cautious one given Chinese regulatory constraints on generative content.</w:t>
      </w:r>
      <w:r>
        <w:t xml:space="preserve"> </w:t>
      </w:r>
      <w:r>
        <w:rPr>
          <w:b/>
          <w:bCs/>
        </w:rPr>
        <w:t xml:space="preserve">For comparison, Carsales.com.au and CarGurus are arguably at Level 2–3 on the same ladder. Autohome is not behind global peers, but it is not ahead.</w:t>
      </w:r>
      <w:r>
        <w:t xml:space="preserve"> </w:t>
      </w:r>
      <w:r>
        <w:t xml:space="preserve">AI is not the bull case here; durable dealer monetisation is.</w:t>
      </w:r>
    </w:p>
    <w:p>
      <w:pPr>
        <w:pStyle w:val="BodyText"/>
      </w:pPr>
      <w:r>
        <w:t xml:space="preserve">5</w:t>
      </w:r>
      <w:r>
        <w:t xml:space="preserve">Sizing bucket — high-conviction / normal / punt / starter.</w:t>
      </w:r>
      <w:r>
        <w:t xml:space="preserve"> </w:t>
      </w:r>
      <w:r>
        <w:t xml:space="preserve">Verdict: starter</w:t>
      </w:r>
    </w:p>
    <w:p>
      <w:pPr>
        <w:pStyle w:val="BodyText"/>
      </w:pPr>
      <w:r>
        <w:t xml:space="preserve">Starter, not normal. The starter classification reflects three deductions, not one: (i) China-policy beta with no domestic hedge in Chronos’s listed book makes any single Chinese name a concentrated tail-risk position; (ii) the dealer-subscription engine is in observable decline, not yet stabilised — we want to see the trough rather than guess at it; (iii) the Ping An / Tencent shareholder dynamic</w:t>
      </w:r>
      <w:r>
        <w:t xml:space="preserve"> </w:t>
      </w:r>
      <w:r>
        <w:t xml:space="preserve">[Tencent stake size and intent not re-verified at preview stage]</w:t>
      </w:r>
      <w:r>
        <w:t xml:space="preserve"> </w:t>
      </w:r>
      <w:r>
        <w:t xml:space="preserve">creates an overhang that is hard to underwrite without primary-source HKEX disclosure work. Indicative position: USD 75,000–100,000. Upsize trigger: two consecutive quarterly disclosures showing stabilising NEV dealer ARPU plus clarity on strategic-shareholder posture. This is not a "punt"; the franchise is real. It is a position that earns its way to "normal."</w:t>
      </w:r>
    </w:p>
    <w:p>
      <w:pPr>
        <w:pStyle w:val="BodyText"/>
      </w:pPr>
      <w:r>
        <w:t xml:space="preserve">6</w:t>
      </w:r>
      <w:r>
        <w:t xml:space="preserve">Bull / Base / Bear scenarios — with explicit probabilities.</w:t>
      </w:r>
      <w:r>
        <w:t xml:space="preserve"> </w:t>
      </w:r>
      <w:r>
        <w:t xml:space="preserve">Verdict: base-weighted</w:t>
      </w:r>
    </w:p>
    <w:p>
      <w:pPr>
        <w:pStyle w:val="BodyText"/>
      </w:pPr>
      <w:r>
        <w:rPr>
          <w:b/>
          <w:bCs/>
        </w:rPr>
        <w:t xml:space="preserve">Bull (20%):</w:t>
      </w:r>
      <w:r>
        <w:t xml:space="preserve"> </w:t>
      </w:r>
      <w:r>
        <w:t xml:space="preserve">NEV dealer subscriptions stabilise by FY27; used-car business compounds at 15–20% as China’s used-car penetration catches up to OECD averages</w:t>
      </w:r>
      <w:r>
        <w:t xml:space="preserve"> </w:t>
      </w:r>
      <w:r>
        <w:t xml:space="preserve">[OECD used-vs-new ratio for China context, directional]</w:t>
      </w:r>
      <w:r>
        <w:t xml:space="preserve">; Ping An / Tencent resolve into a clean strategic posture; capital return accelerates given net-cash balance sheet. Two- to three-bagger over five years.</w:t>
      </w:r>
      <w:r>
        <w:t xml:space="preserve"> </w:t>
      </w:r>
      <w:r>
        <w:rPr>
          <w:b/>
          <w:bCs/>
        </w:rPr>
        <w:t xml:space="preserve">Base (55%):</w:t>
      </w:r>
      <w:r>
        <w:t xml:space="preserve"> </w:t>
      </w:r>
      <w:r>
        <w:t xml:space="preserve">Dealer revenues drift lower for 4–6 quarters, then stabilise at a lower plateau; the cash hoard supports buybacks and dividends; the stock is dead money for a year and then re-rates modestly. 20–40% total return over three years.</w:t>
      </w:r>
      <w:r>
        <w:t xml:space="preserve"> </w:t>
      </w:r>
      <w:r>
        <w:rPr>
          <w:b/>
          <w:bCs/>
        </w:rPr>
        <w:t xml:space="preserve">Bear (25%):</w:t>
      </w:r>
      <w:r>
        <w:t xml:space="preserve"> </w:t>
      </w:r>
      <w:r>
        <w:t xml:space="preserve">Chinese-policy escalation, US delisting pressure on the ADR, or a Tencent stake action triggers a discount-widening event. Capital impaired by 30–50% before franchise value reasserts. Probability-weighted expected return is positive but with a fat left tail — consistent with starter sizing.</w:t>
      </w:r>
    </w:p>
    <w:p>
      <w:pPr>
        <w:pStyle w:val="BodyText"/>
      </w:pPr>
      <w:r>
        <w:t xml:space="preserve">7</w:t>
      </w:r>
      <w:r>
        <w:t xml:space="preserve">Listed-vs-private divergence — does this add diversity?</w:t>
      </w:r>
      <w:r>
        <w:t xml:space="preserve"> </w:t>
      </w:r>
      <w:r>
        <w:t xml:space="preserve">Verdict: yes, materially</w:t>
      </w:r>
    </w:p>
    <w:p>
      <w:pPr>
        <w:pStyle w:val="BodyText"/>
      </w:pPr>
      <w:r>
        <w:t xml:space="preserve">Chronos’s private book is concentrated in African and emerging-Asia growth equity. Autohome adds three distinct exposures the private book does not carry: (i) Chinese consumer cyclicality — directly observable, tradeable, and reversible; (ii) a debt-free balance sheet with material net cash, which behaves entirely differently from the levered growth-equity profile of the private positions; (iii) a mature-platform earnings stream rather than a TAM-capture growth story. This is genuine diversification — not just a different ticker but a different return-generating mechanism. The listed-vs-private test is therefore satisfied.</w:t>
      </w:r>
      <w:r>
        <w:t xml:space="preserve"> </w:t>
      </w:r>
      <w:r>
        <w:rPr>
          <w:b/>
          <w:bCs/>
        </w:rPr>
        <w:t xml:space="preserve">This is one of the strongest arguments for taking even a starter position</w:t>
      </w:r>
      <w:r>
        <w:t xml:space="preserve">: it expands the Chronos book’s opportunity set into a regime (mature platforms, capital return, valley-of-the-cycle re-rating) that the private book structurally cannot access.</w:t>
      </w:r>
    </w:p>
    <w:p>
      <w:pPr>
        <w:pStyle w:val="BodyText"/>
      </w:pPr>
      <w:r>
        <w:t xml:space="preserve">8</w:t>
      </w:r>
      <w:r>
        <w:t xml:space="preserve">Geographic bias — China-only. Defend or downgrade.</w:t>
      </w:r>
      <w:r>
        <w:t xml:space="preserve"> </w:t>
      </w:r>
      <w:r>
        <w:t xml:space="preserve">Verdict: defended — but caps position size</w:t>
      </w:r>
    </w:p>
    <w:p>
      <w:pPr>
        <w:pStyle w:val="BodyText"/>
      </w:pPr>
      <w:r>
        <w:t xml:space="preserve">China-only exposure is the right question to put under pressure. The defence: (i) Hong Kong listing (2518.HK) materially reduces US-delisting tail risk compared to the ADR (</w:t>
      </w:r>
      <w:hyperlink r:id="rId15">
        <w:r>
          <w:rPr>
            <w:rStyle w:val="Hyperlink"/>
          </w:rPr>
          <w:t xml:space="preserve">HKEX news, hkexnews.hk</w:t>
        </w:r>
      </w:hyperlink>
      <w:r>
        <w:t xml:space="preserve">); (ii) Autohome’s revenue is 100% domestic-RMB, so currency-translation risk is matched by RMB-denominated cash holdings; (iii) the franchise is policy-aligned — auto consumption is a stated Chinese policy priority, not a target. The downgrade pressure: a single Chinese name in a book with no other Chinese exposure is a concentrated geopolitical bet, and the partner discipline is to size for the worst regime, not the median one. Net: defended at</w:t>
      </w:r>
      <w:r>
        <w:t xml:space="preserve"> </w:t>
      </w:r>
      <w:r>
        <w:rPr>
          <w:i/>
          <w:iCs/>
        </w:rPr>
        <w:t xml:space="preserve">starter</w:t>
      </w:r>
      <w:r>
        <w:t xml:space="preserve">, would require a portfolio-construction conversation about overall China exposure before scaling to "normal." Standing instruction on Chinese names: no upsizing without partner agreement on book-level geographic mix.</w:t>
      </w:r>
    </w:p>
    <w:p>
      <w:pPr>
        <w:pStyle w:val="BodyText"/>
      </w:pPr>
      <w:r>
        <w:t xml:space="preserve">9</w:t>
      </w:r>
      <w:r>
        <w:t xml:space="preserve">Trim discipline — any trim instinct?</w:t>
      </w:r>
      <w:r>
        <w:t xml:space="preserve"> </w:t>
      </w:r>
      <w:r>
        <w:t xml:space="preserve">Verdict: none yet — pre-entry</w:t>
      </w:r>
    </w:p>
    <w:p>
      <w:pPr>
        <w:pStyle w:val="BodyText"/>
      </w:pPr>
      <w:r>
        <w:t xml:space="preserve">Trim discipline does not bite at this stage because there is no position to trim. The relevant adjacent question is: at what level would we trim if we sized up? Working answer: if Autohome trades at &gt;15× trailing earnings ex-cash on a stabilised dealer base, that would be a "normal" peer multiple for global auto classifieds (Carsales, Auto Trader UK) and would mark the cyclical re-rate as substantially complete. Trim back to half-weight at that level; trim to zero at &gt;20× trailing ex-cash. The current EV/EBITDA multiple, depending on how one treats the cash and the dealer-subscription decline, sits well below that</w:t>
      </w:r>
      <w:r>
        <w:t xml:space="preserve"> </w:t>
      </w:r>
      <w:r>
        <w:t xml:space="preserve">[multiple ranges not re-extracted from primary filings at preview stage]</w:t>
      </w:r>
      <w:r>
        <w:t xml:space="preserve">. Trim discipline is a future problem. The current question is entry, not exit.</w:t>
      </w:r>
    </w:p>
    <w:p>
      <w:pPr>
        <w:pStyle w:val="BodyText"/>
      </w:pPr>
      <w:r>
        <w:t xml:space="preserve">10</w:t>
      </w:r>
      <w:r>
        <w:t xml:space="preserve">Disagreement with Virtual IC — placeholder.</w:t>
      </w:r>
      <w:r>
        <w:t xml:space="preserve"> </w:t>
      </w:r>
      <w:r>
        <w:t xml:space="preserve">Verdict: not applicable at preview stage</w:t>
      </w:r>
    </w:p>
    <w:p>
      <w:pPr>
        <w:pStyle w:val="BodyText"/>
      </w:pPr>
      <w:r>
        <w:t xml:space="preserve">The Virtual IC simulation (Gate 9) has not been run for this name. In the full pipeline, this is where the four partner personas — allocator, operator, fundamentalist, technologist — surface the disagreement vectors that the Strategy synthesis tends to under-weight. Without that pass, the Strategy verdict here is single-perspective and should be treated accordingly.</w:t>
      </w:r>
      <w:r>
        <w:t xml:space="preserve"> </w:t>
      </w:r>
      <w:r>
        <w:rPr>
          <w:b/>
          <w:bCs/>
        </w:rPr>
        <w:t xml:space="preserve">The disagreement to anticipate, based on past Virtual IC patterns:</w:t>
      </w:r>
      <w:r>
        <w:t xml:space="preserve"> </w:t>
      </w:r>
      <w:r>
        <w:t xml:space="preserve">the technologist persona will challenge the AI Maturity verdict harder than the framework allows, arguing that classifieds platforms without a real AI surface are walking dead. The allocator persona will challenge the geographic bias more harshly, arguing that "diversification into China" is an oxymoron in 2026. Both challenges are credible. Both reinforce the starter-sizing recommendation rather than overturn it.</w:t>
      </w:r>
    </w:p>
    <w:bookmarkEnd w:id="16"/>
    <w:bookmarkStart w:id="17" w:name="headline-thesis"/>
    <w:p>
      <w:pPr>
        <w:pStyle w:val="Heading2"/>
      </w:pPr>
      <w:r>
        <w:t xml:space="preserve">Headline thesis</w:t>
      </w:r>
    </w:p>
    <w:p>
      <w:pPr>
        <w:pStyle w:val="FirstParagraph"/>
      </w:pPr>
      <w:r>
        <w:t xml:space="preserve">Autohome is a franchise being valued as if it were terminally impaired by China’s ICE-to-NEV transition. The market is treating the dealer-subscription decline as structural and irreversible. The Strategy read is that this is too neat. Dealer subscriptions are declining because the dealer base itself is restructuring — legacy ICE dealers consolidating, new-energy dealers building out — not because the channel has lost its function. Auto consumers still research before they buy, and in China that research disproportionately happens on Autohome and Bitauto. The franchise is debt-free, cash-rich, and dominant in its niche. The risk is not that Autohome stops mattering; it is that Autohome matters at lower ARPU and lower take-rate than the legacy model implied. A position sized as a starter, with explicit upsize triggers tied to dealer-ARPU stabilisation and Tencent / Ping An clarity, captures the asymmetry of "valley of the cycle in a still-relevant franchise" without paying for clarity we do not yet have. The Gate 7 deep workstreams — primary-source IPO/cap-table grounding, dealer voice-of-customer, scenario derivation — should run before the position scales beyond starter.</w:t>
      </w:r>
    </w:p>
    <w:bookmarkEnd w:id="17"/>
    <w:bookmarkStart w:id="18" w:name="bear-case-read-this-before-sizing-up"/>
    <w:p>
      <w:pPr>
        <w:pStyle w:val="Heading2"/>
      </w:pPr>
      <w:r>
        <w:t xml:space="preserve">Bear case — read this before sizing up</w:t>
      </w:r>
    </w:p>
    <w:p>
      <w:pPr>
        <w:pStyle w:val="FirstParagraph"/>
      </w:pPr>
      <w:r>
        <w:rPr>
          <w:b/>
          <w:bCs/>
        </w:rPr>
        <w:t xml:space="preserve">The bear case is not a single risk. It is three correlated risks that share a single trigger: an escalation in US-China policy posture.</w:t>
      </w:r>
    </w:p>
    <w:p>
      <w:pPr>
        <w:pStyle w:val="BodyText"/>
      </w:pPr>
      <w:r>
        <w:rPr>
          <w:i/>
          <w:iCs/>
        </w:rPr>
        <w:t xml:space="preserve">One. China geopolitical risk.</w:t>
      </w:r>
      <w:r>
        <w:t xml:space="preserve"> </w:t>
      </w:r>
      <w:r>
        <w:t xml:space="preserve">A US administration that returns to maximum-pressure China posture — ADR delisting threats, audit-disclosure escalation, sanctions on Chinese tech companies — would compress the Autohome ADR independently of its operating performance. The 2518.HK listing on HKEX mitigates this but does not eliminate it; Hong Kong-listed Chinese names traded at material discounts to fundamentals through the 2021–2023 stress window (</w:t>
      </w:r>
      <w:hyperlink r:id="rId15">
        <w:r>
          <w:rPr>
            <w:rStyle w:val="Hyperlink"/>
          </w:rPr>
          <w:t xml:space="preserve">HKEX news, hkexnews.hk</w:t>
        </w:r>
      </w:hyperlink>
      <w:r>
        <w:t xml:space="preserve">).</w:t>
      </w:r>
    </w:p>
    <w:p>
      <w:pPr>
        <w:pStyle w:val="BodyText"/>
      </w:pPr>
      <w:r>
        <w:rPr>
          <w:i/>
          <w:iCs/>
        </w:rPr>
        <w:t xml:space="preserve">Two. EV transition impact on dealer subscriptions.</w:t>
      </w:r>
      <w:r>
        <w:t xml:space="preserve"> </w:t>
      </w:r>
      <w:r>
        <w:t xml:space="preserve">The structural concern is not that EVs reduce car-buying but that EVs reduce the number of distinct dealer entities — NEV brands like NIO, Li Auto, and BYD increasingly use direct-to-consumer flagship showrooms rather than franchised dealer networks. Each dealer that converts to a brand-owned NEV showroom is potentially a paying dealer Autohome loses. This dynamic is observable today and the deceleration in dealer count</w:t>
      </w:r>
      <w:r>
        <w:t xml:space="preserve"> </w:t>
      </w:r>
      <w:r>
        <w:t xml:space="preserve">[dealer-count trajectory not re-extracted from primary filings at preview stage]</w:t>
      </w:r>
      <w:r>
        <w:t xml:space="preserve"> </w:t>
      </w:r>
      <w:r>
        <w:t xml:space="preserve">is consistent with it.</w:t>
      </w:r>
    </w:p>
    <w:p>
      <w:pPr>
        <w:pStyle w:val="BodyText"/>
      </w:pPr>
      <w:r>
        <w:rPr>
          <w:i/>
          <w:iCs/>
        </w:rPr>
        <w:t xml:space="preserve">Three. Tencent / Ping An stake dynamics.</w:t>
      </w:r>
      <w:r>
        <w:t xml:space="preserve"> </w:t>
      </w:r>
      <w:r>
        <w:t xml:space="preserve">Autohome’s controlling-shareholder history runs through Telstra, Autohome management, Ping An, and (per public reporting) Tencent involvement</w:t>
      </w:r>
      <w:r>
        <w:t xml:space="preserve"> </w:t>
      </w:r>
      <w:r>
        <w:t xml:space="preserve">[exact current cap-table not re-verified at preview stage]</w:t>
      </w:r>
      <w:r>
        <w:t xml:space="preserve">. A strategic-stake action — a sale, a buyback, a Tencent escalation — could rerate the equity sharply in either direction without warning. This is the kind of overhang that mature-platform value names carry, and it is the single most under-priced risk in a starter-position-sized entry.</w:t>
      </w:r>
    </w:p>
    <w:p>
      <w:pPr>
        <w:pStyle w:val="BodyText"/>
      </w:pPr>
      <w:r>
        <w:rPr>
          <w:b/>
          <w:bCs/>
        </w:rPr>
        <w:t xml:space="preserve">The honest bear-case scenario:</w:t>
      </w:r>
      <w:r>
        <w:t xml:space="preserve"> </w:t>
      </w:r>
      <w:r>
        <w:t xml:space="preserve">dealer subs decline another 20–30% over two years; the multiple compresses despite the cash cushion; a Tencent action coincides with a geopolitical event; the stock is down 40–50% from current levels before franchise value reasserts. This is the 25% bear outcome. It is survivable at starter size. It is not survivable at "normal."</w:t>
      </w:r>
    </w:p>
    <w:bookmarkEnd w:id="18"/>
    <w:bookmarkStart w:id="19" w:name="what-would-change-the-verdict"/>
    <w:p>
      <w:pPr>
        <w:pStyle w:val="Heading2"/>
      </w:pPr>
      <w:r>
        <w:t xml:space="preserve">What would change the verdict</w:t>
      </w:r>
    </w:p>
    <w:p>
      <w:pPr>
        <w:pStyle w:val="FirstParagraph"/>
      </w:pPr>
      <w:r>
        <w:t xml:space="preserve">Three things, in order of weight. First:</w:t>
      </w:r>
      <w:r>
        <w:t xml:space="preserve"> </w:t>
      </w:r>
      <w:r>
        <w:rPr>
          <w:b/>
          <w:bCs/>
        </w:rPr>
        <w:t xml:space="preserve">two consecutive quarterly disclosures showing NEV-dealer ARPU stabilisation</w:t>
      </w:r>
      <w:r>
        <w:t xml:space="preserve">, drawn from primary-source 20-F or HKEX annual filings, not press summaries. Second:</w:t>
      </w:r>
      <w:r>
        <w:t xml:space="preserve"> </w:t>
      </w:r>
      <w:r>
        <w:rPr>
          <w:b/>
          <w:bCs/>
        </w:rPr>
        <w:t xml:space="preserve">cap-table clarity</w:t>
      </w:r>
      <w:r>
        <w:t xml:space="preserve"> </w:t>
      </w:r>
      <w:r>
        <w:t xml:space="preserve">— a clean read on Ping An’s and (if confirmed) Tencent’s stake size, voting rights, and any standstill or escrow constraints, sourced from primary HKEX disclosures. Third:</w:t>
      </w:r>
      <w:r>
        <w:t xml:space="preserve"> </w:t>
      </w:r>
      <w:r>
        <w:rPr>
          <w:b/>
          <w:bCs/>
        </w:rPr>
        <w:t xml:space="preserve">a portfolio-construction conversation</w:t>
      </w:r>
      <w:r>
        <w:t xml:space="preserve"> </w:t>
      </w:r>
      <w:r>
        <w:t xml:space="preserve">at the partner level about Chronos’s aggregate China exposure across the listed and private books before any upsize above starter. If all three resolve favourably, Autohome moves to "normal" sizing (USD ~250,000) and a full Gate 7 deep-research pack should be triggered. If any one resolves unfavourably — particularly the cap-table dynamic — the starter position should be re-evaluated for exit rather than for size.</w:t>
      </w:r>
    </w:p>
    <w:bookmarkEnd w:id="19"/>
    <w:bookmarkStart w:id="20" w:name="X86717233196b77636a7f18d89797ae56af44bdd"/>
    <w:p>
      <w:pPr>
        <w:pStyle w:val="Heading2"/>
      </w:pPr>
      <w:r>
        <w:t xml:space="preserve">What the Gate 7 deep-research pack must actually verify</w:t>
      </w:r>
    </w:p>
    <w:p>
      <w:pPr>
        <w:pStyle w:val="FirstParagraph"/>
      </w:pPr>
      <w:r>
        <w:t xml:space="preserve">The preview rests on three load-bearing factual claims that have not been verified to primary-source standard. (i)</w:t>
      </w:r>
      <w:r>
        <w:t xml:space="preserve"> </w:t>
      </w:r>
      <w:r>
        <w:rPr>
          <w:b/>
          <w:bCs/>
        </w:rPr>
        <w:t xml:space="preserve">Dealer count and dealer ARPU trajectory</w:t>
      </w:r>
      <w:r>
        <w:t xml:space="preserve"> </w:t>
      </w:r>
      <w:r>
        <w:t xml:space="preserve">— current trajectory inferred from press coverage and prior-period 20-F disclosures, not re-extracted at preview stage. (ii)</w:t>
      </w:r>
      <w:r>
        <w:t xml:space="preserve"> </w:t>
      </w:r>
      <w:r>
        <w:rPr>
          <w:b/>
          <w:bCs/>
        </w:rPr>
        <w:t xml:space="preserve">Tencent stake</w:t>
      </w:r>
      <w:r>
        <w:t xml:space="preserve"> </w:t>
      </w:r>
      <w:r>
        <w:t xml:space="preserve">— presence and size</w:t>
      </w:r>
      <w:r>
        <w:t xml:space="preserve"> </w:t>
      </w:r>
      <w:r>
        <w:t xml:space="preserve">[unverified]</w:t>
      </w:r>
      <w:r>
        <w:t xml:space="preserve">; this needs a clean HKEX SDI / 13G chain. (iii)</w:t>
      </w:r>
      <w:r>
        <w:t xml:space="preserve"> </w:t>
      </w:r>
      <w:r>
        <w:rPr>
          <w:b/>
          <w:bCs/>
        </w:rPr>
        <w:t xml:space="preserve">NEV-dealer mix</w:t>
      </w:r>
      <w:r>
        <w:t xml:space="preserve"> </w:t>
      </w:r>
      <w:r>
        <w:t xml:space="preserve">— how much of the dealer-subscription decline is ICE-dealer consolidation versus NEV brands skipping classifieds entirely. The third question is the single most important one to answer before sizing up; it determines whether the bear-case decline is cyclical (dealers consolidate, then stabilise) or structural (the channel is being disintermediated by brand-DTC). Without that distinction, the Strategy verdict is provisional regardless of how clean the cash balance looks.</w:t>
      </w:r>
    </w:p>
    <w:bookmarkEnd w:id="20"/>
    <w:bookmarkStart w:id="21" w:name="the-bottom-line"/>
    <w:p>
      <w:pPr>
        <w:pStyle w:val="Heading2"/>
      </w:pPr>
      <w:r>
        <w:t xml:space="preserve">The bottom line</w:t>
      </w:r>
    </w:p>
    <w:p>
      <w:pPr>
        <w:pStyle w:val="FirstParagraph"/>
      </w:pPr>
      <w:r>
        <w:t xml:space="preserve">This is a starter position in a real franchise that is being repriced for a cycle valley. The cash balance protects the downside; the dealer-channel question caps the upside; the geopolitical overhang sizes the position. The right move is to take the starter, run the Gate 7 workstreams, and let the position earn its way to "normal" rather than guess. The right thing not to do is dismiss it as "a Chinese classifieds name" and miss the listed-vs-private diversification benefit, which is the strongest single argument in the file. Indicative ticket: USD 75,000–100,000 in 2518.HK. Re-review on the next quarterly disclosure, with the explicit upsize criteria above.</w:t>
      </w:r>
    </w:p>
    <w:p>
      <w:pPr>
        <w:pStyle w:val="BodyText"/>
      </w:pPr>
      <w:r>
        <w:t xml:space="preserve">Generated 28 May 2026 · v5 Strategy preview · Spock v4 listed-eq pipeline.</w:t>
      </w:r>
      <w:r>
        <w:t xml:space="preserve"> </w:t>
      </w:r>
      <w:r>
        <w:t xml:space="preserve">Preview only — Gate 7 deep workstreams not run; primary-source verifier pair not applied; mechanical invariants not checked. Treat as directional.</w:t>
      </w:r>
      <w:r>
        <w:t xml:space="preserve"> </w:t>
      </w:r>
      <w:hyperlink r:id="rId14">
        <w:r>
          <w:rPr>
            <w:rStyle w:val="Hyperlink"/>
          </w:rPr>
          <w:t xml:space="preserve">SEC EDGAR CIK 0001527636</w:t>
        </w:r>
      </w:hyperlink>
      <w:r>
        <w:t xml:space="preserve"> </w:t>
      </w:r>
      <w:r>
        <w:t xml:space="preserve">·</w:t>
      </w:r>
      <w:r>
        <w:t xml:space="preserve"> </w:t>
      </w:r>
      <w:hyperlink r:id="rId15">
        <w:r>
          <w:rPr>
            <w:rStyle w:val="Hyperlink"/>
          </w:rPr>
          <w:t xml:space="preserve">HKEX news</w:t>
        </w:r>
      </w:hyperlink>
      <w:r>
        <w:t xml:space="preserve"> </w:t>
      </w:r>
      <w:r>
        <w:t xml:space="preserve">·</w:t>
      </w:r>
      <w:r>
        <w:t xml:space="preserve"> </w:t>
      </w:r>
      <w:hyperlink r:id="rId13">
        <w:r>
          <w:rPr>
            <w:rStyle w:val="Hyperlink"/>
          </w:rPr>
          <w:t xml:space="preserve">CAAM</w:t>
        </w:r>
      </w:hyperlink>
      <w:r>
        <w:t xml:space="preserv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en.caam.org.cn/" TargetMode="External" /><Relationship Type="http://schemas.openxmlformats.org/officeDocument/2006/relationships/hyperlink" Id="rId15" Target="https://www.hkexnews.hk/" TargetMode="External" /><Relationship Type="http://schemas.openxmlformats.org/officeDocument/2006/relationships/hyperlink" Id="rId14" Target="https://www.sec.gov/cgi-bin/browse-edgar?action=getcompany&amp;CIK=0001527636" TargetMode="External" /><Relationship Type="http://schemas.openxmlformats.org/officeDocument/2006/relationships/hyperlink" Id="rId10" Target="strategy-preview-28-may-2026.docx" TargetMode="External" /><Relationship Type="http://schemas.openxmlformats.org/officeDocument/2006/relationships/hyperlink" Id="rId9" Target="strategy-preview-28-may-2026.pdf" TargetMode="External" /></Relationships>
</file>

<file path=word/_rels/footnotes.xml.rels><?xml version="1.0" encoding="UTF-8"?><Relationships xmlns="http://schemas.openxmlformats.org/package/2006/relationships"><Relationship Type="http://schemas.openxmlformats.org/officeDocument/2006/relationships/hyperlink" Id="rId13" Target="http://en.caam.org.cn/" TargetMode="External" /><Relationship Type="http://schemas.openxmlformats.org/officeDocument/2006/relationships/hyperlink" Id="rId15" Target="https://www.hkexnews.hk/" TargetMode="External" /><Relationship Type="http://schemas.openxmlformats.org/officeDocument/2006/relationships/hyperlink" Id="rId14" Target="https://www.sec.gov/cgi-bin/browse-edgar?action=getcompany&amp;CIK=0001527636" TargetMode="External" /><Relationship Type="http://schemas.openxmlformats.org/officeDocument/2006/relationships/hyperlink" Id="rId10" Target="strategy-preview-28-may-2026.docx" TargetMode="External" /><Relationship Type="http://schemas.openxmlformats.org/officeDocument/2006/relationships/hyperlink" Id="rId9" Target="strategy-preview-28-may-202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Autohome (2518.HK) — Strategy Preview</dc:title>
  <dc:creator/>
  <dc:language>en</dc:language>
  <cp:keywords/>
  <dcterms:created xsi:type="dcterms:W3CDTF">2026-05-28T06:36:32Z</dcterms:created>
  <dcterms:modified xsi:type="dcterms:W3CDTF">2026-05-28T06:36:32Z</dcterms:modified>
</cp:coreProperties>
</file>

<file path=docProps/custom.xml><?xml version="1.0" encoding="utf-8"?>
<Properties xmlns="http://schemas.openxmlformats.org/officeDocument/2006/custom-properties" xmlns:vt="http://schemas.openxmlformats.org/officeDocument/2006/docPropsVTypes"/>
</file>