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Strategy Verdict — MercadoLibre (MELI.US) · Chronos Memos</w:t>
      </w:r>
    </w:p>
    <w:p>
      <w:pPr>
        <w:pStyle w:val="FirstParagraph"/>
      </w:pPr>
    </w:p>
    <w:p>
      <w:pPr>
        <w:pStyle w:val="BodyText"/>
      </w:pPr>
      <w:hyperlink r:id="rId9">
        <w:r>
          <w:rPr>
            <w:rStyle w:val="Hyperlink"/>
          </w:rPr>
          <w:t xml:space="preserve">PDF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Word</w:t>
        </w:r>
      </w:hyperlink>
    </w:p>
    <w:p>
      <w:pPr>
        <w:pStyle w:val="BodyText"/>
      </w:pPr>
      <w:r>
        <w:t xml:space="preserve">Google Docs</w:t>
      </w:r>
    </w:p>
    <w:bookmarkStart w:id="11" w:name="spock-gdocs-tip"/>
    <w:p>
      <w:pPr>
        <w:pStyle w:val="BodyText"/>
      </w:pPr>
      <w:r>
        <w:t xml:space="preserve">×</w:t>
      </w:r>
      <w:r>
        <w:t xml:space="preserve"> </w:t>
      </w:r>
      <w:r>
        <w:rPr>
          <w:b/>
          <w:bCs/>
        </w:rPr>
        <w:t xml:space="preserve">Open in Google Docs</w:t>
      </w:r>
      <w:r>
        <w:br/>
      </w:r>
      <w:r>
        <w:t xml:space="preserve">Download the Word file, drag-drop it into Google Drive, then right-click →</w:t>
      </w:r>
      <w:r>
        <w:t xml:space="preserve"> </w:t>
      </w:r>
      <w:r>
        <w:rPr>
          <w:i/>
          <w:iCs/>
        </w:rPr>
        <w:t xml:space="preserve">Open with → Google Docs</w:t>
      </w:r>
      <w:r>
        <w:t xml:space="preserve">.</w:t>
      </w:r>
    </w:p>
    <w:bookmarkEnd w:id="11"/>
    <w:p>
      <w:pPr>
        <w:pStyle w:val="BodyText"/>
      </w:pPr>
      <w:r>
        <w:t xml:space="preserve">Chronos Memos · MELI.US</w:t>
      </w:r>
    </w:p>
    <w:bookmarkStart w:id="12" w:name="strategy-verdict-mercadolibre-meli.us"/>
    <w:p>
      <w:pPr>
        <w:pStyle w:val="Heading1"/>
      </w:pPr>
      <w:r>
        <w:t xml:space="preserve">Strategy Verdict — MercadoLibre (MELI.US)</w:t>
      </w:r>
    </w:p>
    <w:p>
      <w:pPr>
        <w:pStyle w:val="FirstParagraph"/>
      </w:pPr>
      <w:r>
        <w:t xml:space="preserve">Spock v5 Strategy agent — eleven-framework synthesis with explicit pricing view. STARTER $50,000 at -1.0% margin of safety. Generated 28 May 2026.</w:t>
      </w:r>
    </w:p>
    <w:bookmarkEnd w:id="12"/>
    <w:bookmarkStart w:id="18" w:name="strategy-verdict-meli.us"/>
    <w:p>
      <w:pPr>
        <w:pStyle w:val="Heading1"/>
      </w:pPr>
      <w:r>
        <w:t xml:space="preserve">Strategy verdict — MELI.US</w:t>
      </w:r>
    </w:p>
    <w:bookmarkStart w:id="13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MercadoLibre is the integrated marketplace + payments + credit +</w:t>
      </w:r>
      <w:r>
        <w:t xml:space="preserve"> </w:t>
      </w:r>
      <w:r>
        <w:t xml:space="preserve">logistics + advertising platform of Latin America, compounding revenue</w:t>
      </w:r>
      <w:r>
        <w:t xml:space="preserve"> </w:t>
      </w:r>
      <w:r>
        <w:t xml:space="preserve">at 42.2% over the 2021–2025 window and re-accelerating to +49% YoY in Q1</w:t>
      </w:r>
      <w:r>
        <w:t xml:space="preserve"> </w:t>
      </w:r>
      <w:r>
        <w:t xml:space="preserve">2026 [claim_002, claim_003]. At spot $1,648 the probability-weighted</w:t>
      </w:r>
      <w:r>
        <w:t xml:space="preserve"> </w:t>
      </w:r>
      <w:r>
        <w:t xml:space="preserve">intrinsic is $1,632, implying −1.0% margin of safety [claim_001]. The</w:t>
      </w:r>
      <w:r>
        <w:t xml:space="preserve"> </w:t>
      </w:r>
      <w:r>
        <w:t xml:space="preserve">verdict is</w:t>
      </w:r>
      <w:r>
        <w:t xml:space="preserve"> </w:t>
      </w:r>
      <w:r>
        <w:rPr>
          <w:b/>
          <w:bCs/>
        </w:rPr>
        <w:t xml:space="preserve">STARTER at ~$50k</w:t>
      </w:r>
      <w:r>
        <w:t xml:space="preserve">, not full. The STARTER at a</w:t>
      </w:r>
      <w:r>
        <w:t xml:space="preserve"> </w:t>
      </w:r>
      <w:r>
        <w:t xml:space="preserve">negative margin of safety is deliberate and defensible: bull-case upside</w:t>
      </w:r>
      <w:r>
        <w:t xml:space="preserve"> </w:t>
      </w:r>
      <w:r>
        <w:t xml:space="preserve">to $2,726/share is real and asymmetric if the Q1 2026 re-acceleration</w:t>
      </w:r>
      <w:r>
        <w:t xml:space="preserve"> </w:t>
      </w:r>
      <w:r>
        <w:t xml:space="preserve">sustains, the integrated five-asset moat (Helmer 7 Powers weighted</w:t>
      </w:r>
      <w:r>
        <w:t xml:space="preserve"> </w:t>
      </w:r>
      <w:r>
        <w:t xml:space="preserve">115.7) is structural rather than AI-exceptionalist, and the Chronos</w:t>
      </w:r>
      <w:r>
        <w:t xml:space="preserve"> </w:t>
      </w:r>
      <w:r>
        <w:t xml:space="preserve">LatAm-fintech edge underwrites the patience cost of a small real-money</w:t>
      </w:r>
      <w:r>
        <w:t xml:space="preserve"> </w:t>
      </w:r>
      <w:r>
        <w:t xml:space="preserve">seat while the AI-disclosure trigger discharges [claim_004, claim_005].</w:t>
      </w:r>
      <w:r>
        <w:t xml:space="preserve"> </w:t>
      </w:r>
      <w:r>
        <w:t xml:space="preserve">Full position only at ≤$1,270 (~20% MoS) [claim_017]. The thesis is</w:t>
      </w:r>
      <w:r>
        <w:t xml:space="preserve"> </w:t>
      </w:r>
      <w:r>
        <w:t xml:space="preserve">high; the price is fair-leaning-expensive; the information sufficiency</w:t>
      </w:r>
      <w:r>
        <w:t xml:space="preserve"> </w:t>
      </w:r>
      <w:r>
        <w:t xml:space="preserve">is medium. Take the seat, demand the disclosure, scale on triggers.</w:t>
      </w:r>
    </w:p>
    <w:bookmarkEnd w:id="13"/>
    <w:bookmarkStart w:id="14" w:name="the-eleven-frameworks"/>
    <w:p>
      <w:pPr>
        <w:pStyle w:val="Heading2"/>
      </w:pPr>
      <w:r>
        <w:t xml:space="preserve">The eleven frameworks</w:t>
      </w:r>
    </w:p>
    <w:p>
      <w:pPr>
        <w:pStyle w:val="FirstParagraph"/>
      </w:pPr>
      <w:r>
        <w:rPr>
          <w:b/>
          <w:bCs/>
        </w:rPr>
        <w:t xml:space="preserve">Power law</w:t>
      </w:r>
      <w:r>
        <w:t xml:space="preserve"> </w:t>
      </w:r>
      <w:r>
        <w:t xml:space="preserve">— Partial pass. Bull $2,726 (+10.6% 5y</w:t>
      </w:r>
      <w:r>
        <w:t xml:space="preserve"> </w:t>
      </w:r>
      <w:r>
        <w:t xml:space="preserve">IRR) vs bear $623 (−17.7%); 28.3pp spread narrowly below the 30pp DCF</w:t>
      </w:r>
      <w:r>
        <w:t xml:space="preserve"> </w:t>
      </w:r>
      <w:r>
        <w:t xml:space="preserve">Standard floor, which reflects MELI’s $31.8bn revenue base, not a thesis</w:t>
      </w:r>
      <w:r>
        <w:t xml:space="preserve"> </w:t>
      </w:r>
      <w:r>
        <w:t xml:space="preserve">weakness [claim_015].</w:t>
      </w:r>
    </w:p>
    <w:p>
      <w:pPr>
        <w:pStyle w:val="BodyText"/>
      </w:pPr>
      <w:r>
        <w:rPr>
          <w:b/>
          <w:bCs/>
        </w:rPr>
        <w:t xml:space="preserve">CLTV:CAC</w:t>
      </w:r>
      <w:r>
        <w:t xml:space="preserve"> </w:t>
      </w:r>
      <w:r>
        <w:t xml:space="preserve">— Not applied; no cohort disclosure in</w:t>
      </w:r>
      <w:r>
        <w:t xml:space="preserve"> </w:t>
      </w:r>
      <w:r>
        <w:t xml:space="preserve">primary filings. TTM ROE 31.26% and four-year revenue CAGR 42.2% argue</w:t>
      </w:r>
      <w:r>
        <w:t xml:space="preserve"> </w:t>
      </w:r>
      <w:r>
        <w:t xml:space="preserve">aggregate returns are strong, but Michael’s 9× bar cannot be cleanly</w:t>
      </w:r>
      <w:r>
        <w:t xml:space="preserve"> </w:t>
      </w:r>
      <w:r>
        <w:t xml:space="preserve">tested. Same disclosure gap as RF-DISC-006 [claim_002].</w:t>
      </w:r>
    </w:p>
    <w:p>
      <w:pPr>
        <w:pStyle w:val="BodyText"/>
      </w:pPr>
      <w:r>
        <w:rPr>
          <w:b/>
          <w:bCs/>
        </w:rPr>
        <w:t xml:space="preserve">Helmer 7 Powers</w:t>
      </w:r>
      <w:r>
        <w:t xml:space="preserve"> </w:t>
      </w:r>
      <w:r>
        <w:t xml:space="preserve">— Wide-moat candidate. Scale</w:t>
      </w:r>
      <w:r>
        <w:t xml:space="preserve"> </w:t>
      </w:r>
      <w:r>
        <w:t xml:space="preserve">economies 135, network economies 135, switching costs 130 all load on</w:t>
      </w:r>
      <w:r>
        <w:t xml:space="preserve"> </w:t>
      </w:r>
      <w:r>
        <w:t xml:space="preserve">primary 10-K. Cornered resource 95: 26 years of LatAm behavioural data</w:t>
      </w:r>
      <w:r>
        <w:t xml:space="preserve"> </w:t>
      </w:r>
      <w:r>
        <w:t xml:space="preserve">is replicable with time [claim_004, claim_005].</w:t>
      </w:r>
    </w:p>
    <w:p>
      <w:pPr>
        <w:pStyle w:val="BodyText"/>
      </w:pPr>
      <w:r>
        <w:rPr>
          <w:b/>
          <w:bCs/>
        </w:rPr>
        <w:t xml:space="preserve">AI Maturity</w:t>
      </w:r>
      <w:r>
        <w:t xml:space="preserve"> </w:t>
      </w:r>
      <w:r>
        <w:t xml:space="preserve">— Level 2 leaning 3. Zero of six</w:t>
      </w:r>
      <w:r>
        <w:t xml:space="preserve"> </w:t>
      </w:r>
      <w:r>
        <w:t xml:space="preserve">deployments grade B-or-better; Tool User Gate fails fail-closed; three</w:t>
      </w:r>
      <w:r>
        <w:t xml:space="preserve"> </w:t>
      </w:r>
      <w:r>
        <w:t xml:space="preserve">bullshit flags fire. Strongest deployment (Mercado Ads) at B−.</w:t>
      </w:r>
      <w:r>
        <w:t xml:space="preserve"> </w:t>
      </w:r>
      <w:r>
        <w:t xml:space="preserve">Structural concern vs Nubank’s Level 3+ AI-native credit underwriting</w:t>
      </w:r>
      <w:r>
        <w:t xml:space="preserve"> </w:t>
      </w:r>
      <w:r>
        <w:t xml:space="preserve">[claim_006, claim_007].</w:t>
      </w:r>
    </w:p>
    <w:p>
      <w:pPr>
        <w:pStyle w:val="BodyText"/>
      </w:pPr>
      <w:r>
        <w:rPr>
          <w:b/>
          <w:bCs/>
        </w:rPr>
        <w:t xml:space="preserve">Sizing</w:t>
      </w:r>
      <w:r>
        <w:t xml:space="preserve"> </w:t>
      </w:r>
      <w:r>
        <w:t xml:space="preserve">— Starter $50,000. Punt-tier dollar size,</w:t>
      </w:r>
      <w:r>
        <w:t xml:space="preserve"> </w:t>
      </w:r>
      <w:r>
        <w:t xml:space="preserve">below normal $250k pending trigger discharge. Consistent with CHYM</w:t>
      </w:r>
      <w:r>
        <w:t xml:space="preserve"> </w:t>
      </w:r>
      <w:r>
        <w:t xml:space="preserve">precedent set 27 May 2026 IC. Upsize at next entry-band window if Q2</w:t>
      </w:r>
      <w:r>
        <w:t xml:space="preserve"> </w:t>
      </w:r>
      <w:r>
        <w:t xml:space="preserve">2026 Szarfsztejn call names an AI-cohort metric [claim_022].</w:t>
      </w:r>
    </w:p>
    <w:p>
      <w:pPr>
        <w:pStyle w:val="BodyText"/>
      </w:pPr>
      <w:r>
        <w:rPr>
          <w:b/>
          <w:bCs/>
        </w:rPr>
        <w:t xml:space="preserve">Scenarios</w:t>
      </w:r>
      <w:r>
        <w:t xml:space="preserve"> </w:t>
      </w:r>
      <w:r>
        <w:t xml:space="preserve">— Base 50% / Bull 25% / Bear 25%.</w:t>
      </w:r>
      <w:r>
        <w:t xml:space="preserve"> </w:t>
      </w:r>
      <w:r>
        <w:t xml:space="preserve">Probability-weighted intrinsic $1,632. Bear is load-bearing and</w:t>
      </w:r>
      <w:r>
        <w:t xml:space="preserve"> </w:t>
      </w:r>
      <w:r>
        <w:t xml:space="preserve">structurally credible; the starter sizing surfaces it explicitly rather</w:t>
      </w:r>
      <w:r>
        <w:t xml:space="preserve"> </w:t>
      </w:r>
      <w:r>
        <w:t xml:space="preserve">than glossing it [claim_015].</w:t>
      </w:r>
    </w:p>
    <w:p>
      <w:pPr>
        <w:pStyle w:val="BodyText"/>
      </w:pPr>
      <w:r>
        <w:rPr>
          <w:b/>
          <w:bCs/>
        </w:rPr>
        <w:t xml:space="preserve">Listed-v-private divergence</w:t>
      </w:r>
      <w:r>
        <w:t xml:space="preserve"> </w:t>
      </w:r>
      <w:r>
        <w:t xml:space="preserve">— Pass. Integrated</w:t>
      </w:r>
      <w:r>
        <w:t xml:space="preserve"> </w:t>
      </w:r>
      <w:r>
        <w:t xml:space="preserve">five-asset LatAm platform across 18 countries does not duplicate the</w:t>
      </w:r>
      <w:r>
        <w:t xml:space="preserve"> </w:t>
      </w:r>
      <w:r>
        <w:t xml:space="preserve">Chronos private book; the geography is a diversified overlay</w:t>
      </w:r>
      <w:r>
        <w:t xml:space="preserve"> </w:t>
      </w:r>
      <w:r>
        <w:t xml:space="preserve">[claim_013].</w:t>
      </w:r>
    </w:p>
    <w:p>
      <w:pPr>
        <w:pStyle w:val="BodyText"/>
      </w:pPr>
      <w:r>
        <w:rPr>
          <w:b/>
          <w:bCs/>
        </w:rPr>
        <w:t xml:space="preserve">Geographic bias</w:t>
      </w:r>
      <w:r>
        <w:t xml:space="preserve"> </w:t>
      </w:r>
      <w:r>
        <w:t xml:space="preserve">— Explicitly defended. International</w:t>
      </w:r>
      <w:r>
        <w:t xml:space="preserve"> </w:t>
      </w:r>
      <w:r>
        <w:t xml:space="preserve">over SA criterion satisfied. Brazil &gt;50% fires RF-OPS-001 medium;</w:t>
      </w:r>
      <w:r>
        <w:t xml:space="preserve"> </w:t>
      </w:r>
      <w:r>
        <w:t xml:space="preserve">defended as regional-champion exposure with US-listed USD-reporting</w:t>
      </w:r>
      <w:r>
        <w:t xml:space="preserve"> </w:t>
      </w:r>
      <w:r>
        <w:t xml:space="preserve">absorbing FX [claim_013].</w:t>
      </w:r>
    </w:p>
    <w:p>
      <w:pPr>
        <w:pStyle w:val="BodyText"/>
      </w:pPr>
      <w:r>
        <w:rPr>
          <w:b/>
          <w:bCs/>
        </w:rPr>
        <w:t xml:space="preserve">Trim discipline</w:t>
      </w:r>
      <w:r>
        <w:t xml:space="preserve"> </w:t>
      </w:r>
      <w:r>
        <w:t xml:space="preserve">— No trim contemplated. Position not</w:t>
      </w:r>
      <w:r>
        <w:t xml:space="preserve"> </w:t>
      </w:r>
      <w:r>
        <w:t xml:space="preserve">yet entered; Willem’s rule does not engage. Forward trim zone above</w:t>
      </w:r>
      <w:r>
        <w:t xml:space="preserve"> </w:t>
      </w:r>
      <w:r>
        <w:t xml:space="preserve">$2,180 documented as partner consideration only [claim_017].</w:t>
      </w:r>
    </w:p>
    <w:p>
      <w:pPr>
        <w:pStyle w:val="BodyText"/>
      </w:pPr>
      <w:r>
        <w:rPr>
          <w:b/>
          <w:bCs/>
        </w:rPr>
        <w:t xml:space="preserve">Disagreement with Virtual IC</w:t>
      </w:r>
      <w:r>
        <w:t xml:space="preserve"> </w:t>
      </w:r>
      <w:r>
        <w:t xml:space="preserve">— Pending. Virtual IC</w:t>
      </w:r>
      <w:r>
        <w:t xml:space="preserve"> </w:t>
      </w:r>
      <w:r>
        <w:t xml:space="preserve">running in parallel; to be re-evaluated post-merge.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 </w:t>
      </w:r>
      <w:r>
        <w:t xml:space="preserve">— Fair-leaning-expensive. Five-method</w:t>
      </w:r>
      <w:r>
        <w:t xml:space="preserve"> </w:t>
      </w:r>
      <w:r>
        <w:t xml:space="preserve">triangulation brackets the base case tightly: P/E forward 31.95x fair vs</w:t>
      </w:r>
      <w:r>
        <w:t xml:space="preserve"> </w:t>
      </w:r>
      <w:r>
        <w:t xml:space="preserve">Amazon 34.9x; EV/EBITDA 23.84x stretched vs Sea 20.2x; EV/Revenue 2.84x</w:t>
      </w:r>
      <w:r>
        <w:t xml:space="preserve"> </w:t>
      </w:r>
      <w:r>
        <w:t xml:space="preserve">fair; DCF base $1,589; FY27E EPS $58.63 × 30x = $1,759 (within 7% of DCF</w:t>
      </w:r>
      <w:r>
        <w:t xml:space="preserve"> </w:t>
      </w:r>
      <w:r>
        <w:t xml:space="preserve">base) [claim_014]. Reverse-DCF embeds 18% revenue CAGR at 13.5% WACC</w:t>
      </w:r>
      <w:r>
        <w:t xml:space="preserve"> </w:t>
      </w:r>
      <w:r>
        <w:t xml:space="preserve">[claim_016]. Margin of safety −1.0%.</w:t>
      </w:r>
    </w:p>
    <w:bookmarkEnd w:id="14"/>
    <w:bookmarkStart w:id="15" w:name="bear-case"/>
    <w:p>
      <w:pPr>
        <w:pStyle w:val="Heading2"/>
      </w:pPr>
      <w:r>
        <w:t xml:space="preserve">Bear case</w:t>
      </w:r>
    </w:p>
    <w:p>
      <w:pPr>
        <w:pStyle w:val="FirstParagraph"/>
      </w:pPr>
      <w:r>
        <w:t xml:space="preserve">Structurally credible at $623/share (−17.7% 5y IRR from spot); the</w:t>
      </w:r>
      <w:r>
        <w:t xml:space="preserve"> </w:t>
      </w:r>
      <w:r>
        <w:t xml:space="preserve">market is already pricing some of it (stock 38% below 12-month high, 19%</w:t>
      </w:r>
      <w:r>
        <w:t xml:space="preserve"> </w:t>
      </w:r>
      <w:r>
        <w:t xml:space="preserve">below 200-DMA) [claim_024]. Three concurrent mechanisms: (1) Shopee</w:t>
      </w:r>
      <w:r>
        <w:t xml:space="preserve"> </w:t>
      </w:r>
      <w:r>
        <w:t xml:space="preserve">LatAm seller-subsidy escalation funded by Sea’s SE-Asia cashflows</w:t>
      </w:r>
      <w:r>
        <w:t xml:space="preserve"> </w:t>
      </w:r>
      <w:r>
        <w:t xml:space="preserve">compresses take-rate from 20–22% to 17–18% [claim_011]; (2) BCB tightens</w:t>
      </w:r>
      <w:r>
        <w:t xml:space="preserve"> </w:t>
      </w:r>
      <w:r>
        <w:t xml:space="preserve">fintech credit-origination rules with 12–24 month half-life, capping</w:t>
      </w:r>
      <w:r>
        <w:t xml:space="preserve"> </w:t>
      </w:r>
      <w:r>
        <w:t xml:space="preserve">Mercado Crédito growth precisely when the AI-credit flywheel scales</w:t>
      </w:r>
      <w:r>
        <w:t xml:space="preserve"> </w:t>
      </w:r>
      <w:r>
        <w:t xml:space="preserve">[claim_012]; (3) Szarfsztejn — five months in seat, first non-founder</w:t>
      </w:r>
      <w:r>
        <w:t xml:space="preserve"> </w:t>
      </w:r>
      <w:r>
        <w:t xml:space="preserve">CEO — fails to demonstrate margin expansion through both Q2 and Q3 2026,</w:t>
      </w:r>
      <w:r>
        <w:t xml:space="preserve"> </w:t>
      </w:r>
      <w:r>
        <w:t xml:space="preserve">defaulting to a fourth year of “deliberate reinvestment” framing</w:t>
      </w:r>
      <w:r>
        <w:t xml:space="preserve"> </w:t>
      </w:r>
      <w:r>
        <w:t xml:space="preserve">[claim_010]. Operating margin has already compressed FY24 12.66% → FY25</w:t>
      </w:r>
      <w:r>
        <w:t xml:space="preserve"> </w:t>
      </w:r>
      <w:r>
        <w:t xml:space="preserve">11.08% → Q1 2026 TTM 6.91%. The bear is the active risk the starter</w:t>
      </w:r>
      <w:r>
        <w:t xml:space="preserve"> </w:t>
      </w:r>
      <w:r>
        <w:t xml:space="preserve">sizing concedes.</w:t>
      </w:r>
    </w:p>
    <w:bookmarkEnd w:id="15"/>
    <w:bookmarkStart w:id="16" w:name="conditional-triggers-to-upsize"/>
    <w:p>
      <w:pPr>
        <w:pStyle w:val="Heading2"/>
      </w:pPr>
      <w:r>
        <w:t xml:space="preserve">Conditional triggers to</w:t>
      </w:r>
      <w:r>
        <w:t xml:space="preserve"> </w:t>
      </w:r>
      <w:r>
        <w:t xml:space="preserve">upsize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cohort metrics anchored to primary disclosure.</w:t>
      </w:r>
      <w:r>
        <w:t xml:space="preserve"> </w:t>
      </w:r>
      <w:r>
        <w:t xml:space="preserve">Szarfsztejn Q2 or Q3 2026 earnings call names a specific AI-driven</w:t>
      </w:r>
      <w:r>
        <w:t xml:space="preserve"> </w:t>
      </w:r>
      <w:r>
        <w:t xml:space="preserve">cohort metric with attribution. Discharges RF-DISC-006 and re-rates bull</w:t>
      </w:r>
      <w:r>
        <w:t xml:space="preserve"> </w:t>
      </w:r>
      <w:r>
        <w:t xml:space="preserve">probability 25% → 40%, moving probability-weighted intrinsic to ~$1,925</w:t>
      </w:r>
      <w:r>
        <w:t xml:space="preserve"> </w:t>
      </w:r>
      <w:r>
        <w:t xml:space="preserve">[claim_006].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Brazil regulatory clarity.</w:t>
      </w:r>
      <w:r>
        <w:t xml:space="preserve"> </w:t>
      </w:r>
      <w:r>
        <w:t xml:space="preserve">BCB publishes a rule</w:t>
      </w:r>
      <w:r>
        <w:t xml:space="preserve"> </w:t>
      </w:r>
      <w:r>
        <w:t xml:space="preserve">drawing a stable perimeter around platform-originated consumer credit,</w:t>
      </w:r>
      <w:r>
        <w:t xml:space="preserve"> </w:t>
      </w:r>
      <w:r>
        <w:t xml:space="preserve">or formally indicates a 12+ month moratorium on further tightening</w:t>
      </w:r>
      <w:r>
        <w:t xml:space="preserve"> </w:t>
      </w:r>
      <w:r>
        <w:t xml:space="preserve">[claim_012].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 2026 +49% YoY confirmed as new run-rate.</w:t>
      </w:r>
      <w:r>
        <w:t xml:space="preserve"> </w:t>
      </w:r>
      <w:r>
        <w:t xml:space="preserve">Q2 and</w:t>
      </w:r>
      <w:r>
        <w:t xml:space="preserve"> </w:t>
      </w:r>
      <w:r>
        <w:t xml:space="preserve">Q3 2026 print 35%+ YoY on clean comps [claim_003].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Argentina FX stability or constant-currency</w:t>
      </w:r>
      <w:r>
        <w:rPr>
          <w:b/>
          <w:bCs/>
        </w:rPr>
        <w:t xml:space="preserve"> </w:t>
      </w:r>
      <w:r>
        <w:rPr>
          <w:b/>
          <w:bCs/>
        </w:rPr>
        <w:t xml:space="preserve">reporting.</w:t>
      </w:r>
      <w:r>
        <w:t xml:space="preserve"> </w:t>
      </w:r>
      <w:r>
        <w:t xml:space="preserve">Removes IAS 29 hyperinflationary noise from headline</w:t>
      </w:r>
      <w:r>
        <w:t xml:space="preserve"> </w:t>
      </w:r>
      <w:r>
        <w:t xml:space="preserve">GAAP.</w:t>
      </w:r>
    </w:p>
    <w:bookmarkEnd w:id="16"/>
    <w:bookmarkStart w:id="17" w:name="disagreement-with-virtual-ic"/>
    <w:p>
      <w:pPr>
        <w:pStyle w:val="Heading2"/>
      </w:pPr>
      <w:r>
        <w:t xml:space="preserve">Disagreement with Virtual IC</w:t>
      </w:r>
    </w:p>
    <w:p>
      <w:pPr>
        <w:pStyle w:val="FirstParagraph"/>
      </w:pPr>
      <w:r>
        <w:t xml:space="preserve">Placeholder — running in parallel. Strategy verdict is STARTER.</w:t>
      </w:r>
      <w:r>
        <w:t xml:space="preserve"> </w:t>
      </w:r>
      <w:r>
        <w:t xml:space="preserve">Post-merge, the human IC should audit which axis dominates if</w:t>
      </w:r>
      <w:r>
        <w:t xml:space="preserve"> </w:t>
      </w:r>
      <w:r>
        <w:t xml:space="preserve">disagreement surfaces: information-sufficiency objection (sizing-only</w:t>
      </w:r>
      <w:r>
        <w:t xml:space="preserve"> </w:t>
      </w:r>
      <w:r>
        <w:t xml:space="preserve">disagreement) or bear-case probability weighting (thesis-level</w:t>
      </w:r>
      <w:r>
        <w:t xml:space="preserve"> </w:t>
      </w:r>
      <w:r>
        <w:t xml:space="preserve">disagreement). Either is non-trivial and should be surfaced explicitly</w:t>
      </w:r>
      <w:r>
        <w:t xml:space="preserve"> </w:t>
      </w:r>
      <w:r>
        <w:t xml:space="preserve">to partners, not smoothed.</w:t>
      </w:r>
    </w:p>
    <w:p>
      <w:pPr>
        <w:pStyle w:val="BodyText"/>
      </w:pPr>
      <w:r>
        <w:t xml:space="preserve">Spock v4 listed-eq pipeline · MELI.US · generated 28 May 2026.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strategy-verdict-28-may-2026.docx" TargetMode="External" /><Relationship Type="http://schemas.openxmlformats.org/officeDocument/2006/relationships/hyperlink" Id="rId9" Target="strategy-verdict-28-may-202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strategy-verdict-28-may-2026.docx" TargetMode="External" /><Relationship Type="http://schemas.openxmlformats.org/officeDocument/2006/relationships/hyperlink" Id="rId9" Target="strategy-verdict-28-may-202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Verdict — MercadoLibre (MELI.US) · Chronos Memos</dc:title>
  <dc:creator/>
  <dc:language>en</dc:language>
  <cp:keywords/>
  <dcterms:created xsi:type="dcterms:W3CDTF">2026-05-28T14:36:38Z</dcterms:created>
  <dcterms:modified xsi:type="dcterms:W3CDTF">2026-05-28T14:36:38Z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