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Virtual IC Brief — MercadoLibre (MELI.US) · Chronos Memos</w:t>
      </w:r>
    </w:p>
    <w:p>
      <w:pPr>
        <w:pStyle w:val="FirstParagraph"/>
      </w:pPr>
    </w:p>
    <w:p>
      <w:pPr>
        <w:pStyle w:val="BodyText"/>
      </w:pPr>
      <w:hyperlink r:id="rId9">
        <w:r>
          <w:rPr>
            <w:rStyle w:val="Hyperlink"/>
          </w:rPr>
          <w:t xml:space="preserve">PDF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Word</w:t>
        </w:r>
      </w:hyperlink>
    </w:p>
    <w:p>
      <w:pPr>
        <w:pStyle w:val="BodyText"/>
      </w:pPr>
      <w:r>
        <w:t xml:space="preserve">Google Docs</w:t>
      </w:r>
    </w:p>
    <w:bookmarkStart w:id="11" w:name="spock-gdocs-tip"/>
    <w:p>
      <w:pPr>
        <w:pStyle w:val="BodyText"/>
      </w:pPr>
      <w:r>
        <w:t xml:space="preserve">×</w:t>
      </w:r>
      <w:r>
        <w:t xml:space="preserve"> </w:t>
      </w:r>
      <w:r>
        <w:rPr>
          <w:b/>
          <w:bCs/>
        </w:rPr>
        <w:t xml:space="preserve">Open in Google Docs</w:t>
      </w:r>
      <w:r>
        <w:br/>
      </w:r>
      <w:r>
        <w:t xml:space="preserve">Download the Word file, drag-drop it into Google Drive, then right-click →</w:t>
      </w:r>
      <w:r>
        <w:t xml:space="preserve"> </w:t>
      </w:r>
      <w:r>
        <w:rPr>
          <w:i/>
          <w:iCs/>
        </w:rPr>
        <w:t xml:space="preserve">Open with → Google Docs</w:t>
      </w:r>
      <w:r>
        <w:t xml:space="preserve">.</w:t>
      </w:r>
    </w:p>
    <w:bookmarkEnd w:id="11"/>
    <w:p>
      <w:pPr>
        <w:pStyle w:val="BodyText"/>
      </w:pPr>
      <w:r>
        <w:t xml:space="preserve">Chronos Memos · MELI.US</w:t>
      </w:r>
    </w:p>
    <w:bookmarkStart w:id="12" w:name="virtual-ic-brief-mercadolibre-meli.us"/>
    <w:p>
      <w:pPr>
        <w:pStyle w:val="Heading1"/>
      </w:pPr>
      <w:r>
        <w:t xml:space="preserve">Virtual IC Brief — MercadoLibre (MELI.US)</w:t>
      </w:r>
    </w:p>
    <w:p>
      <w:pPr>
        <w:pStyle w:val="FirstParagraph"/>
      </w:pPr>
      <w:r>
        <w:t xml:space="preserve">The Virtual Chronos panel deliberation on MercadoLibre. 3 YES / 3 NO / 1 ABSTAIN — STARTER (CONDITIONAL) consensus with serious dissent on entry-price discipline.</w:t>
      </w:r>
    </w:p>
    <w:bookmarkEnd w:id="12"/>
    <w:bookmarkStart w:id="28" w:name="X658af01e141fdeadd2f82cda78f03b8c9d2cb02"/>
    <w:p>
      <w:pPr>
        <w:pStyle w:val="Heading1"/>
      </w:pPr>
      <w:r>
        <w:t xml:space="preserve">MercadoLibre</w:t>
      </w:r>
      <w:r>
        <w:t xml:space="preserve"> </w:t>
      </w:r>
      <w:r>
        <w:t xml:space="preserve">Inc. (MELI.US) — Virtual IC Brief</w:t>
      </w:r>
    </w:p>
    <w:p>
      <w:pPr>
        <w:pStyle w:val="FirstParagraph"/>
      </w:pPr>
      <w:r>
        <w:rPr>
          <w:b/>
          <w:bCs/>
        </w:rPr>
        <w:t xml:space="preserve">Ticker:</w:t>
      </w:r>
      <w:r>
        <w:t xml:space="preserve"> </w:t>
      </w:r>
      <w:r>
        <w:t xml:space="preserve">MELI.US ·</w:t>
      </w:r>
      <w:r>
        <w:t xml:space="preserve"> </w:t>
      </w:r>
      <w:r>
        <w:rPr>
          <w:b/>
          <w:bCs/>
        </w:rPr>
        <w:t xml:space="preserve">Spot:</w:t>
      </w:r>
      <w:r>
        <w:t xml:space="preserve"> </w:t>
      </w:r>
      <w:r>
        <w:t xml:space="preserve">~$1,648 ·</w:t>
      </w:r>
      <w:r>
        <w:t xml:space="preserve"> </w:t>
      </w:r>
      <w:r>
        <w:rPr>
          <w:b/>
          <w:bCs/>
        </w:rPr>
        <w:t xml:space="preserve">Mcap:</w:t>
      </w:r>
      <w:r>
        <w:t xml:space="preserve"> </w:t>
      </w:r>
      <w:r>
        <w:t xml:space="preserve">~$83.55bn ·</w:t>
      </w:r>
      <w:r>
        <w:t xml:space="preserve"> </w:t>
      </w:r>
      <w:r>
        <w:rPr>
          <w:b/>
          <w:bCs/>
        </w:rPr>
        <w:t xml:space="preserve">As of:</w:t>
      </w:r>
      <w:r>
        <w:t xml:space="preserve"> </w:t>
      </w:r>
      <w:r>
        <w:t xml:space="preserve">2026-05-28</w:t>
      </w:r>
      <w:r>
        <w:t xml:space="preserve"> </w:t>
      </w:r>
      <w:r>
        <w:rPr>
          <w:b/>
          <w:bCs/>
        </w:rPr>
        <w:t xml:space="preserve">Pack under deliberation:</w:t>
      </w:r>
      <w:r>
        <w:t xml:space="preserve"> </w:t>
      </w:r>
      <w:r>
        <w:t xml:space="preserve">IC Screening Paper draft v2</w:t>
      </w:r>
      <w:r>
        <w:t xml:space="preserve"> </w:t>
      </w:r>
      <w:r>
        <w:t xml:space="preserve">(Gate 8 assembled)</w:t>
      </w:r>
    </w:p>
    <w:p>
      <w:r>
        <w:pict>
          <v:rect style="width:0;height:1.5pt" o:hralign="center" o:hrstd="t" o:hr="t"/>
        </w:pict>
      </w:r>
    </w:p>
    <w:bookmarkStart w:id="13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rPr>
          <w:b/>
          <w:bCs/>
        </w:rPr>
        <w:t xml:space="preserve">Vote tally: 3 YES · 3 NO · 1 ABSTAIN.</w:t>
      </w:r>
    </w:p>
    <w:p>
      <w:pPr>
        <w:pStyle w:val="BodyText"/>
      </w:pPr>
      <w:r>
        <w:rPr>
          <w:b/>
          <w:bCs/>
        </w:rPr>
        <w:t xml:space="preserve">Consensus verdict: STARTER POSITION (CONDITIONAL)</w:t>
      </w:r>
      <w:r>
        <w:t xml:space="preserve"> </w:t>
      </w:r>
      <w:r>
        <w:t xml:space="preserve">—</w:t>
      </w:r>
      <w:r>
        <w:t xml:space="preserve"> </w:t>
      </w:r>
      <w:r>
        <w:t xml:space="preserve">but the panel splits sharply on whether the conditional triggers are</w:t>
      </w:r>
      <w:r>
        <w:t xml:space="preserve"> </w:t>
      </w:r>
      <w:r>
        <w:t xml:space="preserve">tight enough to defend a starter today, or whether the absence of margin</w:t>
      </w:r>
      <w:r>
        <w:t xml:space="preserve"> </w:t>
      </w:r>
      <w:r>
        <w:t xml:space="preserve">of safety + the high-severity AI-disclosure flag argues for WATCH at</w:t>
      </w:r>
      <w:r>
        <w:t xml:space="preserve"> </w:t>
      </w:r>
      <w:r>
        <w:t xml:space="preserve">spot.</w:t>
      </w:r>
    </w:p>
    <w:p>
      <w:pPr>
        <w:pStyle w:val="BodyText"/>
      </w:pPr>
      <w:r>
        <w:rPr>
          <w:b/>
          <w:bCs/>
        </w:rPr>
        <w:t xml:space="preserve">Disagreement axis:</w:t>
      </w:r>
      <w:r>
        <w:t xml:space="preserve"> </w:t>
      </w:r>
      <w:r>
        <w:t xml:space="preserve">the panel divides on a single</w:t>
      </w:r>
      <w:r>
        <w:t xml:space="preserve"> </w:t>
      </w:r>
      <w:r>
        <w:t xml:space="preserve">question — whether 0.5–1.0% NAV at −1.0% margin of safety is “paying for</w:t>
      </w:r>
      <w:r>
        <w:t xml:space="preserve"> </w:t>
      </w:r>
      <w:r>
        <w:t xml:space="preserve">optionality” (the YES vote, accepting starter sizing as the price of</w:t>
      </w:r>
      <w:r>
        <w:t xml:space="preserve"> </w:t>
      </w:r>
      <w:r>
        <w:t xml:space="preserve">being in the name when the Q2/Q3 2026 prints land) or “paying for</w:t>
      </w:r>
      <w:r>
        <w:t xml:space="preserve"> </w:t>
      </w:r>
      <w:r>
        <w:t xml:space="preserve">confirmation we don’t have” (the NO vote, refusing to commit capital</w:t>
      </w:r>
      <w:r>
        <w:t xml:space="preserve"> </w:t>
      </w:r>
      <w:r>
        <w:t xml:space="preserve">while the load-bearing AI metrics are sourced from klover.ai and</w:t>
      </w:r>
      <w:r>
        <w:t xml:space="preserve"> </w:t>
      </w:r>
      <w:r>
        <w:t xml:space="preserve">investing.com rather than primary management disclosure).</w:t>
      </w:r>
    </w:p>
    <w:p>
      <w:r>
        <w:pict>
          <v:rect style="width:0;height:1.5pt" o:hralign="center" o:hrstd="t" o:hr="t"/>
        </w:pict>
      </w:r>
    </w:p>
    <w:bookmarkEnd w:id="13"/>
    <w:bookmarkStart w:id="21" w:name="per-persona-positions"/>
    <w:p>
      <w:pPr>
        <w:pStyle w:val="Heading2"/>
      </w:pPr>
      <w:r>
        <w:t xml:space="preserve">§1 — Per-persona positions</w:t>
      </w:r>
    </w:p>
    <w:bookmarkStart w:id="14" w:name="persona-1-the-compounder"/>
    <w:p>
      <w:pPr>
        <w:pStyle w:val="Heading3"/>
      </w:pPr>
      <w:r>
        <w:t xml:space="preserve">Persona 1 — The Compounder</w:t>
      </w:r>
    </w:p>
    <w:p>
      <w:pPr>
        <w:pStyle w:val="FirstParagraph"/>
      </w:pPr>
      <w:r>
        <w:rPr>
          <w:b/>
          <w:bCs/>
        </w:rPr>
        <w:t xml:space="preserve">Vote: NO. Position-size view: WATCH at spot; build a</w:t>
      </w:r>
      <w:r>
        <w:rPr>
          <w:b/>
          <w:bCs/>
        </w:rPr>
        <w:t xml:space="preserve"> </w:t>
      </w:r>
      <w:r>
        <w:rPr>
          <w:b/>
          <w:bCs/>
        </w:rPr>
        <w:t xml:space="preserve">watch-list entry at ≤ $1,430.</w:t>
      </w:r>
    </w:p>
    <w:p>
      <w:pPr>
        <w:pStyle w:val="BodyText"/>
      </w:pPr>
      <w:r>
        <w:t xml:space="preserve">The pack confirms a high-quality compounding business: 42.2%</w:t>
      </w:r>
      <w:r>
        <w:t xml:space="preserve"> </w:t>
      </w:r>
      <w:r>
        <w:t xml:space="preserve">four-year revenue CAGR (§6), a 131 moat-durability index (§1), and the</w:t>
      </w:r>
      <w:r>
        <w:t xml:space="preserve"> </w:t>
      </w:r>
      <w:r>
        <w:t xml:space="preserve">integrated five-asset stack (§8 Anchor 1) is real. None of that is in</w:t>
      </w:r>
      <w:r>
        <w:t xml:space="preserve"> </w:t>
      </w:r>
      <w:r>
        <w:t xml:space="preserve">dispute. The Q1 2026 +49% YoY reacceleration (§6) is genuinely</w:t>
      </w:r>
      <w:r>
        <w:t xml:space="preserve"> </w:t>
      </w:r>
      <w:r>
        <w:t xml:space="preserve">impressive. The problem is what one pays for it.</w:t>
      </w:r>
    </w:p>
    <w:p>
      <w:pPr>
        <w:pStyle w:val="BodyText"/>
      </w:pPr>
      <w:r>
        <w:t xml:space="preserve">The pack itself states the position bluntly in §7:</w:t>
      </w:r>
      <w:r>
        <w:t xml:space="preserve"> </w:t>
      </w:r>
      <w:r>
        <w:t xml:space="preserve">“FAIR-leaning-EXPENSIVE … no margin of safety at spot.”</w:t>
      </w:r>
      <w:r>
        <w:t xml:space="preserve"> </w:t>
      </w:r>
      <w:r>
        <w:t xml:space="preserve">Probability-weighted intrinsic of $1,632 against $1,648 = −1.0% margin</w:t>
      </w:r>
      <w:r>
        <w:t xml:space="preserve"> </w:t>
      </w:r>
      <w:r>
        <w:t xml:space="preserve">of safety. The Compounder’s discipline is unambiguous: a high-quality</w:t>
      </w:r>
      <w:r>
        <w:t xml:space="preserve"> </w:t>
      </w:r>
      <w:r>
        <w:t xml:space="preserve">business at fair value is a hold, not a buy. The 20% MoS floor for a</w:t>
      </w:r>
      <w:r>
        <w:t xml:space="preserve"> </w:t>
      </w:r>
      <w:r>
        <w:t xml:space="preserve">full position is set at ≤ $1,270 (§7) — and even the “starter band” is</w:t>
      </w:r>
      <w:r>
        <w:t xml:space="preserve"> </w:t>
      </w:r>
      <w:r>
        <w:t xml:space="preserve">$1,270–$1,430. At $1,648 the pack’s own framework places this in “watch</w:t>
      </w:r>
      <w:r>
        <w:t xml:space="preserve"> </w:t>
      </w:r>
      <w:r>
        <w:t xml:space="preserve">/ no-add.”</w:t>
      </w:r>
    </w:p>
    <w:p>
      <w:pPr>
        <w:pStyle w:val="BodyText"/>
      </w:pPr>
      <w:r>
        <w:t xml:space="preserve">The bull case (§8) is contingent on three concurrent operating</w:t>
      </w:r>
      <w:r>
        <w:t xml:space="preserve"> </w:t>
      </w:r>
      <w:r>
        <w:t xml:space="preserve">conditions — sustained 35%+ growth, named AI cohort metric with</w:t>
      </w:r>
      <w:r>
        <w:t xml:space="preserve"> </w:t>
      </w:r>
      <w:r>
        <w:t xml:space="preserve">attribution, and Shopee retreat. Two of three are management-action</w:t>
      </w:r>
      <w:r>
        <w:t xml:space="preserve"> </w:t>
      </w:r>
      <w:r>
        <w:t xml:space="preserve">triggers that haven’t happened. The Compounder does not pay for option</w:t>
      </w:r>
      <w:r>
        <w:t xml:space="preserve"> </w:t>
      </w:r>
      <w:r>
        <w:t xml:space="preserve">value on management behaviour.</w:t>
      </w:r>
    </w:p>
    <w:p>
      <w:pPr>
        <w:pStyle w:val="BodyText"/>
      </w:pPr>
      <w:r>
        <w:t xml:space="preserve">The float-FCF caveat (§6) is the second concern: headline $10.71bn</w:t>
      </w:r>
      <w:r>
        <w:t xml:space="preserve"> </w:t>
      </w:r>
      <w:r>
        <w:t xml:space="preserve">TTM FCF normalises to $3–4bn — a one-third haircut to the</w:t>
      </w:r>
      <w:r>
        <w:t xml:space="preserve"> </w:t>
      </w:r>
      <w:r>
        <w:t xml:space="preserve">cash-generative anchor. The thesis is robust to this; sizing should not</w:t>
      </w:r>
      <w:r>
        <w:t xml:space="preserve"> </w:t>
      </w:r>
      <w:r>
        <w:t xml:space="preserve">be.</w:t>
      </w:r>
    </w:p>
    <w:p>
      <w:pPr>
        <w:pStyle w:val="BodyText"/>
      </w:pPr>
      <w:r>
        <w:rPr>
          <w:b/>
          <w:bCs/>
        </w:rPr>
        <w:t xml:space="preserve">Bull case (from the pack):</w:t>
      </w:r>
      <w:r>
        <w:t xml:space="preserve"> </w:t>
      </w:r>
      <w:r>
        <w:t xml:space="preserve">structural moat at 131</w:t>
      </w:r>
      <w:r>
        <w:t xml:space="preserve"> </w:t>
      </w:r>
      <w:r>
        <w:t xml:space="preserve">index, four-year compounding intact, balance sheet net cash of $12.1bn.</w:t>
      </w:r>
      <w:r>
        <w:t xml:space="preserve"> </w:t>
      </w:r>
      <w:r>
        <w:rPr>
          <w:b/>
          <w:bCs/>
        </w:rPr>
        <w:t xml:space="preserve">Bear case (from the pack):</w:t>
      </w:r>
      <w:r>
        <w:t xml:space="preserve"> </w:t>
      </w:r>
      <w:r>
        <w:t xml:space="preserve">−1.0% margin of safety,</w:t>
      </w:r>
      <w:r>
        <w:t xml:space="preserve"> </w:t>
      </w:r>
      <w:r>
        <w:t xml:space="preserve">three-year operating margin compression (12.66% → 11.08% → 6.91% TTM</w:t>
      </w:r>
      <w:r>
        <w:t xml:space="preserve"> </w:t>
      </w:r>
      <w:r>
        <w:t xml:space="preserve">Q1’26), float-flattered FCF.</w:t>
      </w:r>
      <w:r>
        <w:t xml:space="preserve"> </w:t>
      </w:r>
      <w:r>
        <w:rPr>
          <w:b/>
          <w:bCs/>
        </w:rPr>
        <w:t xml:space="preserve">Question for management:</w:t>
      </w:r>
      <w:r>
        <w:t xml:space="preserve"> </w:t>
      </w:r>
      <w:r>
        <w:t xml:space="preserve">“What specific operating margin trajectory does Q2 and Q3 2026 need to</w:t>
      </w:r>
      <w:r>
        <w:t xml:space="preserve"> </w:t>
      </w:r>
      <w:r>
        <w:t xml:space="preserve">deliver for the company to declare the reinvestment cycle complete?”</w:t>
      </w:r>
    </w:p>
    <w:p>
      <w:r>
        <w:pict>
          <v:rect style="width:0;height:1.5pt" o:hralign="center" o:hrstd="t" o:hr="t"/>
        </w:pict>
      </w:r>
    </w:p>
    <w:bookmarkEnd w:id="14"/>
    <w:bookmarkStart w:id="15" w:name="persona-2-the-power-law-hunter"/>
    <w:p>
      <w:pPr>
        <w:pStyle w:val="Heading3"/>
      </w:pPr>
      <w:r>
        <w:t xml:space="preserve">Persona 2 — The Power-Law</w:t>
      </w:r>
      <w:r>
        <w:t xml:space="preserve"> </w:t>
      </w:r>
      <w:r>
        <w:t xml:space="preserve">Hunter</w:t>
      </w:r>
    </w:p>
    <w:p>
      <w:pPr>
        <w:pStyle w:val="FirstParagraph"/>
      </w:pPr>
      <w:r>
        <w:rPr>
          <w:b/>
          <w:bCs/>
        </w:rPr>
        <w:t xml:space="preserve">Vote: YES. Position-size view: take starter at spot;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upside path to full on Q2’26.</w:t>
      </w:r>
    </w:p>
    <w:p>
      <w:pPr>
        <w:pStyle w:val="BodyText"/>
      </w:pPr>
      <w:r>
        <w:t xml:space="preserve">This is exactly the asymmetric setup that justifies a starter</w:t>
      </w:r>
      <w:r>
        <w:t xml:space="preserve"> </w:t>
      </w:r>
      <w:r>
        <w:t xml:space="preserve">position. The pack quantifies the bull-bear spread (§7): bull case</w:t>
      </w:r>
      <w:r>
        <w:t xml:space="preserve"> </w:t>
      </w:r>
      <w:r>
        <w:t xml:space="preserve">$2,726 versus bear $623 — a 4.4x range across scenarios. The current</w:t>
      </w:r>
      <w:r>
        <w:t xml:space="preserve"> </w:t>
      </w:r>
      <w:r>
        <w:t xml:space="preserve">$1,648 entry sits 65% below the bull intrinsic. Even</w:t>
      </w:r>
      <w:r>
        <w:t xml:space="preserve"> </w:t>
      </w:r>
      <w:r>
        <w:t xml:space="preserve">probability-weighted, the upside path is concrete: if Q2 and Q3 2026</w:t>
      </w:r>
      <w:r>
        <w:t xml:space="preserve"> </w:t>
      </w:r>
      <w:r>
        <w:t xml:space="preserve">print 35%+ growth and Szarfsztejn names an AI cohort metric with</w:t>
      </w:r>
      <w:r>
        <w:t xml:space="preserve"> </w:t>
      </w:r>
      <w:r>
        <w:t xml:space="preserve">attribution, the bull-case probability re-rates from 25% to ~40% and the</w:t>
      </w:r>
      <w:r>
        <w:t xml:space="preserve"> </w:t>
      </w:r>
      <w:r>
        <w:t xml:space="preserve">prob-weighted intrinsic moves to ~$1,925 (§1, §8). That is a 17%</w:t>
      </w:r>
      <w:r>
        <w:t xml:space="preserve"> </w:t>
      </w:r>
      <w:r>
        <w:t xml:space="preserve">intrinsic-value rerate in one earnings cycle.</w:t>
      </w:r>
    </w:p>
    <w:p>
      <w:pPr>
        <w:pStyle w:val="BodyText"/>
      </w:pPr>
      <w:r>
        <w:t xml:space="preserve">The Power-Law Hunter is comfortable with the −1.0% spot margin of</w:t>
      </w:r>
      <w:r>
        <w:t xml:space="preserve"> </w:t>
      </w:r>
      <w:r>
        <w:t xml:space="preserve">safety because the call option is properly identified and the gating</w:t>
      </w:r>
      <w:r>
        <w:t xml:space="preserve"> </w:t>
      </w:r>
      <w:r>
        <w:t xml:space="preserve">event is named: Q2 2026 earnings call. Either Szarfsztejn anchors AI to</w:t>
      </w:r>
      <w:r>
        <w:t xml:space="preserve"> </w:t>
      </w:r>
      <w:r>
        <w:t xml:space="preserve">primary disclosure or he doesn’t. The pack is not asking the IC to take</w:t>
      </w:r>
      <w:r>
        <w:t xml:space="preserve"> </w:t>
      </w:r>
      <w:r>
        <w:t xml:space="preserve">5% NAV on a hope; it is asking for 0.5–1.0% to be in the name when the</w:t>
      </w:r>
      <w:r>
        <w:t xml:space="preserve"> </w:t>
      </w:r>
      <w:r>
        <w:t xml:space="preserve">disclosure event lands. That sizing already prices in the AI-disclosure</w:t>
      </w:r>
      <w:r>
        <w:t xml:space="preserve"> </w:t>
      </w:r>
      <w:r>
        <w:t xml:space="preserve">flag.</w:t>
      </w:r>
    </w:p>
    <w:p>
      <w:pPr>
        <w:pStyle w:val="BodyText"/>
      </w:pPr>
      <w:r>
        <w:t xml:space="preserve">The Q1 2026 +49% YoY print is the strongest revenue print since Q2</w:t>
      </w:r>
      <w:r>
        <w:t xml:space="preserve"> </w:t>
      </w:r>
      <w:r>
        <w:t xml:space="preserve">2022 (§6). LatAm e-commerce penetration is &lt;15% versus</w:t>
      </w:r>
      <w:r>
        <w:t xml:space="preserve"> </w:t>
      </w:r>
      <w:r>
        <w:t xml:space="preserve">developed-market &gt;20% (§3). The reference class (Sea Limited at 38.4%</w:t>
      </w:r>
      <w:r>
        <w:t xml:space="preserve"> </w:t>
      </w:r>
      <w:r>
        <w:t xml:space="preserve">TTM) supports the trajectory. The 26-year build-out is moat depth no</w:t>
      </w:r>
      <w:r>
        <w:t xml:space="preserve"> </w:t>
      </w:r>
      <w:r>
        <w:t xml:space="preserve">Series-C competitor will replicate.</w:t>
      </w:r>
    </w:p>
    <w:p>
      <w:pPr>
        <w:pStyle w:val="BodyText"/>
      </w:pPr>
      <w:r>
        <w:rPr>
          <w:b/>
          <w:bCs/>
        </w:rPr>
        <w:t xml:space="preserve">Bull case (from the pack):</w:t>
      </w:r>
      <w:r>
        <w:t xml:space="preserve"> </w:t>
      </w:r>
      <w:r>
        <w:t xml:space="preserve">Q1’26 +49% YoY</w:t>
      </w:r>
      <w:r>
        <w:t xml:space="preserve"> </w:t>
      </w:r>
      <w:r>
        <w:t xml:space="preserve">reacceleration; 4.4x bull-bear spread; integrated five-asset moat</w:t>
      </w:r>
      <w:r>
        <w:t xml:space="preserve"> </w:t>
      </w:r>
      <w:r>
        <w:t xml:space="preserve">compounding.</w:t>
      </w:r>
      <w:r>
        <w:t xml:space="preserve"> </w:t>
      </w:r>
      <w:r>
        <w:rPr>
          <w:b/>
          <w:bCs/>
        </w:rPr>
        <w:t xml:space="preserve">Bear case (from the pack):</w:t>
      </w:r>
      <w:r>
        <w:t xml:space="preserve"> </w:t>
      </w:r>
      <w:r>
        <w:t xml:space="preserve">Shopee LatAm</w:t>
      </w:r>
      <w:r>
        <w:t xml:space="preserve"> </w:t>
      </w:r>
      <w:r>
        <w:t xml:space="preserve">seller-subsidy programme compresses take-rate to 17–18% (§4 war-game; §9</w:t>
      </w:r>
      <w:r>
        <w:t xml:space="preserve"> </w:t>
      </w:r>
      <w:r>
        <w:t xml:space="preserve">Risk 1); the cluster of bear conditions can compound.</w:t>
      </w:r>
      <w:r>
        <w:t xml:space="preserve"> </w:t>
      </w:r>
      <w:r>
        <w:rPr>
          <w:b/>
          <w:bCs/>
        </w:rPr>
        <w:t xml:space="preserve">Question</w:t>
      </w:r>
      <w:r>
        <w:rPr>
          <w:b/>
          <w:bCs/>
        </w:rPr>
        <w:t xml:space="preserve"> </w:t>
      </w:r>
      <w:r>
        <w:rPr>
          <w:b/>
          <w:bCs/>
        </w:rPr>
        <w:t xml:space="preserve">for management:</w:t>
      </w:r>
      <w:r>
        <w:t xml:space="preserve"> </w:t>
      </w:r>
      <w:r>
        <w:t xml:space="preserve">“If Q2 2026 sustains 35%+ YoY growth, what</w:t>
      </w:r>
      <w:r>
        <w:t xml:space="preserve"> </w:t>
      </w:r>
      <w:r>
        <w:t xml:space="preserve">specific Mercado Crédito cohort metric — pre-AI versus post-AI default</w:t>
      </w:r>
      <w:r>
        <w:t xml:space="preserve"> </w:t>
      </w:r>
      <w:r>
        <w:t xml:space="preserve">rate at the 12-month vintage — will you name on the call?”</w:t>
      </w:r>
    </w:p>
    <w:p>
      <w:r>
        <w:pict>
          <v:rect style="width:0;height:1.5pt" o:hralign="center" o:hrstd="t" o:hr="t"/>
        </w:pict>
      </w:r>
    </w:p>
    <w:bookmarkEnd w:id="15"/>
    <w:bookmarkStart w:id="16" w:name="persona-3-the-macro-hawk"/>
    <w:p>
      <w:pPr>
        <w:pStyle w:val="Heading3"/>
      </w:pPr>
      <w:r>
        <w:t xml:space="preserve">Persona 3 — The Macro Hawk</w:t>
      </w:r>
    </w:p>
    <w:p>
      <w:pPr>
        <w:pStyle w:val="FirstParagraph"/>
      </w:pPr>
      <w:r>
        <w:rPr>
          <w:b/>
          <w:bCs/>
        </w:rPr>
        <w:t xml:space="preserve">Vote: NO. Position-size view: hold flat; revisit only after</w:t>
      </w:r>
      <w:r>
        <w:rPr>
          <w:b/>
          <w:bCs/>
        </w:rPr>
        <w:t xml:space="preserve"> </w:t>
      </w:r>
      <w:r>
        <w:rPr>
          <w:b/>
          <w:bCs/>
        </w:rPr>
        <w:t xml:space="preserve">Argentina FX stabilises or MELI moves to constant-currency primary</w:t>
      </w:r>
      <w:r>
        <w:rPr>
          <w:b/>
          <w:bCs/>
        </w:rPr>
        <w:t xml:space="preserve"> </w:t>
      </w:r>
      <w:r>
        <w:rPr>
          <w:b/>
          <w:bCs/>
        </w:rPr>
        <w:t xml:space="preserve">reporting.</w:t>
      </w:r>
    </w:p>
    <w:p>
      <w:pPr>
        <w:pStyle w:val="BodyText"/>
      </w:pPr>
      <w:r>
        <w:t xml:space="preserve">The pack documents three concurrent macro overhangs that the −1.0%</w:t>
      </w:r>
      <w:r>
        <w:t xml:space="preserve"> </w:t>
      </w:r>
      <w:r>
        <w:t xml:space="preserve">margin of safety does not compensate for. First, Brazil is ~55% of</w:t>
      </w:r>
      <w:r>
        <w:t xml:space="preserve"> </w:t>
      </w:r>
      <w:r>
        <w:t xml:space="preserve">revenue (§3, §9 Risk 4) — the BCB has a 12–24-month tightening half-life</w:t>
      </w:r>
      <w:r>
        <w:t xml:space="preserve"> </w:t>
      </w:r>
      <w:r>
        <w:t xml:space="preserve">on fintech credit-origination rules (§4 regulatory table) and Mercado</w:t>
      </w:r>
      <w:r>
        <w:t xml:space="preserve"> </w:t>
      </w:r>
      <w:r>
        <w:t xml:space="preserve">Crédito growth is the operative bear-case driver. Second, Argentina is</w:t>
      </w:r>
      <w:r>
        <w:t xml:space="preserve"> </w:t>
      </w:r>
      <w:r>
        <w:t xml:space="preserve">~20% of revenue with IAS 29 hyperinflationary accounting adding noise to</w:t>
      </w:r>
      <w:r>
        <w:t xml:space="preserve"> </w:t>
      </w:r>
      <w:r>
        <w:t xml:space="preserve">headline GAAP (§9 Risk 4). The pack itself names “MELI moving to</w:t>
      </w:r>
      <w:r>
        <w:t xml:space="preserve"> </w:t>
      </w:r>
      <w:r>
        <w:t xml:space="preserve">constant-currency primary reporting” as a conditional trigger to upsize</w:t>
      </w:r>
      <w:r>
        <w:t xml:space="preserve"> </w:t>
      </w:r>
      <w:r>
        <w:t xml:space="preserve">(§0) — i.e., the company is not currently reporting in a way the IC can</w:t>
      </w:r>
      <w:r>
        <w:t xml:space="preserve"> </w:t>
      </w:r>
      <w:r>
        <w:t xml:space="preserve">fully trust. Third, the FY25 revenue mix WACC build (§7) uses a 5.15%</w:t>
      </w:r>
      <w:r>
        <w:t xml:space="preserve"> </w:t>
      </w:r>
      <w:r>
        <w:t xml:space="preserve">revenue-weighted country risk premium; a fully melded EM CRP would push</w:t>
      </w:r>
      <w:r>
        <w:t xml:space="preserve"> </w:t>
      </w:r>
      <w:r>
        <w:t xml:space="preserve">WACC to ~17% and intrinsic to ~$1,165 — 29% below spot.</w:t>
      </w:r>
    </w:p>
    <w:p>
      <w:pPr>
        <w:pStyle w:val="BodyText"/>
      </w:pPr>
      <w:r>
        <w:t xml:space="preserve">The pack openly states that the 13.5% house WACC is a bracketed</w:t>
      </w:r>
      <w:r>
        <w:t xml:space="preserve"> </w:t>
      </w:r>
      <w:r>
        <w:t xml:space="preserve">average between McKinsey-lite (~10.5%) and Damodaran melded (~17%). The</w:t>
      </w:r>
      <w:r>
        <w:t xml:space="preserve"> </w:t>
      </w:r>
      <w:r>
        <w:t xml:space="preserve">Macro Hawk reads this as: the intrinsic value depends on a country-risk</w:t>
      </w:r>
      <w:r>
        <w:t xml:space="preserve"> </w:t>
      </w:r>
      <w:r>
        <w:t xml:space="preserve">assumption that is contested by the pack’s own framework. At a fully</w:t>
      </w:r>
      <w:r>
        <w:t xml:space="preserve"> </w:t>
      </w:r>
      <w:r>
        <w:t xml:space="preserve">macro-adjusted WACC of 15% — which the pack adopts as the bear-case WACC</w:t>
      </w:r>
      <w:r>
        <w:t xml:space="preserve"> </w:t>
      </w:r>
      <w:r>
        <w:t xml:space="preserve">— bear intrinsic is $623. The macro tail isn’t a low-probability</w:t>
      </w:r>
      <w:r>
        <w:t xml:space="preserve"> </w:t>
      </w:r>
      <w:r>
        <w:t xml:space="preserve">outlier; the pack assigns it 25%.</w:t>
      </w:r>
    </w:p>
    <w:p>
      <w:pPr>
        <w:pStyle w:val="BodyText"/>
      </w:pPr>
      <w:r>
        <w:t xml:space="preserve">The 38% drawdown from the 12-month high (§7) is the market voting on</w:t>
      </w:r>
      <w:r>
        <w:t xml:space="preserve"> </w:t>
      </w:r>
      <w:r>
        <w:t xml:space="preserve">these overhangs. Buying into a corrected price is not safety when the</w:t>
      </w:r>
      <w:r>
        <w:t xml:space="preserve"> </w:t>
      </w:r>
      <w:r>
        <w:t xml:space="preserve">correction is incomplete.</w:t>
      </w:r>
    </w:p>
    <w:p>
      <w:pPr>
        <w:pStyle w:val="BodyText"/>
      </w:pPr>
      <w:r>
        <w:rPr>
          <w:b/>
          <w:bCs/>
        </w:rPr>
        <w:t xml:space="preserve">Bull case (from the pack):</w:t>
      </w:r>
      <w:r>
        <w:t xml:space="preserve"> </w:t>
      </w:r>
      <w:r>
        <w:t xml:space="preserve">balance sheet has $12.1bn</w:t>
      </w:r>
      <w:r>
        <w:t xml:space="preserve"> </w:t>
      </w:r>
      <w:r>
        <w:t xml:space="preserve">net cash to absorb single-jurisdiction shocks; USD reporting absorbs FX</w:t>
      </w:r>
      <w:r>
        <w:t xml:space="preserve"> </w:t>
      </w:r>
      <w:r>
        <w:t xml:space="preserve">volatility into the income statement.</w:t>
      </w:r>
      <w:r>
        <w:t xml:space="preserve"> </w:t>
      </w:r>
      <w:r>
        <w:rPr>
          <w:b/>
          <w:bCs/>
        </w:rPr>
        <w:t xml:space="preserve">Bear case (from the</w:t>
      </w:r>
      <w:r>
        <w:rPr>
          <w:b/>
          <w:bCs/>
        </w:rPr>
        <w:t xml:space="preserve"> </w:t>
      </w:r>
      <w:r>
        <w:rPr>
          <w:b/>
          <w:bCs/>
        </w:rPr>
        <w:t xml:space="preserve">pack):</w:t>
      </w:r>
      <w:r>
        <w:t xml:space="preserve"> </w:t>
      </w:r>
      <w:r>
        <w:t xml:space="preserve">25% probability weight on bear scenario ($623); ARS</w:t>
      </w:r>
      <w:r>
        <w:t xml:space="preserve"> </w:t>
      </w:r>
      <w:r>
        <w:t xml:space="preserve">devaluation &gt;40% in a quarter is a named walk-away trigger (§12); BCB</w:t>
      </w:r>
      <w:r>
        <w:t xml:space="preserve"> </w:t>
      </w:r>
      <w:r>
        <w:t xml:space="preserve">rule cap on platform-originated credit is the second.</w:t>
      </w:r>
      <w:r>
        <w:t xml:space="preserve"> </w:t>
      </w:r>
      <w:r>
        <w:rPr>
          <w:b/>
          <w:bCs/>
        </w:rPr>
        <w:t xml:space="preserve">Question</w:t>
      </w:r>
      <w:r>
        <w:rPr>
          <w:b/>
          <w:bCs/>
        </w:rPr>
        <w:t xml:space="preserve"> </w:t>
      </w:r>
      <w:r>
        <w:rPr>
          <w:b/>
          <w:bCs/>
        </w:rPr>
        <w:t xml:space="preserve">for management:</w:t>
      </w:r>
      <w:r>
        <w:t xml:space="preserve"> </w:t>
      </w:r>
      <w:r>
        <w:t xml:space="preserve">“Under what regulatory or macro condition would</w:t>
      </w:r>
      <w:r>
        <w:t xml:space="preserve"> </w:t>
      </w:r>
      <w:r>
        <w:t xml:space="preserve">you commit to constant-currency primary reporting that is comparable</w:t>
      </w:r>
      <w:r>
        <w:t xml:space="preserve"> </w:t>
      </w:r>
      <w:r>
        <w:t xml:space="preserve">across periods?”</w:t>
      </w:r>
    </w:p>
    <w:p>
      <w:r>
        <w:pict>
          <v:rect style="width:0;height:1.5pt" o:hralign="center" o:hrstd="t" o:hr="t"/>
        </w:pict>
      </w:r>
    </w:p>
    <w:bookmarkEnd w:id="16"/>
    <w:bookmarkStart w:id="17" w:name="persona-4-the-insurance-veteran"/>
    <w:p>
      <w:pPr>
        <w:pStyle w:val="Heading3"/>
      </w:pPr>
      <w:r>
        <w:t xml:space="preserve">Persona 4 — The Insurance</w:t>
      </w:r>
      <w:r>
        <w:t xml:space="preserve"> </w:t>
      </w:r>
      <w:r>
        <w:t xml:space="preserve">Veteran</w:t>
      </w:r>
    </w:p>
    <w:p>
      <w:pPr>
        <w:pStyle w:val="FirstParagraph"/>
      </w:pPr>
      <w:r>
        <w:rPr>
          <w:b/>
          <w:bCs/>
        </w:rPr>
        <w:t xml:space="preserve">Vote: YES. Position-size view: starter is correct sizing;</w:t>
      </w:r>
      <w:r>
        <w:rPr>
          <w:b/>
          <w:bCs/>
        </w:rPr>
        <w:t xml:space="preserve"> </w:t>
      </w:r>
      <w:r>
        <w:rPr>
          <w:b/>
          <w:bCs/>
        </w:rPr>
        <w:t xml:space="preserve">favours discipline of the conditional triggers.</w:t>
      </w:r>
    </w:p>
    <w:p>
      <w:pPr>
        <w:pStyle w:val="BodyText"/>
      </w:pPr>
      <w:r>
        <w:t xml:space="preserve">Mercado Crédito is the unit-economics question and the pack handles</w:t>
      </w:r>
      <w:r>
        <w:t xml:space="preserve"> </w:t>
      </w:r>
      <w:r>
        <w:t xml:space="preserve">it with the right structure. The claimed 23.3% NIMAL is properly flagged</w:t>
      </w:r>
      <w:r>
        <w:t xml:space="preserve"> </w:t>
      </w:r>
      <w:r>
        <w:t xml:space="preserve">as T4-secondary (§2 platform shape, §11 expert review) — the IC is not</w:t>
      </w:r>
      <w:r>
        <w:t xml:space="preserve"> </w:t>
      </w:r>
      <w:r>
        <w:t xml:space="preserve">being asked to underwrite this as a load-bearing T1 fact. The pack puts</w:t>
      </w:r>
      <w:r>
        <w:t xml:space="preserve"> </w:t>
      </w:r>
      <w:r>
        <w:t xml:space="preserve">the disclosure flag at high severity (§1, §9 Risk 6) and explicitly</w:t>
      </w:r>
      <w:r>
        <w:t xml:space="preserve"> </w:t>
      </w:r>
      <w:r>
        <w:t xml:space="preserve">conditions the upsize on Szarfsztejn naming an AI-driven cohort metric</w:t>
      </w:r>
      <w:r>
        <w:t xml:space="preserve"> </w:t>
      </w:r>
      <w:r>
        <w:t xml:space="preserve">with attribution.</w:t>
      </w:r>
    </w:p>
    <w:p>
      <w:pPr>
        <w:pStyle w:val="BodyText"/>
      </w:pPr>
      <w:r>
        <w:t xml:space="preserve">What the Insurance Veteran reads in the pack is unusually honest</w:t>
      </w:r>
      <w:r>
        <w:t xml:space="preserve"> </w:t>
      </w:r>
      <w:r>
        <w:t xml:space="preserve">unit-economics framing. The walk-away triggers (§12) include “Mercado</w:t>
      </w:r>
      <w:r>
        <w:t xml:space="preserve"> </w:t>
      </w:r>
      <w:r>
        <w:t xml:space="preserve">Crédito 90+ day NPLs expand by more than 200 basis points in any single</w:t>
      </w:r>
      <w:r>
        <w:t xml:space="preserve"> </w:t>
      </w:r>
      <w:r>
        <w:t xml:space="preserve">quarter without a quantitative management explanation” — a specific,</w:t>
      </w:r>
      <w:r>
        <w:t xml:space="preserve"> </w:t>
      </w:r>
      <w:r>
        <w:t xml:space="preserve">observable, falsifiable trigger that mirrors how a regulated insurance</w:t>
      </w:r>
      <w:r>
        <w:t xml:space="preserve"> </w:t>
      </w:r>
      <w:r>
        <w:t xml:space="preserve">lender would set its own loss-ratio walk-aways. The pack is not selling</w:t>
      </w:r>
      <w:r>
        <w:t xml:space="preserve"> </w:t>
      </w:r>
      <w:r>
        <w:t xml:space="preserve">the credit book as a permanent annuity; it is sizing the position to the</w:t>
      </w:r>
      <w:r>
        <w:t xml:space="preserve"> </w:t>
      </w:r>
      <w:r>
        <w:t xml:space="preserve">disclosure cycle.</w:t>
      </w:r>
    </w:p>
    <w:p>
      <w:pPr>
        <w:pStyle w:val="BodyText"/>
      </w:pPr>
      <w:r>
        <w:t xml:space="preserve">The cross-read from prior emerging-market consumer-credit work is</w:t>
      </w:r>
      <w:r>
        <w:t xml:space="preserve"> </w:t>
      </w:r>
      <w:r>
        <w:t xml:space="preserve">that thin-file behavioural-data underwriting genuinely compounds when</w:t>
      </w:r>
      <w:r>
        <w:t xml:space="preserve"> </w:t>
      </w:r>
      <w:r>
        <w:t xml:space="preserve">the platform owns the merchant flow (Mercado Pago settles the</w:t>
      </w:r>
      <w:r>
        <w:t xml:space="preserve"> </w:t>
      </w:r>
      <w:r>
        <w:t xml:space="preserve">transaction, Mercado Envíos delivers, Mercado Crédito extends). The</w:t>
      </w:r>
      <w:r>
        <w:t xml:space="preserve"> </w:t>
      </w:r>
      <w:r>
        <w:t xml:space="preserve">26-year accumulated behavioural data is the cornered resource that</w:t>
      </w:r>
      <w:r>
        <w:t xml:space="preserve"> </w:t>
      </w:r>
      <w:r>
        <w:t xml:space="preserve">competing single-vertical lenders cannot replicate at any cost in 18</w:t>
      </w:r>
      <w:r>
        <w:t xml:space="preserve"> </w:t>
      </w:r>
      <w:r>
        <w:t xml:space="preserve">months. The structural switching cost (§4) — sellers running Pago +</w:t>
      </w:r>
      <w:r>
        <w:t xml:space="preserve"> </w:t>
      </w:r>
      <w:r>
        <w:t xml:space="preserve">Envíos + Crédito simultaneously — is the genuine moat for the credit</w:t>
      </w:r>
      <w:r>
        <w:t xml:space="preserve"> </w:t>
      </w:r>
      <w:r>
        <w:t xml:space="preserve">book.</w:t>
      </w:r>
    </w:p>
    <w:p>
      <w:pPr>
        <w:pStyle w:val="BodyText"/>
      </w:pPr>
      <w:r>
        <w:rPr>
          <w:b/>
          <w:bCs/>
        </w:rPr>
        <w:t xml:space="preserve">Bull case (from the pack):</w:t>
      </w:r>
      <w:r>
        <w:t xml:space="preserve"> </w:t>
      </w:r>
      <w:r>
        <w:t xml:space="preserve">the integrated five-asset</w:t>
      </w:r>
      <w:r>
        <w:t xml:space="preserve"> </w:t>
      </w:r>
      <w:r>
        <w:t xml:space="preserve">stack is the genuine credit moat; conditional triggers are sharp;</w:t>
      </w:r>
      <w:r>
        <w:t xml:space="preserve"> </w:t>
      </w:r>
      <w:r>
        <w:t xml:space="preserve">walk-away triggers are observable.</w:t>
      </w:r>
      <w:r>
        <w:t xml:space="preserve"> </w:t>
      </w:r>
      <w:r>
        <w:rPr>
          <w:b/>
          <w:bCs/>
        </w:rPr>
        <w:t xml:space="preserve">Bear case (from the</w:t>
      </w:r>
      <w:r>
        <w:rPr>
          <w:b/>
          <w:bCs/>
        </w:rPr>
        <w:t xml:space="preserve"> </w:t>
      </w:r>
      <w:r>
        <w:rPr>
          <w:b/>
          <w:bCs/>
        </w:rPr>
        <w:t xml:space="preserve">pack):</w:t>
      </w:r>
      <w:r>
        <w:t xml:space="preserve"> </w:t>
      </w:r>
      <w:r>
        <w:t xml:space="preserve">the 90% YoY credit-book growth claim is T4-secondary;</w:t>
      </w:r>
      <w:r>
        <w:t xml:space="preserve"> </w:t>
      </w:r>
      <w:r>
        <w:t xml:space="preserve">Nubank’s regulated-bank cost-of-funds advantage (§4) is the real</w:t>
      </w:r>
      <w:r>
        <w:t xml:space="preserve"> </w:t>
      </w:r>
      <w:r>
        <w:t xml:space="preserve">structural risk to NIMAL, not Shopee.</w:t>
      </w:r>
      <w:r>
        <w:t xml:space="preserve"> </w:t>
      </w:r>
      <w:r>
        <w:rPr>
          <w:b/>
          <w:bCs/>
        </w:rPr>
        <w:t xml:space="preserve">Question for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management:</w:t>
      </w:r>
      <w:r>
        <w:t xml:space="preserve"> </w:t>
      </w:r>
      <w:r>
        <w:t xml:space="preserve">“What is the current 90+ day NPL ratio on the</w:t>
      </w:r>
      <w:r>
        <w:t xml:space="preserve"> </w:t>
      </w:r>
      <w:r>
        <w:t xml:space="preserve">Mercado Crédito book, disaggregated between seller credit and consumer</w:t>
      </w:r>
      <w:r>
        <w:t xml:space="preserve"> </w:t>
      </w:r>
      <w:r>
        <w:t xml:space="preserve">credit, for the most recent quarter?”</w:t>
      </w:r>
    </w:p>
    <w:p>
      <w:r>
        <w:pict>
          <v:rect style="width:0;height:1.5pt" o:hralign="center" o:hrstd="t" o:hr="t"/>
        </w:pict>
      </w:r>
    </w:p>
    <w:bookmarkEnd w:id="17"/>
    <w:bookmarkStart w:id="18" w:name="persona-5-the-ai-skeptic"/>
    <w:p>
      <w:pPr>
        <w:pStyle w:val="Heading3"/>
      </w:pPr>
      <w:r>
        <w:t xml:space="preserve">Persona 5 — The AI Skeptic</w:t>
      </w:r>
    </w:p>
    <w:p>
      <w:pPr>
        <w:pStyle w:val="FirstParagraph"/>
      </w:pPr>
      <w:r>
        <w:rPr>
          <w:b/>
          <w:bCs/>
        </w:rPr>
        <w:t xml:space="preserve">Vote: NO. Position-size view: WATCH; do not size into the</w:t>
      </w:r>
      <w:r>
        <w:rPr>
          <w:b/>
          <w:bCs/>
        </w:rPr>
        <w:t xml:space="preserve"> </w:t>
      </w:r>
      <w:r>
        <w:rPr>
          <w:b/>
          <w:bCs/>
        </w:rPr>
        <w:t xml:space="preserve">name until the disclosure event lands.</w:t>
      </w:r>
    </w:p>
    <w:p>
      <w:pPr>
        <w:pStyle w:val="BodyText"/>
      </w:pPr>
      <w:r>
        <w:t xml:space="preserve">This vote is fully driven by RF-DISC-006 — the single high-severity</w:t>
      </w:r>
      <w:r>
        <w:t xml:space="preserve"> </w:t>
      </w:r>
      <w:r>
        <w:t xml:space="preserve">fire in the 9-flag sweep (§1, §9 Risk 6). The pack states it directly:</w:t>
      </w:r>
      <w:r>
        <w:t xml:space="preserve"> </w:t>
      </w:r>
      <w:r>
        <w:t xml:space="preserve">zero of MercadoLibre’s six AI deployments grade at evidence grade B or</w:t>
      </w:r>
      <w:r>
        <w:t xml:space="preserve"> </w:t>
      </w:r>
      <w:r>
        <w:t xml:space="preserve">better. The three load-bearing AI claims — 87% Mercado Pago AI</w:t>
      </w:r>
      <w:r>
        <w:t xml:space="preserve"> </w:t>
      </w:r>
      <w:r>
        <w:t xml:space="preserve">customer-service resolution, 23.3% Mercado Crédito NIMAL, 40% YoY</w:t>
      </w:r>
      <w:r>
        <w:t xml:space="preserve"> </w:t>
      </w:r>
      <w:r>
        <w:t xml:space="preserve">fraud-cost decline — are all sourced from secondary aggregator synthesis</w:t>
      </w:r>
      <w:r>
        <w:t xml:space="preserve"> </w:t>
      </w:r>
      <w:r>
        <w:t xml:space="preserve">(klover.ai, investing.com, Gate 6 reference), not primary management</w:t>
      </w:r>
      <w:r>
        <w:t xml:space="preserve"> </w:t>
      </w:r>
      <w:r>
        <w:t xml:space="preserve">disclosure. The DCF base case requires operating margin to expand from</w:t>
      </w:r>
      <w:r>
        <w:t xml:space="preserve"> </w:t>
      </w:r>
      <w:r>
        <w:t xml:space="preserve">FY25’s 11.08% to 18% over 10 years (§7), and the AI claim is what the</w:t>
      </w:r>
      <w:r>
        <w:t xml:space="preserve"> </w:t>
      </w:r>
      <w:r>
        <w:t xml:space="preserve">bull case relies on to justify that expansion path.</w:t>
      </w:r>
    </w:p>
    <w:p>
      <w:pPr>
        <w:pStyle w:val="BodyText"/>
      </w:pPr>
      <w:r>
        <w:t xml:space="preserve">The AI Skeptic reads the pack as making the right framing call —</w:t>
      </w:r>
      <w:r>
        <w:t xml:space="preserve"> </w:t>
      </w:r>
      <w:r>
        <w:t xml:space="preserve">disclosure-quality is the binding constraint and sizing should reflect</w:t>
      </w:r>
      <w:r>
        <w:t xml:space="preserve"> </w:t>
      </w:r>
      <w:r>
        <w:t xml:space="preserve">that. But starter sizing at spot is still paying real money for</w:t>
      </w:r>
      <w:r>
        <w:t xml:space="preserve"> </w:t>
      </w:r>
      <w:r>
        <w:t xml:space="preserve">unaudited optionality. The pack openly invokes the Schilit “reliance on</w:t>
      </w:r>
      <w:r>
        <w:t xml:space="preserve"> </w:t>
      </w:r>
      <w:r>
        <w:t xml:space="preserve">adjusted financial metrics” pattern (§1) — inverted into modern</w:t>
      </w:r>
      <w:r>
        <w:t xml:space="preserve"> </w:t>
      </w:r>
      <w:r>
        <w:t xml:space="preserve">AI-narrative form. That is exactly the pattern the AI Unit Economics</w:t>
      </w:r>
      <w:r>
        <w:t xml:space="preserve"> </w:t>
      </w:r>
      <w:r>
        <w:t xml:space="preserve">doctrine v1.1 is built to flag. The disciplined response is WATCH at</w:t>
      </w:r>
      <w:r>
        <w:t xml:space="preserve"> </w:t>
      </w:r>
      <w:r>
        <w:t xml:space="preserve">this price, not STARTER.</w:t>
      </w:r>
    </w:p>
    <w:p>
      <w:pPr>
        <w:pStyle w:val="BodyText"/>
      </w:pPr>
      <w:r>
        <w:t xml:space="preserve">The three “bullshit flags” from doctrine fire concurrently:</w:t>
      </w:r>
      <w:r>
        <w:t xml:space="preserve"> </w:t>
      </w:r>
      <w:r>
        <w:t xml:space="preserve">selective_success_stories, metric_movement_without_mechanism,</w:t>
      </w:r>
      <w:r>
        <w:t xml:space="preserve"> </w:t>
      </w:r>
      <w:r>
        <w:t xml:space="preserve">no_counterfactual (§9 Risk 6 cluster). Management consistently invokes</w:t>
      </w:r>
      <w:r>
        <w:t xml:space="preserve"> </w:t>
      </w:r>
      <w:r>
        <w:t xml:space="preserve">ML in credit, ads, search, and logistics, but the pack states that “no</w:t>
      </w:r>
      <w:r>
        <w:t xml:space="preserve"> </w:t>
      </w:r>
      <w:r>
        <w:t xml:space="preserve">verbatim quote isolates AI’s contribution to margin or take-rate” (§6</w:t>
      </w:r>
      <w:r>
        <w:t xml:space="preserve"> </w:t>
      </w:r>
      <w:r>
        <w:t xml:space="preserve">adversarial flag 1). That is the disclosure gap. Paying for it before it</w:t>
      </w:r>
      <w:r>
        <w:t xml:space="preserve"> </w:t>
      </w:r>
      <w:r>
        <w:t xml:space="preserve">closes is paying for narrative.</w:t>
      </w:r>
    </w:p>
    <w:p>
      <w:pPr>
        <w:pStyle w:val="BodyText"/>
      </w:pPr>
      <w:r>
        <w:rPr>
          <w:b/>
          <w:bCs/>
        </w:rPr>
        <w:t xml:space="preserve">Bull case (from the pack):</w:t>
      </w:r>
      <w:r>
        <w:t xml:space="preserve"> </w:t>
      </w:r>
      <w:r>
        <w:t xml:space="preserve">the operating outcomes</w:t>
      </w:r>
      <w:r>
        <w:t xml:space="preserve"> </w:t>
      </w:r>
      <w:r>
        <w:t xml:space="preserve">are real — Q4 2025 unit-shipping cost decline is primary-sourced (§4);</w:t>
      </w:r>
      <w:r>
        <w:t xml:space="preserve"> </w:t>
      </w:r>
      <w:r>
        <w:t xml:space="preserve">outcomes don’t require AI causation to be real.</w:t>
      </w:r>
      <w:r>
        <w:t xml:space="preserve"> </w:t>
      </w:r>
      <w:r>
        <w:rPr>
          <w:b/>
          <w:bCs/>
        </w:rPr>
        <w:t xml:space="preserve">Bear case (from</w:t>
      </w:r>
      <w:r>
        <w:rPr>
          <w:b/>
          <w:bCs/>
        </w:rPr>
        <w:t xml:space="preserve"> </w:t>
      </w:r>
      <w:r>
        <w:rPr>
          <w:b/>
          <w:bCs/>
        </w:rPr>
        <w:t xml:space="preserve">the pack):</w:t>
      </w:r>
      <w:r>
        <w:t xml:space="preserve"> </w:t>
      </w:r>
      <w:r>
        <w:t xml:space="preserve">if outcomes don’t require AI causation, then the 18%</w:t>
      </w:r>
      <w:r>
        <w:t xml:space="preserve"> </w:t>
      </w:r>
      <w:r>
        <w:t xml:space="preserve">terminal operating margin doesn’t require AI causation either — and the</w:t>
      </w:r>
      <w:r>
        <w:t xml:space="preserve"> </w:t>
      </w:r>
      <w:r>
        <w:t xml:space="preserve">bull case loses its load-bearing mechanism. The base case probability</w:t>
      </w:r>
      <w:r>
        <w:t xml:space="preserve"> </w:t>
      </w:r>
      <w:r>
        <w:t xml:space="preserve">weight should compress.</w:t>
      </w:r>
      <w:r>
        <w:t xml:space="preserve"> </w:t>
      </w:r>
      <w:r>
        <w:rPr>
          <w:b/>
          <w:bCs/>
        </w:rPr>
        <w:t xml:space="preserve">Question for management:</w:t>
      </w:r>
      <w:r>
        <w:t xml:space="preserve"> </w:t>
      </w:r>
      <w:r>
        <w:t xml:space="preserve">“Will</w:t>
      </w:r>
      <w:r>
        <w:t xml:space="preserve"> </w:t>
      </w:r>
      <w:r>
        <w:t xml:space="preserve">you commit to publishing one Mercado Crédito cohort default-rate metric</w:t>
      </w:r>
      <w:r>
        <w:t xml:space="preserve"> </w:t>
      </w:r>
      <w:r>
        <w:t xml:space="preserve">— pre-AI baseline versus post-AI cohort at matched origination month —</w:t>
      </w:r>
      <w:r>
        <w:t xml:space="preserve"> </w:t>
      </w:r>
      <w:r>
        <w:t xml:space="preserve">in the Q2 2026 earnings deck?”</w:t>
      </w:r>
    </w:p>
    <w:p>
      <w:r>
        <w:pict>
          <v:rect style="width:0;height:1.5pt" o:hralign="center" o:hrstd="t" o:hr="t"/>
        </w:pict>
      </w:r>
    </w:p>
    <w:bookmarkEnd w:id="18"/>
    <w:bookmarkStart w:id="19" w:name="persona-6-the-activist"/>
    <w:p>
      <w:pPr>
        <w:pStyle w:val="Heading3"/>
      </w:pPr>
      <w:r>
        <w:t xml:space="preserve">Persona 6 — The Activist</w:t>
      </w:r>
    </w:p>
    <w:p>
      <w:pPr>
        <w:pStyle w:val="FirstParagraph"/>
      </w:pPr>
      <w:r>
        <w:rPr>
          <w:b/>
          <w:bCs/>
        </w:rPr>
        <w:t xml:space="preserve">Vote: ABSTAIN. Position-size view: cannot vote until auditor</w:t>
      </w:r>
      <w:r>
        <w:rPr>
          <w:b/>
          <w:bCs/>
        </w:rPr>
        <w:t xml:space="preserve"> </w:t>
      </w:r>
      <w:r>
        <w:rPr>
          <w:b/>
          <w:bCs/>
        </w:rPr>
        <w:t xml:space="preserve">identity and Galperín beneficial-ownership table are in the</w:t>
      </w:r>
      <w:r>
        <w:rPr>
          <w:b/>
          <w:bCs/>
        </w:rPr>
        <w:t xml:space="preserve"> </w:t>
      </w:r>
      <w:r>
        <w:rPr>
          <w:b/>
          <w:bCs/>
        </w:rPr>
        <w:t xml:space="preserve">corpus.</w:t>
      </w:r>
    </w:p>
    <w:p>
      <w:pPr>
        <w:pStyle w:val="BodyText"/>
      </w:pPr>
      <w:r>
        <w:t xml:space="preserve">The Activist reads the pack and finds two substrate gaps that the IC</w:t>
      </w:r>
      <w:r>
        <w:t xml:space="preserve"> </w:t>
      </w:r>
      <w:r>
        <w:t xml:space="preserve">cannot vote around. First, RF-AUD-001 — the auditor is not named in the</w:t>
      </w:r>
      <w:r>
        <w:t xml:space="preserve"> </w:t>
      </w:r>
      <w:r>
        <w:t xml:space="preserve">current corpus (§10, §2 headline corporate facts). The pack lists this</w:t>
      </w:r>
      <w:r>
        <w:t xml:space="preserve"> </w:t>
      </w:r>
      <w:r>
        <w:t xml:space="preserve">as a Gate 8 confirmation item but it has not closed; the Activist treats</w:t>
      </w:r>
      <w:r>
        <w:t xml:space="preserve"> </w:t>
      </w:r>
      <w:r>
        <w:t xml:space="preserve">this as a hard stop on any capital commitment, including starter sizing.</w:t>
      </w:r>
      <w:r>
        <w:t xml:space="preserve"> </w:t>
      </w:r>
      <w:r>
        <w:t xml:space="preserve">Big-4 presumption is not the same as confirmed Big-4 attestation, and</w:t>
      </w:r>
      <w:r>
        <w:t xml:space="preserve"> </w:t>
      </w:r>
      <w:r>
        <w:t xml:space="preserve">audit-fee trend over three years plus PCAOB inspection findings are not</w:t>
      </w:r>
      <w:r>
        <w:t xml:space="preserve"> </w:t>
      </w:r>
      <w:r>
        <w:t xml:space="preserve">in the corpus either. Second, RF-CAP-004 — Galperín’s</w:t>
      </w:r>
      <w:r>
        <w:t xml:space="preserve"> </w:t>
      </w:r>
      <w:r>
        <w:t xml:space="preserve">beneficial-ownership table from the DEF 14A is not parsed (§10).</w:t>
      </w:r>
      <w:r>
        <w:t xml:space="preserve"> </w:t>
      </w:r>
      <w:r>
        <w:t xml:space="preserve">Share-pledge status of an Executive Chair who retains “AI-innovation</w:t>
      </w:r>
      <w:r>
        <w:t xml:space="preserve"> </w:t>
      </w:r>
      <w:r>
        <w:t xml:space="preserve">sponsorship” custody is a material disclosure for an activist read.</w:t>
      </w:r>
    </w:p>
    <w:p>
      <w:pPr>
        <w:pStyle w:val="BodyText"/>
      </w:pPr>
      <w:r>
        <w:t xml:space="preserve">Beyond the gaps, the governance structure is the</w:t>
      </w:r>
      <w:r>
        <w:t xml:space="preserve"> </w:t>
      </w:r>
      <w:r>
        <w:t xml:space="preserve">founder-Executive-Chair-plus-founder-relative pattern (§10) at low</w:t>
      </w:r>
      <w:r>
        <w:t xml:space="preserve"> </w:t>
      </w:r>
      <w:r>
        <w:t xml:space="preserve">severity but real. Calemzuk as Lead Independent Director partially</w:t>
      </w:r>
      <w:r>
        <w:t xml:space="preserve"> </w:t>
      </w:r>
      <w:r>
        <w:t xml:space="preserve">mitigates. Average board tenure of ~9.3 years (§10) sits at the UK</w:t>
      </w:r>
      <w:r>
        <w:t xml:space="preserve"> </w:t>
      </w:r>
      <w:r>
        <w:t xml:space="preserve">Corporate Governance Code 9-year independence threshold —</w:t>
      </w:r>
      <w:r>
        <w:t xml:space="preserve"> </w:t>
      </w:r>
      <w:r>
        <w:t xml:space="preserve">Steinhoff-pattern adjacent, though independence ratio is 78% (healthy).</w:t>
      </w:r>
      <w:r>
        <w:t xml:space="preserve"> </w:t>
      </w:r>
      <w:r>
        <w:t xml:space="preserve">The capital-allocation custody retention by Galperín post-transition (§5</w:t>
      </w:r>
      <w:r>
        <w:t xml:space="preserve"> </w:t>
      </w:r>
      <w:r>
        <w:t xml:space="preserve">CEO transition; cross-red-flags Cluster 2) is the structural feature an</w:t>
      </w:r>
      <w:r>
        <w:t xml:space="preserve"> </w:t>
      </w:r>
      <w:r>
        <w:t xml:space="preserve">activist would press on.</w:t>
      </w:r>
    </w:p>
    <w:p>
      <w:pPr>
        <w:pStyle w:val="BodyText"/>
      </w:pPr>
      <w:r>
        <w:t xml:space="preserve">The Activist’s discipline is procedural: an IC cannot underwrite a</w:t>
      </w:r>
      <w:r>
        <w:t xml:space="preserve"> </w:t>
      </w:r>
      <w:r>
        <w:t xml:space="preserve">position when a hard-gate Layer 1 item — source attribution for the</w:t>
      </w:r>
      <w:r>
        <w:t xml:space="preserve"> </w:t>
      </w:r>
      <w:r>
        <w:t xml:space="preserve">audit chain — remains open. The verdict is ABSTAIN, not NO, because the</w:t>
      </w:r>
      <w:r>
        <w:t xml:space="preserve"> </w:t>
      </w:r>
      <w:r>
        <w:t xml:space="preserve">substrate gaps are closeable and the Activist would re-vote on a clean</w:t>
      </w:r>
      <w:r>
        <w:t xml:space="preserve"> </w:t>
      </w:r>
      <w:r>
        <w:t xml:space="preserve">corpus.</w:t>
      </w:r>
    </w:p>
    <w:p>
      <w:pPr>
        <w:pStyle w:val="BodyText"/>
      </w:pPr>
      <w:r>
        <w:rPr>
          <w:b/>
          <w:bCs/>
        </w:rPr>
        <w:t xml:space="preserve">Bull case (from the pack):</w:t>
      </w:r>
      <w:r>
        <w:t xml:space="preserve"> </w:t>
      </w:r>
      <w:r>
        <w:t xml:space="preserve">Galperín executed the</w:t>
      </w:r>
      <w:r>
        <w:t xml:space="preserve"> </w:t>
      </w:r>
      <w:r>
        <w:t xml:space="preserve">Wasserman founder-role-sacrifice transition before pressure required it</w:t>
      </w:r>
      <w:r>
        <w:t xml:space="preserve"> </w:t>
      </w:r>
      <w:r>
        <w:t xml:space="preserve">(§5) — founder-courage marker scores ~110.</w:t>
      </w:r>
      <w:r>
        <w:t xml:space="preserve"> </w:t>
      </w:r>
      <w:r>
        <w:rPr>
          <w:b/>
          <w:bCs/>
        </w:rPr>
        <w:t xml:space="preserve">Bear case (from the</w:t>
      </w:r>
      <w:r>
        <w:rPr>
          <w:b/>
          <w:bCs/>
        </w:rPr>
        <w:t xml:space="preserve"> </w:t>
      </w:r>
      <w:r>
        <w:rPr>
          <w:b/>
          <w:bCs/>
        </w:rPr>
        <w:t xml:space="preserve">pack):</w:t>
      </w:r>
      <w:r>
        <w:t xml:space="preserve"> </w:t>
      </w:r>
      <w:r>
        <w:t xml:space="preserve">auditor identity is a hard-gate Layer 1 (source</w:t>
      </w:r>
      <w:r>
        <w:t xml:space="preserve"> </w:t>
      </w:r>
      <w:r>
        <w:t xml:space="preserve">attribution) miss; beneficial ownership and pledge status unverified;</w:t>
      </w:r>
      <w:r>
        <w:t xml:space="preserve"> </w:t>
      </w:r>
      <w:r>
        <w:t xml:space="preserve">long board tenure with two non-independent directors (Galperín +</w:t>
      </w:r>
      <w:r>
        <w:t xml:space="preserve"> </w:t>
      </w:r>
      <w:r>
        <w:t xml:space="preserve">family).</w:t>
      </w:r>
      <w:r>
        <w:t xml:space="preserve"> </w:t>
      </w:r>
      <w:r>
        <w:rPr>
          <w:b/>
          <w:bCs/>
        </w:rPr>
        <w:t xml:space="preserve">Question for management:</w:t>
      </w:r>
      <w:r>
        <w:t xml:space="preserve"> </w:t>
      </w:r>
      <w:r>
        <w:t xml:space="preserve">“Who is the audit</w:t>
      </w:r>
      <w:r>
        <w:t xml:space="preserve"> </w:t>
      </w:r>
      <w:r>
        <w:t xml:space="preserve">engagement partner, what is the three-year audit-fee trend, and what is</w:t>
      </w:r>
      <w:r>
        <w:t xml:space="preserve"> </w:t>
      </w:r>
      <w:r>
        <w:t xml:space="preserve">the founder’s voting position and share-pledge status as of the most</w:t>
      </w:r>
      <w:r>
        <w:t xml:space="preserve"> </w:t>
      </w:r>
      <w:r>
        <w:t xml:space="preserve">recent DEF 14A beneficial-ownership table?”</w:t>
      </w:r>
    </w:p>
    <w:p>
      <w:r>
        <w:pict>
          <v:rect style="width:0;height:1.5pt" o:hralign="center" o:hrstd="t" o:hr="t"/>
        </w:pict>
      </w:r>
    </w:p>
    <w:bookmarkEnd w:id="19"/>
    <w:bookmarkStart w:id="20" w:name="persona-7-the-operator"/>
    <w:p>
      <w:pPr>
        <w:pStyle w:val="Heading3"/>
      </w:pPr>
      <w:r>
        <w:t xml:space="preserve">Persona 7 — The Operator</w:t>
      </w:r>
    </w:p>
    <w:p>
      <w:pPr>
        <w:pStyle w:val="FirstParagraph"/>
      </w:pPr>
      <w:r>
        <w:rPr>
          <w:b/>
          <w:bCs/>
        </w:rPr>
        <w:t xml:space="preserve">Vote: YES. Position-size view: starter is correct; bench</w:t>
      </w:r>
      <w:r>
        <w:rPr>
          <w:b/>
          <w:bCs/>
        </w:rPr>
        <w:t xml:space="preserve"> </w:t>
      </w:r>
      <w:r>
        <w:rPr>
          <w:b/>
          <w:bCs/>
        </w:rPr>
        <w:t xml:space="preserve">depth is the underwrite.</w:t>
      </w:r>
    </w:p>
    <w:p>
      <w:pPr>
        <w:pStyle w:val="BodyText"/>
      </w:pPr>
      <w:r>
        <w:t xml:space="preserve">The Operator reads the pack and finds an unusually deep operating</w:t>
      </w:r>
      <w:r>
        <w:t xml:space="preserve"> </w:t>
      </w:r>
      <w:r>
        <w:t xml:space="preserve">bench. Daniel Rabinovich — 26 continuous years at the platform, COO</w:t>
      </w:r>
      <w:r>
        <w:t xml:space="preserve"> </w:t>
      </w:r>
      <w:r>
        <w:t xml:space="preserve">since 2020 — is the single most load-bearing operational figure after</w:t>
      </w:r>
      <w:r>
        <w:t xml:space="preserve"> </w:t>
      </w:r>
      <w:r>
        <w:t xml:space="preserve">the founder (§5). Osvaldo Giménez has run Mercado Pago continuously</w:t>
      </w:r>
      <w:r>
        <w:t xml:space="preserve"> </w:t>
      </w:r>
      <w:r>
        <w:t xml:space="preserve">since 2004 (22 years). Martín de los Santos ran Mercado Crédito</w:t>
      </w:r>
      <w:r>
        <w:t xml:space="preserve"> </w:t>
      </w:r>
      <w:r>
        <w:t xml:space="preserve">2017–2023 before taking CFO. Median shared tenure across the named EVPs</w:t>
      </w:r>
      <w:r>
        <w:t xml:space="preserve"> </w:t>
      </w:r>
      <w:r>
        <w:t xml:space="preserve">is unusually high; at least four of seven have been at MELI for more</w:t>
      </w:r>
      <w:r>
        <w:t xml:space="preserve"> </w:t>
      </w:r>
      <w:r>
        <w:t xml:space="preserve">than 10 years (§5). Functional complementarity indexed at ~125 / ~118</w:t>
      </w:r>
      <w:r>
        <w:t xml:space="preserve"> </w:t>
      </w:r>
      <w:r>
        <w:t xml:space="preserve">shrunk-peer.</w:t>
      </w:r>
    </w:p>
    <w:p>
      <w:pPr>
        <w:pStyle w:val="BodyText"/>
      </w:pPr>
      <w:r>
        <w:t xml:space="preserve">Szarfsztejn’s track record is concrete. He built Mercado Envíos from</w:t>
      </w:r>
      <w:r>
        <w:t xml:space="preserve"> </w:t>
      </w:r>
      <w:r>
        <w:t xml:space="preserve">approximately 2018 — and the pack confirms unit shipping costs fell YoY</w:t>
      </w:r>
      <w:r>
        <w:t xml:space="preserve"> </w:t>
      </w:r>
      <w:r>
        <w:t xml:space="preserve">in Brazil, Mexico, Chile, and Colombia in 2025 per the Q4 release (§2,</w:t>
      </w:r>
      <w:r>
        <w:t xml:space="preserve"> </w:t>
      </w:r>
      <w:r>
        <w:t xml:space="preserve">§4) with management explicitly attributing the decline to scale, not AI.</w:t>
      </w:r>
      <w:r>
        <w:t xml:space="preserve"> </w:t>
      </w:r>
      <w:r>
        <w:t xml:space="preserve">That is operational delivery against a multi-billion-dollar capex</w:t>
      </w:r>
      <w:r>
        <w:t xml:space="preserve"> </w:t>
      </w:r>
      <w:r>
        <w:t xml:space="preserve">commitment, primary-sourced. The Operator reads that as the right kind</w:t>
      </w:r>
      <w:r>
        <w:t xml:space="preserve"> </w:t>
      </w:r>
      <w:r>
        <w:t xml:space="preserve">of executive credential — built the moat asset before getting the</w:t>
      </w:r>
      <w:r>
        <w:t xml:space="preserve"> </w:t>
      </w:r>
      <w:r>
        <w:t xml:space="preserve">seat.</w:t>
      </w:r>
    </w:p>
    <w:p>
      <w:pPr>
        <w:pStyle w:val="BodyText"/>
      </w:pPr>
      <w:r>
        <w:t xml:space="preserve">The Operator is comfortable with starter sizing because the execution</w:t>
      </w:r>
      <w:r>
        <w:t xml:space="preserve"> </w:t>
      </w:r>
      <w:r>
        <w:t xml:space="preserve">risk is properly named (§9 Risk 3): Szarfsztejn has zero quarterly</w:t>
      </w:r>
      <w:r>
        <w:t xml:space="preserve"> </w:t>
      </w:r>
      <w:r>
        <w:t xml:space="preserve">delivery in the CEO seat and the next four quarters are the live test.</w:t>
      </w:r>
      <w:r>
        <w:t xml:space="preserve"> </w:t>
      </w:r>
      <w:r>
        <w:t xml:space="preserve">The walk-away triggers (§12) include “Szarfsztejn defaults to</w:t>
      </w:r>
      <w:r>
        <w:t xml:space="preserve"> </w:t>
      </w:r>
      <w:r>
        <w:t xml:space="preserve">scale-and-reinvestment narrative through both Q2 and Q3 2026 calls</w:t>
      </w:r>
      <w:r>
        <w:t xml:space="preserve"> </w:t>
      </w:r>
      <w:r>
        <w:t xml:space="preserve">without naming an AI cohort metric” — that is the right falsifiability.</w:t>
      </w:r>
      <w:r>
        <w:t xml:space="preserve"> </w:t>
      </w:r>
      <w:r>
        <w:t xml:space="preserve">The conditional structure of the pack matches how an operator-investor</w:t>
      </w:r>
      <w:r>
        <w:t xml:space="preserve"> </w:t>
      </w:r>
      <w:r>
        <w:t xml:space="preserve">would underwrite a CEO transition: small bite now, scale on observed</w:t>
      </w:r>
      <w:r>
        <w:t xml:space="preserve"> </w:t>
      </w:r>
      <w:r>
        <w:t xml:space="preserve">execution.</w:t>
      </w:r>
    </w:p>
    <w:p>
      <w:pPr>
        <w:pStyle w:val="BodyText"/>
      </w:pPr>
      <w:r>
        <w:rPr>
          <w:b/>
          <w:bCs/>
        </w:rPr>
        <w:t xml:space="preserve">Bull case (from the pack):</w:t>
      </w:r>
      <w:r>
        <w:t xml:space="preserve"> </w:t>
      </w:r>
      <w:r>
        <w:t xml:space="preserve">bench depth at ~115 /</w:t>
      </w:r>
      <w:r>
        <w:t xml:space="preserve"> </w:t>
      </w:r>
      <w:r>
        <w:t xml:space="preserve">~108 shrunk-peer; Szarfsztejn’s logistics build-out is independently</w:t>
      </w:r>
      <w:r>
        <w:t xml:space="preserve"> </w:t>
      </w:r>
      <w:r>
        <w:t xml:space="preserve">corroborated as a moat driver (§2); walk-away triggers are observable.</w:t>
      </w:r>
      <w:r>
        <w:t xml:space="preserve"> </w:t>
      </w:r>
      <w:r>
        <w:rPr>
          <w:b/>
          <w:bCs/>
        </w:rPr>
        <w:t xml:space="preserve">Bear case (from the pack):</w:t>
      </w:r>
      <w:r>
        <w:t xml:space="preserve"> </w:t>
      </w:r>
      <w:r>
        <w:t xml:space="preserve">no publicly-named successor</w:t>
      </w:r>
      <w:r>
        <w:t xml:space="preserve"> </w:t>
      </w:r>
      <w:r>
        <w:t xml:space="preserve">to Szarfsztejn or Rabinovich (§5 key-person risk medium); CFO is two</w:t>
      </w:r>
      <w:r>
        <w:t xml:space="preserve"> </w:t>
      </w:r>
      <w:r>
        <w:t xml:space="preserve">years into seat; no director with primary AI-research identity on the</w:t>
      </w:r>
      <w:r>
        <w:t xml:space="preserve"> </w:t>
      </w:r>
      <w:r>
        <w:t xml:space="preserve">board (§10).</w:t>
      </w:r>
      <w:r>
        <w:t xml:space="preserve"> </w:t>
      </w:r>
      <w:r>
        <w:rPr>
          <w:b/>
          <w:bCs/>
        </w:rPr>
        <w:t xml:space="preserve">Question for management:</w:t>
      </w:r>
      <w:r>
        <w:t xml:space="preserve"> </w:t>
      </w:r>
      <w:r>
        <w:t xml:space="preserve">“Who is the named</w:t>
      </w:r>
      <w:r>
        <w:t xml:space="preserve"> </w:t>
      </w:r>
      <w:r>
        <w:t xml:space="preserve">successor to Daniel Rabinovich as COO Product and Technology in the</w:t>
      </w:r>
      <w:r>
        <w:t xml:space="preserve"> </w:t>
      </w:r>
      <w:r>
        <w:t xml:space="preserve">event of incapacity, and at what point in the next 24 months will that</w:t>
      </w:r>
      <w:r>
        <w:t xml:space="preserve"> </w:t>
      </w:r>
      <w:r>
        <w:t xml:space="preserve">succession be made public?”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ote-tally-box"/>
    <w:p>
      <w:pPr>
        <w:pStyle w:val="Heading2"/>
      </w:pPr>
      <w:r>
        <w:t xml:space="preserve">§2 — Vote tally box</w:t>
      </w:r>
    </w:p>
    <w:p>
      <w:pPr>
        <w:pStyle w:val="SourceCode"/>
      </w:pPr>
      <w:r>
        <w:rPr>
          <w:rStyle w:val="VerbatimChar"/>
        </w:rPr>
        <w:t xml:space="preserve">  YES  ▌▌▌                       3   (Power-Law Hunter · Insurance Veteran · Operator)</w:t>
      </w:r>
      <w:r>
        <w:br/>
      </w:r>
      <w:r>
        <w:rPr>
          <w:rStyle w:val="VerbatimChar"/>
        </w:rPr>
        <w:t xml:space="preserve">  NO   ▌▌▌                       3   (Compounder · Macro Hawk · AI Skeptic)</w:t>
      </w:r>
      <w:r>
        <w:br/>
      </w:r>
      <w:r>
        <w:rPr>
          <w:rStyle w:val="VerbatimChar"/>
        </w:rPr>
        <w:t xml:space="preserve">  ABST ▌                         1   (Activist — substrate-gap procedural abstain)</w:t>
      </w:r>
      <w:r>
        <w:br/>
      </w:r>
      <w:r>
        <w:rPr>
          <w:rStyle w:val="VerbatimChar"/>
        </w:rPr>
        <w:t xml:space="preserve">  ──────────────────────────────</w:t>
      </w:r>
      <w:r>
        <w:br/>
      </w:r>
      <w:r>
        <w:rPr>
          <w:rStyle w:val="VerbatimChar"/>
        </w:rPr>
        <w:t xml:space="preserve">  Total                          7</w:t>
      </w:r>
    </w:p>
    <w:p>
      <w:r>
        <w:pict>
          <v:rect style="width:0;height:1.5pt" o:hralign="center" o:hrstd="t" o:hr="t"/>
        </w:pict>
      </w:r>
    </w:p>
    <w:bookmarkEnd w:id="22"/>
    <w:bookmarkStart w:id="23" w:name="consensus-verdict-box"/>
    <w:p>
      <w:pPr>
        <w:pStyle w:val="Heading2"/>
      </w:pPr>
      <w:r>
        <w:t xml:space="preserve">§3 — Consensus verdict box</w:t>
      </w:r>
    </w:p>
    <w:p>
      <w:pPr>
        <w:pStyle w:val="BlockText"/>
      </w:pPr>
      <w:r>
        <w:rPr>
          <w:b/>
          <w:bCs/>
        </w:rPr>
        <w:t xml:space="preserve">VERDICT: STARTER POSITION (CONDITIONAL).</w:t>
      </w:r>
    </w:p>
    <w:p>
      <w:pPr>
        <w:pStyle w:val="BlockText"/>
      </w:pPr>
      <w:r>
        <w:t xml:space="preserve">The panel splits 3–3 on votes but converges on the pack’s own sizing</w:t>
      </w:r>
      <w:r>
        <w:t xml:space="preserve"> </w:t>
      </w:r>
      <w:r>
        <w:t xml:space="preserve">recommendation when the Activist’s procedural abstain is set aside.</w:t>
      </w:r>
      <w:r>
        <w:t xml:space="preserve"> </w:t>
      </w:r>
      <w:r>
        <w:t xml:space="preserve">Three YES votes (Power-Law Hunter, Insurance Veteran, Operator) endorse</w:t>
      </w:r>
      <w:r>
        <w:t xml:space="preserve"> </w:t>
      </w:r>
      <w:r>
        <w:t xml:space="preserve">starter sizing at 0.5–1.0% NAV at spot, treating −1.0% margin of safety</w:t>
      </w:r>
      <w:r>
        <w:t xml:space="preserve"> </w:t>
      </w:r>
      <w:r>
        <w:t xml:space="preserve">as the price of being in the name before the Q2 2026 disclosure event.</w:t>
      </w:r>
      <w:r>
        <w:t xml:space="preserve"> </w:t>
      </w:r>
      <w:r>
        <w:t xml:space="preserve">Three NO votes (Compounder, Macro Hawk, AI Skeptic) argue the</w:t>
      </w:r>
      <w:r>
        <w:t xml:space="preserve"> </w:t>
      </w:r>
      <w:r>
        <w:t xml:space="preserve">disciplined response at no-MoS-with-high-severity-AI-flag is WATCH, not</w:t>
      </w:r>
      <w:r>
        <w:t xml:space="preserve"> </w:t>
      </w:r>
      <w:r>
        <w:t xml:space="preserve">STARTER. The Activist abstains pending auditor identity and Galperín</w:t>
      </w:r>
      <w:r>
        <w:t xml:space="preserve"> </w:t>
      </w:r>
      <w:r>
        <w:t xml:space="preserve">beneficial-ownership-table closure.</w:t>
      </w:r>
    </w:p>
    <w:p>
      <w:pPr>
        <w:pStyle w:val="BlockText"/>
      </w:pPr>
      <w:r>
        <w:rPr>
          <w:b/>
          <w:bCs/>
        </w:rPr>
        <w:t xml:space="preserve">Reasoning for STARTER over WATCH:</w:t>
      </w:r>
      <w:r>
        <w:t xml:space="preserve"> </w:t>
      </w:r>
      <w:r>
        <w:t xml:space="preserve">The disagreement</w:t>
      </w:r>
      <w:r>
        <w:t xml:space="preserve"> </w:t>
      </w:r>
      <w:r>
        <w:t xml:space="preserve">is fundamentally about position sizing, not thesis. No persona disputes</w:t>
      </w:r>
      <w:r>
        <w:t xml:space="preserve"> </w:t>
      </w:r>
      <w:r>
        <w:t xml:space="preserve">that the moat is real (131 moat index), that the Q1’26 +49% YoY print is</w:t>
      </w:r>
      <w:r>
        <w:t xml:space="preserve"> </w:t>
      </w:r>
      <w:r>
        <w:t xml:space="preserve">genuine, or that the bench is unusually deep. The Compounder and AI</w:t>
      </w:r>
      <w:r>
        <w:t xml:space="preserve"> </w:t>
      </w:r>
      <w:r>
        <w:t xml:space="preserve">Skeptic both concede the bull case in their fact-checked bear case. The</w:t>
      </w:r>
      <w:r>
        <w:t xml:space="preserve"> </w:t>
      </w:r>
      <w:r>
        <w:t xml:space="preserve">Macro Hawk’s objection compresses to a country-risk-premium debate that</w:t>
      </w:r>
      <w:r>
        <w:t xml:space="preserve"> </w:t>
      </w:r>
      <w:r>
        <w:t xml:space="preserve">the pack openly brackets. The structural call is whether 0.5–1.0% NAV is</w:t>
      </w:r>
      <w:r>
        <w:t xml:space="preserve"> </w:t>
      </w:r>
      <w:r>
        <w:t xml:space="preserve">“paying for confirmation” (NO read) or “buying optionality on a</w:t>
      </w:r>
      <w:r>
        <w:t xml:space="preserve"> </w:t>
      </w:r>
      <w:r>
        <w:t xml:space="preserve">properly-conditioned disclosure event” (YES read). Either is defensible.</w:t>
      </w:r>
      <w:r>
        <w:t xml:space="preserve"> </w:t>
      </w:r>
      <w:r>
        <w:t xml:space="preserve">The pack’s own §12 verdict — STARTER conditional on Q2/Q3 2026 trigger</w:t>
      </w:r>
      <w:r>
        <w:t xml:space="preserve"> </w:t>
      </w:r>
      <w:r>
        <w:t xml:space="preserve">discharge — is the operative position the partners walk into the human</w:t>
      </w:r>
      <w:r>
        <w:t xml:space="preserve"> </w:t>
      </w:r>
      <w:r>
        <w:t xml:space="preserve">IC with.</w:t>
      </w:r>
    </w:p>
    <w:p>
      <w:r>
        <w:pict>
          <v:rect style="width:0;height:1.5pt" o:hralign="center" o:hrstd="t" o:hr="t"/>
        </w:pict>
      </w:r>
    </w:p>
    <w:bookmarkEnd w:id="23"/>
    <w:bookmarkStart w:id="24" w:name="minority-view-box"/>
    <w:p>
      <w:pPr>
        <w:pStyle w:val="Heading2"/>
      </w:pPr>
      <w:r>
        <w:t xml:space="preserve">§4 — Minority view box</w:t>
      </w:r>
    </w:p>
    <w:p>
      <w:pPr>
        <w:pStyle w:val="BlockText"/>
      </w:pPr>
      <w:r>
        <w:rPr>
          <w:b/>
          <w:bCs/>
        </w:rPr>
        <w:t xml:space="preserve">MINORITY VIEW (3 of 7): WATCH at spot; do not commit capital</w:t>
      </w:r>
      <w:r>
        <w:rPr>
          <w:b/>
          <w:bCs/>
        </w:rPr>
        <w:t xml:space="preserve"> </w:t>
      </w:r>
      <w:r>
        <w:rPr>
          <w:b/>
          <w:bCs/>
        </w:rPr>
        <w:t xml:space="preserve">until either price retraces to ≤ $1,430 or the high-severity</w:t>
      </w:r>
      <w:r>
        <w:rPr>
          <w:b/>
          <w:bCs/>
        </w:rPr>
        <w:t xml:space="preserve"> </w:t>
      </w:r>
      <w:r>
        <w:rPr>
          <w:b/>
          <w:bCs/>
        </w:rPr>
        <w:t xml:space="preserve">AI-disclosure flag retires.</w:t>
      </w:r>
    </w:p>
    <w:p>
      <w:pPr>
        <w:pStyle w:val="BlockText"/>
      </w:pPr>
      <w:r>
        <w:t xml:space="preserve">The Compounder, Macro Hawk, and AI Skeptic dissent on the same axis:</w:t>
      </w:r>
      <w:r>
        <w:t xml:space="preserve"> </w:t>
      </w:r>
      <w:r>
        <w:t xml:space="preserve">the pack’s own framework places $1,648 in the “watch / no-add” band of</w:t>
      </w:r>
      <w:r>
        <w:t xml:space="preserve"> </w:t>
      </w:r>
      <w:r>
        <w:t xml:space="preserve">the §7 entry table (the starter band is $1,270–$1,430). Committing</w:t>
      </w:r>
      <w:r>
        <w:t xml:space="preserve"> </w:t>
      </w:r>
      <w:r>
        <w:t xml:space="preserve">0.5–1.0% NAV at the wrong side of the pack’s own entry discipline is</w:t>
      </w:r>
      <w:r>
        <w:t xml:space="preserve"> </w:t>
      </w:r>
      <w:r>
        <w:t xml:space="preserve">paying for narrative ahead of confirmation. The minority view is that</w:t>
      </w:r>
      <w:r>
        <w:t xml:space="preserve"> </w:t>
      </w:r>
      <w:r>
        <w:t xml:space="preserve">the Q2 2026 earnings call is the right gating event but the wrong time</w:t>
      </w:r>
      <w:r>
        <w:t xml:space="preserve"> </w:t>
      </w:r>
      <w:r>
        <w:t xml:space="preserve">to pre-position — the disclosure is binary and the asymmetric move is on</w:t>
      </w:r>
      <w:r>
        <w:t xml:space="preserve"> </w:t>
      </w:r>
      <w:r>
        <w:t xml:space="preserve">the disclosure, not before it. The minority would re-vote YES if (i)</w:t>
      </w:r>
      <w:r>
        <w:t xml:space="preserve"> </w:t>
      </w:r>
      <w:r>
        <w:t xml:space="preserve">price retraces into the starter band, or (ii) Q2 2026 anchors one AI</w:t>
      </w:r>
      <w:r>
        <w:t xml:space="preserve"> </w:t>
      </w:r>
      <w:r>
        <w:t xml:space="preserve">cohort metric to primary disclosure with attribution, whichever comes</w:t>
      </w:r>
      <w:r>
        <w:t xml:space="preserve"> </w:t>
      </w:r>
      <w:r>
        <w:t xml:space="preserve">first.</w:t>
      </w:r>
    </w:p>
    <w:p>
      <w:pPr>
        <w:pStyle w:val="BlockText"/>
      </w:pPr>
      <w:r>
        <w:t xml:space="preserve">This is a serious dissent. Three of seven personas refuse to accept</w:t>
      </w:r>
      <w:r>
        <w:t xml:space="preserve"> </w:t>
      </w:r>
      <w:r>
        <w:t xml:space="preserve">the −1.0% margin of safety as the price of optionality. The human IC</w:t>
      </w:r>
      <w:r>
        <w:t xml:space="preserve"> </w:t>
      </w:r>
      <w:r>
        <w:t xml:space="preserve">must address whether the starter sizing materially changes Chronos’s</w:t>
      </w:r>
      <w:r>
        <w:t xml:space="preserve"> </w:t>
      </w:r>
      <w:r>
        <w:t xml:space="preserve">risk posture on MELI versus simply not yet being in the name — and</w:t>
      </w:r>
      <w:r>
        <w:t xml:space="preserve"> </w:t>
      </w:r>
      <w:r>
        <w:t xml:space="preserve">whether the option value of a 0.5–1.0% allocation is large enough to</w:t>
      </w:r>
      <w:r>
        <w:t xml:space="preserve"> </w:t>
      </w:r>
      <w:r>
        <w:t xml:space="preserve">override a hard-gate AI-disclosure flag for one to two quarters.</w:t>
      </w:r>
    </w:p>
    <w:p>
      <w:r>
        <w:pict>
          <v:rect style="width:0;height:1.5pt" o:hralign="center" o:hrstd="t" o:hr="t"/>
        </w:pict>
      </w:r>
    </w:p>
    <w:bookmarkEnd w:id="24"/>
    <w:bookmarkStart w:id="25" w:name="disagreement-axis"/>
    <w:p>
      <w:pPr>
        <w:pStyle w:val="Heading2"/>
      </w:pPr>
      <w:r>
        <w:t xml:space="preserve">§5 — Disagreement axis</w:t>
      </w:r>
    </w:p>
    <w:p>
      <w:pPr>
        <w:pStyle w:val="FirstParagraph"/>
      </w:pPr>
      <w:r>
        <w:t xml:space="preserve">The vote divides on a single question:</w:t>
      </w:r>
      <w:r>
        <w:t xml:space="preserve"> </w:t>
      </w:r>
      <w:r>
        <w:rPr>
          <w:b/>
          <w:bCs/>
        </w:rPr>
        <w:t xml:space="preserve">is starter sizing</w:t>
      </w:r>
      <w:r>
        <w:rPr>
          <w:b/>
          <w:bCs/>
        </w:rPr>
        <w:t xml:space="preserve"> </w:t>
      </w:r>
      <w:r>
        <w:rPr>
          <w:b/>
          <w:bCs/>
        </w:rPr>
        <w:t xml:space="preserve">(0.5–1.0% NAV) the right way to buy optionality on a binary disclosure</w:t>
      </w:r>
      <w:r>
        <w:rPr>
          <w:b/>
          <w:bCs/>
        </w:rPr>
        <w:t xml:space="preserve"> </w:t>
      </w:r>
      <w:r>
        <w:rPr>
          <w:b/>
          <w:bCs/>
        </w:rPr>
        <w:t xml:space="preserve">event when the pack’s own intrinsic value framework places spot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“watch / no-add” band?</w:t>
      </w:r>
    </w:p>
    <w:p>
      <w:pPr>
        <w:pStyle w:val="BodyText"/>
      </w:pPr>
      <w:r>
        <w:t xml:space="preserve">The YES votes (Power-Law Hunter, Insurance Veteran, Operator) treat</w:t>
      </w:r>
      <w:r>
        <w:t xml:space="preserve"> </w:t>
      </w:r>
      <w:r>
        <w:t xml:space="preserve">starter sizing as the discipline — small enough to absorb the</w:t>
      </w:r>
      <w:r>
        <w:t xml:space="preserve"> </w:t>
      </w:r>
      <w:r>
        <w:t xml:space="preserve">AI-disclosure tail, large enough to participate if Q2’26 lands. The NO</w:t>
      </w:r>
      <w:r>
        <w:t xml:space="preserve"> </w:t>
      </w:r>
      <w:r>
        <w:t xml:space="preserve">votes (Compounder, Macro Hawk, AI Skeptic) treat starter sizing as the</w:t>
      </w:r>
      <w:r>
        <w:t xml:space="preserve"> </w:t>
      </w:r>
      <w:r>
        <w:t xml:space="preserve">trap — small enough to feel disciplined, large enough to bleed real</w:t>
      </w:r>
      <w:r>
        <w:t xml:space="preserve"> </w:t>
      </w:r>
      <w:r>
        <w:t xml:space="preserve">basis points if the bear case prints. The Activist’s abstain reframes</w:t>
      </w:r>
      <w:r>
        <w:t xml:space="preserve"> </w:t>
      </w:r>
      <w:r>
        <w:t xml:space="preserve">the question as procedural: the IC cannot adjudicate the sizing debate</w:t>
      </w:r>
      <w:r>
        <w:t xml:space="preserve"> </w:t>
      </w:r>
      <w:r>
        <w:t xml:space="preserve">while the auditor identity and beneficial-ownership data are outside the</w:t>
      </w:r>
      <w:r>
        <w:t xml:space="preserve"> </w:t>
      </w:r>
      <w:r>
        <w:t xml:space="preserve">corpus.</w:t>
      </w:r>
    </w:p>
    <w:p>
      <w:r>
        <w:pict>
          <v:rect style="width:0;height:1.5pt" o:hralign="center" o:hrstd="t" o:hr="t"/>
        </w:pict>
      </w:r>
    </w:p>
    <w:bookmarkEnd w:id="25"/>
    <w:bookmarkStart w:id="26" w:name="X851e277a6969243a6fe35b65b22eda7ec593edc"/>
    <w:p>
      <w:pPr>
        <w:pStyle w:val="Heading2"/>
      </w:pPr>
      <w:r>
        <w:t xml:space="preserve">§6 — Five</w:t>
      </w:r>
      <w:r>
        <w:t xml:space="preserve"> </w:t>
      </w:r>
      <w:r>
        <w:t xml:space="preserve">questions the Human IC must ask management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Will MercadoLibre publish one Mercado Crédito cohort</w:t>
      </w:r>
      <w:r>
        <w:rPr>
          <w:b/>
          <w:bCs/>
        </w:rPr>
        <w:t xml:space="preserve"> </w:t>
      </w:r>
      <w:r>
        <w:rPr>
          <w:b/>
          <w:bCs/>
        </w:rPr>
        <w:t xml:space="preserve">default-rate metric — pre-AI baseline versus post-AI cohort at matched</w:t>
      </w:r>
      <w:r>
        <w:rPr>
          <w:b/>
          <w:bCs/>
        </w:rPr>
        <w:t xml:space="preserve"> </w:t>
      </w:r>
      <w:r>
        <w:rPr>
          <w:b/>
          <w:bCs/>
        </w:rPr>
        <w:t xml:space="preserve">origination month — in the Q2 2026 earnings deck, or in the FY2026 10-K</w:t>
      </w:r>
      <w:r>
        <w:rPr>
          <w:b/>
          <w:bCs/>
        </w:rPr>
        <w:t xml:space="preserve"> </w:t>
      </w:r>
      <w:r>
        <w:rPr>
          <w:b/>
          <w:bCs/>
        </w:rPr>
        <w:t xml:space="preserve">MD&amp;A?</w:t>
      </w:r>
      <w:r>
        <w:t xml:space="preserve"> </w:t>
      </w:r>
      <w:r>
        <w:t xml:space="preserve">This is the single highest-leverage disclosure event</w:t>
      </w:r>
      <w:r>
        <w:t xml:space="preserve"> </w:t>
      </w:r>
      <w:r>
        <w:t xml:space="preserve">in the next twelve months. The AI Skeptic’s NO vote and the Power-Law</w:t>
      </w:r>
      <w:r>
        <w:t xml:space="preserve"> </w:t>
      </w:r>
      <w:r>
        <w:t xml:space="preserve">Hunter’s YES vote turn on the same answer.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is the current 90+ day NPL ratio on the Mercado</w:t>
      </w:r>
      <w:r>
        <w:rPr>
          <w:b/>
          <w:bCs/>
        </w:rPr>
        <w:t xml:space="preserve"> </w:t>
      </w:r>
      <w:r>
        <w:rPr>
          <w:b/>
          <w:bCs/>
        </w:rPr>
        <w:t xml:space="preserve">Crédito book, disaggregated between seller credit and consumer credit,</w:t>
      </w:r>
      <w:r>
        <w:rPr>
          <w:b/>
          <w:bCs/>
        </w:rPr>
        <w:t xml:space="preserve"> </w:t>
      </w:r>
      <w:r>
        <w:rPr>
          <w:b/>
          <w:bCs/>
        </w:rPr>
        <w:t xml:space="preserve">for the most recent quarter?</w:t>
      </w:r>
      <w:r>
        <w:t xml:space="preserve"> </w:t>
      </w:r>
      <w:r>
        <w:t xml:space="preserve">The walk-away trigger is set at</w:t>
      </w:r>
      <w:r>
        <w:t xml:space="preserve"> </w:t>
      </w:r>
      <w:r>
        <w:t xml:space="preserve">+200 basis points in any single quarter without quantitative</w:t>
      </w:r>
      <w:r>
        <w:t xml:space="preserve"> </w:t>
      </w:r>
      <w:r>
        <w:t xml:space="preserve">explanation. The IC cannot monitor a trigger it has never seen the</w:t>
      </w:r>
      <w:r>
        <w:t xml:space="preserve"> </w:t>
      </w:r>
      <w:r>
        <w:t xml:space="preserve">baseline of. This is the Insurance Veteran’s question and it is</w:t>
      </w:r>
      <w:r>
        <w:t xml:space="preserve"> </w:t>
      </w:r>
      <w:r>
        <w:t xml:space="preserve">binary.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Who is the audit engagement partner,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three-year audit-fee trend, and what is Marcos Galperín’s voting</w:t>
      </w:r>
      <w:r>
        <w:rPr>
          <w:b/>
          <w:bCs/>
        </w:rPr>
        <w:t xml:space="preserve"> </w:t>
      </w:r>
      <w:r>
        <w:rPr>
          <w:b/>
          <w:bCs/>
        </w:rPr>
        <w:t xml:space="preserve">position and share-pledge status as of the most recent DEF 14A</w:t>
      </w:r>
      <w:r>
        <w:rPr>
          <w:b/>
          <w:bCs/>
        </w:rPr>
        <w:t xml:space="preserve"> </w:t>
      </w:r>
      <w:r>
        <w:rPr>
          <w:b/>
          <w:bCs/>
        </w:rPr>
        <w:t xml:space="preserve">beneficial-ownership table?</w:t>
      </w:r>
      <w:r>
        <w:t xml:space="preserve"> </w:t>
      </w:r>
      <w:r>
        <w:t xml:space="preserve">Two substrate gaps in one question.</w:t>
      </w:r>
      <w:r>
        <w:t xml:space="preserve"> </w:t>
      </w:r>
      <w:r>
        <w:t xml:space="preserve">The Activist abstains until these close. Both are routine disclosure</w:t>
      </w:r>
      <w:r>
        <w:t xml:space="preserve"> </w:t>
      </w:r>
      <w:r>
        <w:t xml:space="preserve">items and the pack lists them as Gate 8 confirmation items that have not</w:t>
      </w:r>
      <w:r>
        <w:t xml:space="preserve"> </w:t>
      </w:r>
      <w:r>
        <w:t xml:space="preserve">yet closed.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Under what regulatory or macro condition would</w:t>
      </w:r>
      <w:r>
        <w:rPr>
          <w:b/>
          <w:bCs/>
        </w:rPr>
        <w:t xml:space="preserve"> </w:t>
      </w:r>
      <w:r>
        <w:rPr>
          <w:b/>
          <w:bCs/>
        </w:rPr>
        <w:t xml:space="preserve">MercadoLibre commit to constant-currency primary reporting that is</w:t>
      </w:r>
      <w:r>
        <w:rPr>
          <w:b/>
          <w:bCs/>
        </w:rPr>
        <w:t xml:space="preserve"> </w:t>
      </w:r>
      <w:r>
        <w:rPr>
          <w:b/>
          <w:bCs/>
        </w:rPr>
        <w:t xml:space="preserve">comparable across periods, and what is management’s view on whether the</w:t>
      </w:r>
      <w:r>
        <w:rPr>
          <w:b/>
          <w:bCs/>
        </w:rPr>
        <w:t xml:space="preserve"> </w:t>
      </w:r>
      <w:r>
        <w:rPr>
          <w:b/>
          <w:bCs/>
        </w:rPr>
        <w:t xml:space="preserve">IAS 29 hyperinflationary accounting treatment for Argentina is</w:t>
      </w:r>
      <w:r>
        <w:rPr>
          <w:b/>
          <w:bCs/>
        </w:rPr>
        <w:t xml:space="preserve"> </w:t>
      </w:r>
      <w:r>
        <w:rPr>
          <w:b/>
          <w:bCs/>
        </w:rPr>
        <w:t xml:space="preserve">comparable across the FY24, FY25, and Q1’26 prints?</w:t>
      </w:r>
      <w:r>
        <w:t xml:space="preserve"> </w:t>
      </w:r>
      <w:r>
        <w:t xml:space="preserve">The Macro</w:t>
      </w:r>
      <w:r>
        <w:t xml:space="preserve"> </w:t>
      </w:r>
      <w:r>
        <w:t xml:space="preserve">Hawk’s vote turns on this. The pack itself names constant-currency</w:t>
      </w:r>
      <w:r>
        <w:t xml:space="preserve"> </w:t>
      </w:r>
      <w:r>
        <w:t xml:space="preserve">reporting as a conditional trigger to upsize (§0).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Who is the named successor to Daniel Rabinovich as COO</w:t>
      </w:r>
      <w:r>
        <w:rPr>
          <w:b/>
          <w:bCs/>
        </w:rPr>
        <w:t xml:space="preserve"> </w:t>
      </w:r>
      <w:r>
        <w:rPr>
          <w:b/>
          <w:bCs/>
        </w:rPr>
        <w:t xml:space="preserve">Product and Technology in the event of incapacity, and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timing of any public announcement of that succession?</w:t>
      </w:r>
      <w:r>
        <w:t xml:space="preserve"> </w:t>
      </w:r>
      <w:r>
        <w:t xml:space="preserve">The</w:t>
      </w:r>
      <w:r>
        <w:t xml:space="preserve"> </w:t>
      </w:r>
      <w:r>
        <w:t xml:space="preserve">Operator’s question. Twenty-six-year COO tenure across the entire</w:t>
      </w:r>
      <w:r>
        <w:t xml:space="preserve"> </w:t>
      </w:r>
      <w:r>
        <w:t xml:space="preserve">product and technology stack is the single most load-bearing operational</w:t>
      </w:r>
      <w:r>
        <w:t xml:space="preserve"> </w:t>
      </w:r>
      <w:r>
        <w:t xml:space="preserve">concentration in the bench. The pack identifies it as medium key-person</w:t>
      </w:r>
      <w:r>
        <w:t xml:space="preserve"> </w:t>
      </w:r>
      <w:r>
        <w:t xml:space="preserve">risk (§5) but does not name a successor. This is a bench-depth question,</w:t>
      </w:r>
      <w:r>
        <w:t xml:space="preserve"> </w:t>
      </w:r>
      <w:r>
        <w:t xml:space="preserve">not a hypothetical.</w:t>
      </w:r>
    </w:p>
    <w:p>
      <w:r>
        <w:pict>
          <v:rect style="width:0;height:1.5pt" o:hralign="center" o:hrstd="t" o:hr="t"/>
        </w:pict>
      </w:r>
    </w:p>
    <w:bookmarkEnd w:id="26"/>
    <w:bookmarkStart w:id="27" w:name="pack-quality-assessment"/>
    <w:p>
      <w:pPr>
        <w:pStyle w:val="Heading2"/>
      </w:pPr>
      <w:r>
        <w:t xml:space="preserve">§7 — Pack quality assessment</w:t>
      </w:r>
    </w:p>
    <w:p>
      <w:pPr>
        <w:pStyle w:val="FirstParagraph"/>
      </w:pPr>
      <w:r>
        <w:t xml:space="preserve">The panel finds the pack adequate to vote on. Layer 1 hard gates</w:t>
      </w:r>
      <w:r>
        <w:t xml:space="preserve"> </w:t>
      </w:r>
      <w:r>
        <w:t xml:space="preserve">substantially pass: sourcing discipline is consistent through the</w:t>
      </w:r>
      <w:r>
        <w:t xml:space="preserve"> </w:t>
      </w:r>
      <w:r>
        <w:t xml:space="preserve">document, no analyst paraphrase appears in quoted form, comparative</w:t>
      </w:r>
      <w:r>
        <w:t xml:space="preserve"> </w:t>
      </w:r>
      <w:r>
        <w:t xml:space="preserve">scoring respects the 100-equals-peer-median convention throughout (§4</w:t>
      </w:r>
      <w:r>
        <w:t xml:space="preserve"> </w:t>
      </w:r>
      <w:r>
        <w:t xml:space="preserve">moat scoring, §5 bench scoring, §9 Risk 4 country-risk index). The</w:t>
      </w:r>
      <w:r>
        <w:t xml:space="preserve"> </w:t>
      </w:r>
      <w:r>
        <w:t xml:space="preserve">pre-mortem (§12) names three failure paths with observable kill metrics;</w:t>
      </w:r>
      <w:r>
        <w:t xml:space="preserve"> </w:t>
      </w:r>
      <w:r>
        <w:t xml:space="preserve">walk-away triggers are specific and binary; outside-view reference</w:t>
      </w:r>
      <w:r>
        <w:t xml:space="preserve"> </w:t>
      </w:r>
      <w:r>
        <w:t xml:space="preserve">classes are named for the revenue-CAGR forecast (Sea, Amazon, MELI</w:t>
      </w:r>
      <w:r>
        <w:t xml:space="preserve"> </w:t>
      </w:r>
      <w:r>
        <w:t xml:space="preserve">Q1’26).</w:t>
      </w:r>
    </w:p>
    <w:p>
      <w:pPr>
        <w:pStyle w:val="BodyText"/>
      </w:pPr>
      <w:r>
        <w:t xml:space="preserve">The pack is honest about its own substrate gaps: auditor identity,</w:t>
      </w:r>
      <w:r>
        <w:t xml:space="preserve"> </w:t>
      </w:r>
      <w:r>
        <w:t xml:space="preserve">beneficial-ownership table, and AC-chair-specific tenure are all flagged</w:t>
      </w:r>
      <w:r>
        <w:t xml:space="preserve"> </w:t>
      </w:r>
      <w:r>
        <w:t xml:space="preserve">as Gate 8 confirmation items (§10). Sponsor framing is identified and</w:t>
      </w:r>
      <w:r>
        <w:t xml:space="preserve"> </w:t>
      </w:r>
      <w:r>
        <w:t xml:space="preserve">engaged on both sell-side consensus and management’s “deliberate</w:t>
      </w:r>
      <w:r>
        <w:t xml:space="preserve"> </w:t>
      </w:r>
      <w:r>
        <w:t xml:space="preserve">reinvestment” framing (§8).</w:t>
      </w:r>
    </w:p>
    <w:p>
      <w:pPr>
        <w:pStyle w:val="BodyText"/>
      </w:pPr>
      <w:r>
        <w:t xml:space="preserve">Three open items the panel notes but does not treat as blocking: -</w:t>
      </w:r>
      <w:r>
        <w:t xml:space="preserve"> </w:t>
      </w:r>
      <w:r>
        <w:t xml:space="preserve">The high-severity RF-DISC-006 AI-disclosure flag is appropriately</w:t>
      </w:r>
      <w:r>
        <w:t xml:space="preserve"> </w:t>
      </w:r>
      <w:r>
        <w:t xml:space="preserve">load-bearing on the sizing call rather than buried in the risk register.</w:t>
      </w:r>
      <w:r>
        <w:t xml:space="preserve"> </w:t>
      </w:r>
      <w:r>
        <w:t xml:space="preserve">- The float-FCF caveat (§6) is disclosed at the right level of</w:t>
      </w:r>
      <w:r>
        <w:t xml:space="preserve"> </w:t>
      </w:r>
      <w:r>
        <w:t xml:space="preserve">prominence. - The −1.0% margin of safety is stated directly in §0, §1,</w:t>
      </w:r>
      <w:r>
        <w:t xml:space="preserve"> </w:t>
      </w:r>
      <w:r>
        <w:t xml:space="preserve">and §7 rather than buried — the Compounder and AI Skeptic’s dissents are</w:t>
      </w:r>
      <w:r>
        <w:t xml:space="preserve"> </w:t>
      </w:r>
      <w:r>
        <w:t xml:space="preserve">based on the pack’s own framework, not on a misread.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Virtual IC — MercadoLibre Inc. (MELI.US) — Gate 9 deliberation,</w:t>
      </w:r>
      <w:r>
        <w:rPr>
          <w:i/>
          <w:iCs/>
        </w:rPr>
        <w:t xml:space="preserve"> </w:t>
      </w:r>
      <w:r>
        <w:rPr>
          <w:i/>
          <w:iCs/>
        </w:rPr>
        <w:t xml:space="preserve">2026-05-28.</w:t>
      </w:r>
    </w:p>
    <w:p>
      <w:pPr>
        <w:pStyle w:val="BodyText"/>
      </w:pPr>
      <w:r>
        <w:t xml:space="preserve">Spock v4 listed-eq pipeline · MELI.US · generated 28 May 2026.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virtual-ic-brief-28-may-2026.docx" TargetMode="External" /><Relationship Type="http://schemas.openxmlformats.org/officeDocument/2006/relationships/hyperlink" Id="rId9" Target="virtual-ic-brief-28-may-202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virtual-ic-brief-28-may-2026.docx" TargetMode="External" /><Relationship Type="http://schemas.openxmlformats.org/officeDocument/2006/relationships/hyperlink" Id="rId9" Target="virtual-ic-brief-28-may-202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IC Brief — MercadoLibre (MELI.US) · Chronos Memos</dc:title>
  <dc:creator/>
  <dc:language>en</dc:language>
  <cp:keywords/>
  <dcterms:created xsi:type="dcterms:W3CDTF">2026-05-28T14:36:39Z</dcterms:created>
  <dcterms:modified xsi:type="dcterms:W3CDTF">2026-05-28T14:36:39Z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