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ZhongAn 6060.HK — Strategy Framework Preview</w:t>
      </w:r>
    </w:p>
    <w:p>
      <w:pPr>
        <w:pStyle w:val="FirstParagraph"/>
      </w:pPr>
    </w:p>
    <w:p>
      <w:pPr>
        <w:pStyle w:val="BodyText"/>
      </w:pPr>
      <w:hyperlink r:id="rId9">
        <w:r>
          <w:rPr>
            <w:rStyle w:val="Hyperlink"/>
          </w:rPr>
          <w:t xml:space="preserve">PDF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Word</w:t>
        </w:r>
      </w:hyperlink>
    </w:p>
    <w:p>
      <w:pPr>
        <w:pStyle w:val="BodyText"/>
      </w:pPr>
      <w:r>
        <w:t xml:space="preserve">Google Docs</w:t>
      </w:r>
    </w:p>
    <w:bookmarkStart w:id="11" w:name="spock-gdocs-tip"/>
    <w:p>
      <w:pPr>
        <w:pStyle w:val="BodyText"/>
      </w:pPr>
      <w:r>
        <w:t xml:space="preserve">×</w:t>
      </w:r>
      <w:r>
        <w:t xml:space="preserve"> </w:t>
      </w:r>
      <w:r>
        <w:rPr>
          <w:b/>
          <w:bCs/>
        </w:rPr>
        <w:t xml:space="preserve">Open in Google Docs</w:t>
      </w:r>
      <w:r>
        <w:br/>
      </w:r>
      <w:r>
        <w:t xml:space="preserve">Download the Word file, drag-drop it into Google Drive, then right-click →</w:t>
      </w:r>
      <w:r>
        <w:t xml:space="preserve"> </w:t>
      </w:r>
      <w:r>
        <w:rPr>
          <w:i/>
          <w:iCs/>
        </w:rPr>
        <w:t xml:space="preserve">Open with → Google Docs</w:t>
      </w:r>
      <w:r>
        <w:t xml:space="preserve">.</w:t>
      </w:r>
    </w:p>
    <w:bookmarkEnd w:id="11"/>
    <w:p>
      <w:pPr>
        <w:pStyle w:val="BodyText"/>
      </w:pPr>
      <w:r>
        <w:t xml:space="preserve">Spock — Strategy framework preview</w:t>
      </w:r>
    </w:p>
    <w:bookmarkStart w:id="44" w:name="X148cf7b662d8efd193ea24f2b9c019fdd430ab0"/>
    <w:p>
      <w:pPr>
        <w:pStyle w:val="Heading1"/>
      </w:pPr>
      <w:r>
        <w:t xml:space="preserve">ZhongAn is a regulated platform with venture-stage volatility, and the loss-ratio cycle has not yet broken its way</w:t>
      </w:r>
    </w:p>
    <w:p>
      <w:pPr>
        <w:pStyle w:val="FirstParagraph"/>
      </w:pPr>
      <w:r>
        <w:t xml:space="preserve">An online-only Chinese P&amp;C insurer carrying the world's most distinctive distribution stack — Ant, Tencent, Ping An — but eight years post-IPO the unit economics still look more like an InsurTech experiment than an insurance compounder.</w:t>
      </w:r>
    </w:p>
    <w:p>
      <w:pPr>
        <w:pStyle w:val="BodyText"/>
      </w:pPr>
      <w:r>
        <w:rPr>
          <w:b/>
          <w:bCs/>
        </w:rPr>
        <w:t xml:space="preserve">This is a preview, not a final IC pack</w:t>
      </w:r>
      <w:r>
        <w:t xml:space="preserve"> </w:t>
      </w:r>
      <w:r>
        <w:t xml:space="preserve">This document applies the Strategy agent's ten-framework discipline to public-source baseline knowledge on ZhongAn Online P&amp;C Insurance Co Ltd (HKEX: 6060). The full Gate 7 deep-research workstreams — primary-source extraction, verifier-pair fact-check, voice-of-customer corpus, completeness audit, and Virtual IC — have not been run. Treat the verdicts as a Strategy hypothesis to be confirmed or invalidated, not as an IC recommendation. Every load-bearing claim is cited; absence of citation means the line is framework reasoning, not new evidence.</w:t>
      </w:r>
    </w:p>
    <w:bookmarkStart w:id="12" w:name="one-paragraph-thesis"/>
    <w:p>
      <w:pPr>
        <w:pStyle w:val="Heading2"/>
      </w:pPr>
      <w:r>
        <w:t xml:space="preserve">One-paragraph thesis</w:t>
      </w:r>
    </w:p>
    <w:p>
      <w:pPr>
        <w:pStyle w:val="FirstParagraph"/>
      </w:pPr>
      <w:r>
        <w:t xml:space="preserve">ZhongAn is the cleanest pure-play on the structural shift from offline-broker to embedded-digital P&amp;C insurance distribution in China, and the cap table — Ant Group, Tencent, Ping An at IPO</w:t>
      </w:r>
      <w:hyperlink w:anchor="n1">
        <w:r>
          <w:rPr>
            <w:rStyle w:val="Hyperlink"/>
            <w:vertAlign w:val="superscript"/>
          </w:rPr>
          <w:t xml:space="preserve">1</w:t>
        </w:r>
      </w:hyperlink>
      <w:r>
        <w:t xml:space="preserve"> </w:t>
      </w:r>
      <w:r>
        <w:t xml:space="preserve">— gives it embedded distribution that no traditional Chinese insurer can replicate without renting it back. But after eight years as a listed company it has yet to produce a clean year of underwriting profitability at scale, the combined ratio has only intermittently dipped below 100%</w:t>
      </w:r>
      <w:hyperlink w:anchor="n2">
        <w:r>
          <w:rPr>
            <w:rStyle w:val="Hyperlink"/>
            <w:vertAlign w:val="superscript"/>
          </w:rPr>
          <w:t xml:space="preserve">2</w:t>
        </w:r>
      </w:hyperlink>
      <w:r>
        <w:t xml:space="preserve">, and the AI-underwriting narrative has been substantially the same story since the 2017 prospectus.</w:t>
      </w:r>
      <w:hyperlink w:anchor="n3">
        <w:r>
          <w:rPr>
            <w:rStyle w:val="Hyperlink"/>
            <w:vertAlign w:val="superscript"/>
          </w:rPr>
          <w:t xml:space="preserve">3</w:t>
        </w:r>
      </w:hyperlink>
      <w:r>
        <w:t xml:space="preserve"> </w:t>
      </w:r>
      <w:r>
        <w:t xml:space="preserve">The Strategy view: this is a venture-shaped position inside a regulated balance-sheet business — the asymmetry is real, but the holding period to harvest it is longer than the typical Chronos listed mandate tolerates without a hard cycle catalyst.</w:t>
      </w:r>
    </w:p>
    <w:p>
      <w:pPr>
        <w:pStyle w:val="BodyText"/>
      </w:pPr>
      <w:r>
        <w:t xml:space="preserve">Strategy verdict — preview, pending Gate 7</w:t>
      </w:r>
    </w:p>
    <w:p>
      <w:pPr>
        <w:pStyle w:val="BodyText"/>
      </w:pPr>
      <w:r>
        <w:t xml:space="preserve">STARTER position — $50,000 USD — below normal sizing pending two specific 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Sizing bucket:</w:t>
      </w:r>
      <w:r>
        <w:t xml:space="preserve"> </w:t>
      </w:r>
      <w:r>
        <w:t xml:space="preserve">Starter ($50k), not punt ($50k speculative), not normal ($250k).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Triggers to upsize to $250k:</w:t>
      </w:r>
      <w:r>
        <w:t xml:space="preserve"> </w:t>
      </w:r>
      <w:r>
        <w:t xml:space="preserve">(a) two consecutive half-years of combined ratio &lt;98% with topline growth &gt;15%; (b) explicit articulation of an AI-underwriting metric Chronos can verify — loss-ratio delta on AI-priced cohort vs traditional 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Triggers to exit:</w:t>
      </w:r>
      <w:r>
        <w:t xml:space="preserve"> </w:t>
      </w:r>
      <w:r>
        <w:t xml:space="preserve">CBIRC/NFRA tightening on embedded-channel commissions; Ant or Tencent placing a block.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Listed-vs-private fit:</w:t>
      </w:r>
      <w:r>
        <w:t xml:space="preserve"> </w:t>
      </w:r>
      <w:r>
        <w:t xml:space="preserve">Adds InsurTech exposure the private book does not carry. Mild positive.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fit:</w:t>
      </w:r>
      <w:r>
        <w:t xml:space="preserve"> </w:t>
      </w:r>
      <w:r>
        <w:t xml:space="preserve">China-only. Counts against an already China-overweight listed book — see Framework 8.</w:t>
      </w:r>
    </w:p>
    <w:bookmarkEnd w:id="12"/>
    <w:bookmarkStart w:id="23" w:name="the-ten-framework-grid"/>
    <w:p>
      <w:pPr>
        <w:pStyle w:val="Heading2"/>
      </w:pPr>
      <w:r>
        <w:t xml:space="preserve">The ten-framework grid</w:t>
      </w:r>
    </w:p>
    <w:bookmarkStart w:id="13" w:name="Xdb10e321f5f39ca33b3946cfc0bd5b8988cbb3c"/>
    <w:p>
      <w:pPr>
        <w:pStyle w:val="Heading3"/>
      </w:pPr>
      <w:r>
        <w:t xml:space="preserve">Framework 1</w:t>
      </w:r>
      <w:r>
        <w:t xml:space="preserve">Power law — asymmetric, but the curve has been flat for six years</w:t>
      </w:r>
    </w:p>
    <w:p>
      <w:pPr>
        <w:pStyle w:val="FirstParagraph"/>
      </w:pPr>
      <w:r>
        <w:t xml:space="preserve">Verdict: Upside present, slope shallow</w:t>
      </w:r>
    </w:p>
    <w:p>
      <w:pPr>
        <w:pStyle w:val="BodyText"/>
      </w:pPr>
      <w:r>
        <w:t xml:space="preserve">The power-law case for ZhongAn is the standard InsurTech bull-frame: China non-life premium-to-GDP is ~1.8% versus ~4% in mature OECD markets</w:t>
      </w:r>
      <w:hyperlink w:anchor="n4">
        <w:r>
          <w:rPr>
            <w:rStyle w:val="Hyperlink"/>
            <w:vertAlign w:val="superscript"/>
          </w:rPr>
          <w:t xml:space="preserve">4</w:t>
        </w:r>
      </w:hyperlink>
      <w:r>
        <w:t xml:space="preserve">; embedded digital channels are growing as a share of new policy issuance; and ZhongAn sits at the intersection of two of the largest digital ecosystems on the planet (Alipay + WeChat). If embedded auto, health, and lifestyle insurance compound at 20%+ CAGR in China for the next decade, ZhongAn is the single cleanest listed vehicle to express it.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— and this is what bends the power-law case — gross written premium grew from RMB 5.95bn at IPO (2017) to RMB 29.55bn in 2023</w:t>
      </w:r>
      <w:hyperlink w:anchor="n5">
        <w:r>
          <w:rPr>
            <w:rStyle w:val="Hyperlink"/>
            <w:vertAlign w:val="superscript"/>
          </w:rPr>
          <w:t xml:space="preserve">5</w:t>
        </w:r>
      </w:hyperlink>
      <w:r>
        <w:t xml:space="preserve">, a ~5x in six years that is real but well short of the venture trajectory the IPO narrative implied. The shape is high-growth-fintech-flattening-toward-a-regulated-insurer, not a power-law winner pulling away from a cohort.</w:t>
      </w:r>
    </w:p>
    <w:bookmarkEnd w:id="13"/>
    <w:bookmarkStart w:id="14" w:name="X156fc5442d16a28eab1cc20856cecacf256f071"/>
    <w:p>
      <w:pPr>
        <w:pStyle w:val="Heading3"/>
      </w:pPr>
      <w:r>
        <w:t xml:space="preserve">Framework 2</w:t>
      </w:r>
      <w:r>
        <w:t xml:space="preserve">Unit economics — CLTV:CAC is not the right denominator for a P&amp;C book; combined ratio is, and it has only just turned</w:t>
      </w:r>
    </w:p>
    <w:p>
      <w:pPr>
        <w:pStyle w:val="FirstParagraph"/>
      </w:pPr>
      <w:r>
        <w:t xml:space="preserve">Verdict: Below Michael's 9× bar</w:t>
      </w:r>
    </w:p>
    <w:p>
      <w:pPr>
        <w:pStyle w:val="BodyText"/>
      </w:pPr>
      <w:r>
        <w:t xml:space="preserve">Michael's CLTV:CAC ≥9× bar is the venture lens; for a P&amp;C insurer the operative metric is the combined ratio (loss ratio + expense ratio), where &lt;100% means underwriting profit and &gt;100% means the float has to earn the difference back. ZhongAn's combined ratio was 99.7% in 2022 and 95.2% in 2023</w:t>
      </w:r>
      <w:hyperlink w:anchor="n6">
        <w:r>
          <w:rPr>
            <w:rStyle w:val="Hyperlink"/>
            <w:vertAlign w:val="superscript"/>
          </w:rPr>
          <w:t xml:space="preserve">6</w:t>
        </w:r>
      </w:hyperlink>
      <w:r>
        <w:t xml:space="preserve"> </w:t>
      </w:r>
      <w:r>
        <w:t xml:space="preserve">— the 2023 print is the first genuinely clean year of underwriting profitability since IPO. Channel costs to Ant and Tencent are reported as substantial</w:t>
      </w:r>
      <w:hyperlink w:anchor="n7">
        <w:r>
          <w:rPr>
            <w:rStyle w:val="Hyperlink"/>
            <w:vertAlign w:val="superscript"/>
          </w:rPr>
          <w:t xml:space="preserve">7</w:t>
        </w:r>
      </w:hyperlink>
      <w:r>
        <w:t xml:space="preserve">, which is the structural reason expense ratios run higher than a traditional captive-agency insurer. Translating to a venture-style frame: the "unit" earns its keep only when the cycle and the channel commissions cooperate, which they did in 2023 but not durably before. This fails Michael's bar — even on a generous reading the unit economics are mid-single-digit ROIC equivalent, not 9×.</w:t>
      </w:r>
    </w:p>
    <w:bookmarkEnd w:id="14"/>
    <w:bookmarkStart w:id="15" w:name="X678562d224ae2c9afe7900421d9138c760d4917"/>
    <w:p>
      <w:pPr>
        <w:pStyle w:val="Heading3"/>
      </w:pPr>
      <w:r>
        <w:t xml:space="preserve">Framework 3</w:t>
      </w:r>
      <w:r>
        <w:t xml:space="preserve">Helmer 7 Powers — counter-positioning real, switching costs weak, scale economies questionable</w:t>
      </w:r>
    </w:p>
    <w:p>
      <w:pPr>
        <w:pStyle w:val="FirstParagraph"/>
      </w:pPr>
      <w:r>
        <w:t xml:space="preserve">Verdict: One genuine Power, two contested, four absent</w:t>
      </w:r>
    </w:p>
    <w:p>
      <w:pPr>
        <w:pStyle w:val="BodyText"/>
      </w:pPr>
      <w:r>
        <w:t xml:space="preserve">Of Helmer's seven,</w:t>
      </w:r>
      <w:r>
        <w:t xml:space="preserve"> </w:t>
      </w:r>
      <w:r>
        <w:rPr>
          <w:i/>
          <w:iCs/>
        </w:rPr>
        <w:t xml:space="preserve">Counter-Positioning</w:t>
      </w:r>
      <w:r>
        <w:t xml:space="preserve"> </w:t>
      </w:r>
      <w:r>
        <w:t xml:space="preserve">is the one ZhongAn unambiguously has: a fully digital, online-only P&amp;C licence in China</w:t>
      </w:r>
      <w:hyperlink w:anchor="n1">
        <w:r>
          <w:rPr>
            <w:rStyle w:val="Hyperlink"/>
            <w:vertAlign w:val="superscript"/>
          </w:rPr>
          <w:t xml:space="preserve">1</w:t>
        </w:r>
      </w:hyperlink>
      <w:r>
        <w:t xml:space="preserve"> </w:t>
      </w:r>
      <w:r>
        <w:t xml:space="preserve">that traditional incumbents (PICC, Ping An P&amp;C, CPIC) cannot replicate without cannibalising their broker channels.</w:t>
      </w:r>
      <w:r>
        <w:t xml:space="preserve"> </w:t>
      </w:r>
      <w:r>
        <w:rPr>
          <w:i/>
          <w:iCs/>
        </w:rPr>
        <w:t xml:space="preserve">Network Economies</w:t>
      </w:r>
      <w:r>
        <w:t xml:space="preserve"> </w:t>
      </w:r>
      <w:r>
        <w:t xml:space="preserve">are contested — they exist in the data sense (more policies → better pricing models) but the network sits inside Alipay and WeChat, not inside ZhongAn's own surfaces.</w:t>
      </w:r>
      <w:r>
        <w:t xml:space="preserve"> </w:t>
      </w:r>
      <w:r>
        <w:rPr>
          <w:i/>
          <w:iCs/>
        </w:rPr>
        <w:t xml:space="preserve">Switching Costs</w:t>
      </w:r>
      <w:r>
        <w:t xml:space="preserve"> </w:t>
      </w:r>
      <w:r>
        <w:t xml:space="preserve">are weak: most ZhongAn policies are short-tenor (shipping-return insurance, single-flight delay, monthly health top-up), and the customer is acquired by the platform, not by ZhongAn.</w:t>
      </w:r>
      <w:r>
        <w:t xml:space="preserve"> </w:t>
      </w:r>
      <w:r>
        <w:rPr>
          <w:i/>
          <w:iCs/>
        </w:rPr>
        <w:t xml:space="preserve">Scale Economies</w:t>
      </w:r>
      <w:r>
        <w:t xml:space="preserve"> </w:t>
      </w:r>
      <w:r>
        <w:t xml:space="preserve">are contested: claims-handling automation scales, but reinsurance and capital requirements scale linearly with book size.</w:t>
      </w:r>
      <w:r>
        <w:t xml:space="preserve"> </w:t>
      </w:r>
      <w:r>
        <w:rPr>
          <w:i/>
          <w:iCs/>
        </w:rPr>
        <w:t xml:space="preserve">Cornered Resource</w:t>
      </w:r>
      <w:r>
        <w:t xml:space="preserve">,</w:t>
      </w:r>
      <w:r>
        <w:t xml:space="preserve"> </w:t>
      </w:r>
      <w:r>
        <w:rPr>
          <w:i/>
          <w:iCs/>
        </w:rPr>
        <w:t xml:space="preserve">Process Power</w:t>
      </w:r>
      <w:r>
        <w:t xml:space="preserve">, and</w:t>
      </w:r>
      <w:r>
        <w:t xml:space="preserve"> </w:t>
      </w:r>
      <w:r>
        <w:rPr>
          <w:i/>
          <w:iCs/>
        </w:rPr>
        <w:t xml:space="preserve">Branding</w:t>
      </w:r>
      <w:r>
        <w:t xml:space="preserve"> </w:t>
      </w:r>
      <w:r>
        <w:t xml:space="preserve">are not present in any IC-defensible form. One Power out of seven is a thin moat — defensible only while counter-positioning holds.</w:t>
      </w:r>
    </w:p>
    <w:bookmarkEnd w:id="15"/>
    <w:bookmarkStart w:id="16" w:name="X37707d16bcd25152c8d6a4d0687bf73810d9bdc"/>
    <w:p>
      <w:pPr>
        <w:pStyle w:val="Heading3"/>
      </w:pPr>
      <w:r>
        <w:t xml:space="preserve">Framework 4</w:t>
      </w:r>
      <w:r>
        <w:t xml:space="preserve">AI Maturity — claimed Level 4, evidence supports Level 2</w:t>
      </w:r>
    </w:p>
    <w:p>
      <w:pPr>
        <w:pStyle w:val="FirstParagraph"/>
      </w:pPr>
      <w:r>
        <w:t xml:space="preserve">Verdict: Level 2 (AI-assisted), pending primary-source proof</w:t>
      </w:r>
    </w:p>
    <w:p>
      <w:pPr>
        <w:pStyle w:val="BodyText"/>
      </w:pPr>
      <w:r>
        <w:t xml:space="preserve">The Spock AI Maturity ladder (L1 rules-based → L2 AI-assisted human → L3 AI-in-the-loop → L4 AI-default with human override → L5 fully autonomous learning system) is the right test. ZhongAn's investor materials describe an "ecosystem-oriented insurance" model with AI underwriting, claims automation, and dynamic pricing</w:t>
      </w:r>
      <w:hyperlink w:anchor="n3">
        <w:r>
          <w:rPr>
            <w:rStyle w:val="Hyperlink"/>
            <w:vertAlign w:val="superscript"/>
          </w:rPr>
          <w:t xml:space="preserve">3</w:t>
        </w:r>
      </w:hyperlink>
      <w:r>
        <w:t xml:space="preserve">. The 2023 annual report claims 99% of claims are processed automatically for certain product lines</w:t>
      </w:r>
      <w:hyperlink w:anchor="n5">
        <w:r>
          <w:rPr>
            <w:rStyle w:val="Hyperlink"/>
            <w:vertAlign w:val="superscript"/>
          </w:rPr>
          <w:t xml:space="preserve">5</w:t>
        </w:r>
      </w:hyperlink>
      <w:r>
        <w:t xml:space="preserve">, which would be a Level 3-4 signal —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"automated" means model-driven loss prediction and not just deterministic rules on simple parametric products (flight delay, shipping return). Without the Gate 7 primary-source workstream we cannot distinguish. Baseline read: shipping-return and flight-delay are deterministic parametric — Level 1-2 automation, not AI. Health and auto are the lines where genuine AI underwriting would show up, and the loss-ratio evidence in those segments is not yet conclusive.</w:t>
      </w:r>
      <w:hyperlink w:anchor="n8">
        <w:r>
          <w:rPr>
            <w:rStyle w:val="Hyperlink"/>
            <w:vertAlign w:val="superscript"/>
          </w:rPr>
          <w:t xml:space="preserve">8</w:t>
        </w:r>
      </w:hyperlink>
      <w:r>
        <w:t xml:space="preserve"> </w:t>
      </w:r>
      <w:r>
        <w:t xml:space="preserve">Strategy holds at L2 until Gate 7 shows otherwise.</w:t>
      </w:r>
    </w:p>
    <w:bookmarkEnd w:id="16"/>
    <w:bookmarkStart w:id="17" w:name="X81b556b1106dc6e31dfe11b67b0cbe02a5e6599"/>
    <w:p>
      <w:pPr>
        <w:pStyle w:val="Heading3"/>
      </w:pPr>
      <w:r>
        <w:t xml:space="preserve">Framework 5</w:t>
      </w:r>
      <w:r>
        <w:t xml:space="preserve">Sizing bucket — Starter, with named upsize triggers</w:t>
      </w:r>
    </w:p>
    <w:p>
      <w:pPr>
        <w:pStyle w:val="FirstParagraph"/>
      </w:pPr>
      <w:r>
        <w:t xml:space="preserve">Verdict: $50k Starter, pending trigger</w:t>
      </w:r>
    </w:p>
    <w:p>
      <w:pPr>
        <w:pStyle w:val="BodyText"/>
      </w:pPr>
      <w:r>
        <w:t xml:space="preserve">The Spock sizing ladder runs high-conviction $1M / normal $250k / punt $50k / starter (below normal pending trigger). ZhongAn does not clear the bar for normal: unit economics fail Framework 2, Helmer Powers are thin per Framework 3, and AI maturity is unverified per Framework 4. It is not a punt either — there is a real business with HK$ 25bn+ market cap, eight years of public filings, a legitimate Counter-Positioning power, and a regulated balance sheet that limits downside to roughly a normal P&amp;C insurer's range. The right shape is a Starter: $50k initial, named triggers for upsize, and a hard re-evaluation at the next half-year print. The triggers are specified in the verdict box: two consecutive H1/H2 combined ratios &lt;98% with topline growth &gt;15%, plus a primary-source-verifiable AI-underwriting loss-ratio delta. Either trigger moves it to $250k; both move it toward $1M.</w:t>
      </w:r>
    </w:p>
    <w:bookmarkEnd w:id="17"/>
    <w:bookmarkStart w:id="18" w:name="X2373cd95dd58d2e82e19d1429c9f50b10c6101c"/>
    <w:p>
      <w:pPr>
        <w:pStyle w:val="Heading3"/>
      </w:pPr>
      <w:r>
        <w:t xml:space="preserve">Framework 6</w:t>
      </w:r>
      <w:r>
        <w:t xml:space="preserve">Bull / Bear / Base with explicit probabilities</w:t>
      </w:r>
    </w:p>
    <w:p>
      <w:pPr>
        <w:pStyle w:val="FirstParagraph"/>
      </w:pPr>
      <w:r>
        <w:t xml:space="preserve">Verdict: P(bull) ~20%, P(base) ~50%, P(bear) ~30%</w:t>
      </w:r>
    </w:p>
    <w:p>
      <w:pPr>
        <w:pStyle w:val="BodyText"/>
      </w:pPr>
      <w:r>
        <w:rPr>
          <w:b/>
          <w:bCs/>
        </w:rPr>
        <w:t xml:space="preserve">Bull (20%) — 3-4x over five years.</w:t>
      </w:r>
      <w:r>
        <w:t xml:space="preserve"> </w:t>
      </w:r>
      <w:r>
        <w:t xml:space="preserve">Combined ratio settles structurally at 94-96%, premium grows 20% CAGR on embedded-channel penetration, and the market re-rates ZhongAn from cyclical P&amp;C insurer (0.8-1.2x P/B) to InsurTech platform (2.5-3.5x P/B). 2023 marks the inflection. Re-rating + book growth + float earnings compound multiplicatively.</w:t>
      </w:r>
    </w:p>
    <w:p>
      <w:pPr>
        <w:pStyle w:val="BodyText"/>
      </w:pPr>
      <w:r>
        <w:rPr>
          <w:b/>
          <w:bCs/>
        </w:rPr>
        <w:t xml:space="preserve">Base (50%) — 1.3-1.8x over five years.</w:t>
      </w:r>
      <w:r>
        <w:t xml:space="preserve"> </w:t>
      </w:r>
      <w:r>
        <w:t xml:space="preserve">Combined ratio oscillates 97-101% across cycle, premium grows 12-15% CAGR, market continues to value as a regulated Chinese insurer. Return comes from book-value accretion plus modest re-rating. Acceptable but not exciting.</w:t>
      </w:r>
    </w:p>
    <w:p>
      <w:pPr>
        <w:pStyle w:val="BodyText"/>
      </w:pPr>
      <w:r>
        <w:rPr>
          <w:b/>
          <w:bCs/>
        </w:rPr>
        <w:t xml:space="preserve">Bear (30%) — 0.4-0.7x.</w:t>
      </w:r>
      <w:r>
        <w:t xml:space="preserve"> </w:t>
      </w:r>
      <w:r>
        <w:t xml:space="preserve">Regulatory action on embedded-channel commissions compresses Ant/Tencent-routed economics; loss ratio worsens on health or auto; or Ant/Tencent reduce holdings and the distribution flywheel weakens. Detail in the Bear section below.</w:t>
      </w:r>
    </w:p>
    <w:bookmarkEnd w:id="18"/>
    <w:bookmarkStart w:id="19" w:name="Xef10d1399a6ba6734ac64185cced299c2205346"/>
    <w:p>
      <w:pPr>
        <w:pStyle w:val="Heading3"/>
      </w:pPr>
      <w:r>
        <w:t xml:space="preserve">Framework 7</w:t>
      </w:r>
      <w:r>
        <w:t xml:space="preserve">Listed-vs-private divergence — yes, this adds InsurTech exposure the private book lacks</w:t>
      </w:r>
    </w:p>
    <w:p>
      <w:pPr>
        <w:pStyle w:val="FirstParagraph"/>
      </w:pPr>
      <w:r>
        <w:t xml:space="preserve">Verdict: Adds genuine InsurTech overlay</w:t>
      </w:r>
    </w:p>
    <w:p>
      <w:pPr>
        <w:pStyle w:val="BodyText"/>
      </w:pPr>
      <w:r>
        <w:t xml:space="preserve">The listed book and the private book should not be substitutes — they should be complementary. The private Chronos book carries direct-financial-services and consumer-finance exposure but no pure InsurTech name. The Notion regulated-TIC + InsurTech overlay thesis explicitly contemplates a listed InsurTech holding to complete the regulated-financial-services barbell. ZhongAn is the most-investable listed pure-play in that category — Lemonade is US-only and not yet through its unit-economics inflection</w:t>
      </w:r>
      <w:hyperlink w:anchor="n9">
        <w:r>
          <w:rPr>
            <w:rStyle w:val="Hyperlink"/>
            <w:vertAlign w:val="superscript"/>
          </w:rPr>
          <w:t xml:space="preserve">9</w:t>
        </w:r>
      </w:hyperlink>
      <w:r>
        <w:t xml:space="preserve">, Root Insurance has effectively been a workout, and the European InsurTechs (wefox, Getsafe) are private. From a portfolio-shape view, even at Starter size, ZhongAn contributes uncorrelated regulatory and geographic exposure to the listed book.</w:t>
      </w:r>
      <w:r>
        <w:t xml:space="preserve"> </w:t>
      </w:r>
      <w:r>
        <w:rPr>
          <w:b/>
          <w:bCs/>
        </w:rPr>
        <w:t xml:space="preserve">Strategy verdict: portfolio complement, not duplicate.</w:t>
      </w:r>
      <w:r>
        <w:t xml:space="preserve"> </w:t>
      </w:r>
      <w:r>
        <w:t xml:space="preserve">This is one of the cleaner arguments in the file.</w:t>
      </w:r>
    </w:p>
    <w:bookmarkEnd w:id="19"/>
    <w:bookmarkStart w:id="20" w:name="X6f372f65360932376e1d395acab1909c9dc04c5"/>
    <w:p>
      <w:pPr>
        <w:pStyle w:val="Heading3"/>
      </w:pPr>
      <w:r>
        <w:t xml:space="preserve">Framework 8</w:t>
      </w:r>
      <w:r>
        <w:t xml:space="preserve">Geographic bias — China-only, and the listed book is already China-heavy</w:t>
      </w:r>
    </w:p>
    <w:p>
      <w:pPr>
        <w:pStyle w:val="FirstParagraph"/>
      </w:pPr>
      <w:r>
        <w:t xml:space="preserve">Verdict: Downgrades sizing</w:t>
      </w:r>
    </w:p>
    <w:p>
      <w:pPr>
        <w:pStyle w:val="BodyText"/>
      </w:pPr>
      <w:r>
        <w:t xml:space="preserve">ZhongAn is 100% China-exposed. The 2023 ZA Bank Hong Kong virtual-bank subsidiary is a small overseas footprint but capital-immaterial.</w:t>
      </w:r>
      <w:hyperlink w:anchor="n10">
        <w:r>
          <w:rPr>
            <w:rStyle w:val="Hyperlink"/>
            <w:vertAlign w:val="superscript"/>
          </w:rPr>
          <w:t xml:space="preserve">10</w:t>
        </w:r>
      </w:hyperlink>
      <w:r>
        <w:t xml:space="preserve"> </w:t>
      </w:r>
      <w:r>
        <w:t xml:space="preserve">The Chronos listed book, on Roger's running view, is already structurally overweight China and emerging Asia versus a globally-balanced benchmark. Adding more China at this point requires a defence above and beyond the framework-level case. The defence here: ZhongAn's China exposure is structurally different from the rest of the China-listed book — it is consumer-financial-services + regulated balance sheet, not commodity, manufacturing, or platform-tech. It correlates with the rest of the book's China names only at the macro-tail (capital controls, FX, Hong Kong listing-regime risk), not at the sector level. That partial defence supports a Starter, not a normal. If the listed book were geographically balanced, this would push toward $250k; given current geo-tilt, $50k is the right initial.</w:t>
      </w:r>
    </w:p>
    <w:bookmarkEnd w:id="20"/>
    <w:bookmarkStart w:id="21" w:name="Xe9505c2024c8239295164dbeabc16dfb9d1a978"/>
    <w:p>
      <w:pPr>
        <w:pStyle w:val="Heading3"/>
      </w:pPr>
      <w:r>
        <w:t xml:space="preserve">Framework 9</w:t>
      </w:r>
      <w:r>
        <w:t xml:space="preserve">Trim discipline — no trim instinct (no position yet)</w:t>
      </w:r>
    </w:p>
    <w:p>
      <w:pPr>
        <w:pStyle w:val="FirstParagraph"/>
      </w:pPr>
      <w:r>
        <w:t xml:space="preserve">Verdict: N/A pre-entry; flag for trim review at +50%</w:t>
      </w:r>
    </w:p>
    <w:p>
      <w:pPr>
        <w:pStyle w:val="BodyText"/>
      </w:pPr>
      <w:r>
        <w:t xml:space="preserve">Trim discipline does not yet apply — there is no position. The forward instruction: if a $50k starter is established and the price runs more than 50% on a thesis-confirming catalyst (combined-ratio breakthrough, AI-underwriting evidence) before sizing up, the Strategy default is to</w:t>
      </w:r>
      <w:r>
        <w:t xml:space="preserve"> </w:t>
      </w:r>
      <w:r>
        <w:rPr>
          <w:i/>
          <w:iCs/>
        </w:rPr>
        <w:t xml:space="preserve">add</w:t>
      </w:r>
      <w:r>
        <w:t xml:space="preserve"> </w:t>
      </w:r>
      <w:r>
        <w:t xml:space="preserve">not trim, because the catalyst confirms the thesis. If the price runs more than 50% without a thesis-confirming catalyst — i.e., on multiple expansion alone — that is the trim signal, because it converts an asymmetric position into a momentum exposure Strategy does not want. Flag set: review at any single-name move &gt;50% from cost.</w:t>
      </w:r>
    </w:p>
    <w:bookmarkEnd w:id="21"/>
    <w:bookmarkStart w:id="22" w:name="Xbee382ebd1573d556291a29f20ee80ff954efcd"/>
    <w:p>
      <w:pPr>
        <w:pStyle w:val="Heading3"/>
      </w:pPr>
      <w:r>
        <w:t xml:space="preserve">Framework 10</w:t>
      </w:r>
      <w:r>
        <w:t xml:space="preserve">Disagreement with Virtual IC — placeholder, not run</w:t>
      </w:r>
    </w:p>
    <w:p>
      <w:pPr>
        <w:pStyle w:val="FirstParagraph"/>
      </w:pPr>
      <w:r>
        <w:t xml:space="preserve">Verdict: Pending</w:t>
      </w:r>
    </w:p>
    <w:p>
      <w:pPr>
        <w:pStyle w:val="BodyText"/>
      </w:pPr>
      <w:r>
        <w:t xml:space="preserve">Virtual IC was not run for this preview. The expected partner-disagreement axes are predictable enough to flag now, so the Gate 7 build does not have to discover them cold: (i)</w:t>
      </w:r>
      <w:r>
        <w:t xml:space="preserve"> </w:t>
      </w:r>
      <w:r>
        <w:rPr>
          <w:i/>
          <w:iCs/>
        </w:rPr>
        <w:t xml:space="preserve">Nic Kohler</w:t>
      </w:r>
      <w:r>
        <w:t xml:space="preserve"> </w:t>
      </w:r>
      <w:r>
        <w:t xml:space="preserve">will pressure-test the channel-commission stack against Hollard's South Africa experience with broker disintermediation and is likely to want explicit cohort loss-ratios by channel; (ii)</w:t>
      </w:r>
      <w:r>
        <w:t xml:space="preserve"> </w:t>
      </w:r>
      <w:r>
        <w:rPr>
          <w:i/>
          <w:iCs/>
        </w:rPr>
        <w:t xml:space="preserve">Willem Roos</w:t>
      </w:r>
      <w:r>
        <w:t xml:space="preserve"> </w:t>
      </w:r>
      <w:r>
        <w:t xml:space="preserve">will pressure-test whether ZhongAn's direct-to-consumer model genuinely earns the OUTsurance-style expense-ratio dividend or whether it is just transferring the broker commission to a platform commission with no structural saving; (iii) the China-overweight challenge on Framework 8 is likely to come from any partner with a global-book view. The Strategy preview position is conservative enough ($50k Starter) to survive most of these objections — the live debate moves only at the upsize-to-$250k decision.</w:t>
      </w:r>
    </w:p>
    <w:bookmarkEnd w:id="22"/>
    <w:bookmarkEnd w:id="23"/>
    <w:bookmarkStart w:id="24" w:name="headline-thesis-restated-for-partners"/>
    <w:p>
      <w:pPr>
        <w:pStyle w:val="Heading2"/>
      </w:pPr>
      <w:r>
        <w:t xml:space="preserve">Headline thesis (restated for partners)</w:t>
      </w:r>
    </w:p>
    <w:p>
      <w:pPr>
        <w:pStyle w:val="FirstParagraph"/>
      </w:pPr>
      <w:r>
        <w:t xml:space="preserve">The InsurTech overlay thesis Chronos has been carrying in Notion since the regulated-TIC work was framed needs at least one listed vehicle to be expressible. ZhongAn is the cleanest available — a fully digital P&amp;C licence in the largest under-penetrated insurance market in the world, with an IPO-vintage cap table that wires it directly into Alipay and WeChat. The framework discipline says the asymmetric upside is real but not yet underwritten: unit economics fail Michael's bar on the venture lens and have only just turned positive on the insurance lens; Helmer Powers reduce to one genuine moat (Counter-Positioning) plus one contested (Network Economies); AI maturity claims are at Level 2 until the Gate 7 primary-source workstream proves otherwise. The right shape is a $50k Starter, sized to be present in the position without committing capital before the loss-ratio cycle and the AI evidence have done their work. Two specified triggers move it to $250k; named regulatory and shareholder-action triggers exit it. This is a position designed to be wrong cheaply and right with optionality.</w:t>
      </w:r>
    </w:p>
    <w:bookmarkEnd w:id="24"/>
    <w:bookmarkStart w:id="25" w:name="X5b89e4138cd41d99a7b5241ee8ef5e9381ac2b6"/>
    <w:p>
      <w:pPr>
        <w:pStyle w:val="Heading2"/>
      </w:pPr>
      <w:r>
        <w:t xml:space="preserve">Bear case — three independently sufficient ways this breaks</w:t>
      </w:r>
    </w:p>
    <w:p>
      <w:pPr>
        <w:pStyle w:val="FirstParagraph"/>
      </w:pPr>
      <w:r>
        <w:rPr>
          <w:b/>
          <w:bCs/>
        </w:rPr>
        <w:t xml:space="preserve">1. Regulatory tightening on embedded-channel commissions.</w:t>
      </w:r>
      <w:r>
        <w:t xml:space="preserve"> </w:t>
      </w:r>
      <w:r>
        <w:t xml:space="preserve">The NFRA (formerly CBIRC) has periodically signalled intent to tighten oversight of platform-routed insurance distribution</w:t>
      </w:r>
      <w:hyperlink w:anchor="n11">
        <w:r>
          <w:rPr>
            <w:rStyle w:val="Hyperlink"/>
            <w:vertAlign w:val="superscript"/>
          </w:rPr>
          <w:t xml:space="preserve">11</w:t>
        </w:r>
      </w:hyperlink>
      <w:r>
        <w:t xml:space="preserve">. A meaningful commission cap or a ban on certain bundled-with-purchase products would compress the most profitable lines of ZhongAn's book directly. Probability: not low. This is the single most-cited tail risk in Chinese InsurTech sell-side coverage and the one Strategy weights heaviest.</w:t>
      </w:r>
    </w:p>
    <w:p>
      <w:pPr>
        <w:pStyle w:val="BodyText"/>
      </w:pPr>
      <w:r>
        <w:rPr>
          <w:b/>
          <w:bCs/>
        </w:rPr>
        <w:t xml:space="preserve">2. Loss-ratio cycle does not hold.</w:t>
      </w:r>
      <w:r>
        <w:t xml:space="preserve"> </w:t>
      </w:r>
      <w:r>
        <w:t xml:space="preserve">The 2023 combined ratio of 95.2%</w:t>
      </w:r>
      <w:hyperlink w:anchor="n6">
        <w:r>
          <w:rPr>
            <w:rStyle w:val="Hyperlink"/>
            <w:vertAlign w:val="superscript"/>
          </w:rPr>
          <w:t xml:space="preserve">6</w:t>
        </w:r>
      </w:hyperlink>
      <w:r>
        <w:t xml:space="preserve"> </w:t>
      </w:r>
      <w:r>
        <w:t xml:space="preserve">was the first clean year since IPO. P&amp;C is cyclical; one good year is one observation, not a trend. If 2024-2025 reverts to 99-101%, the re-rating case in Framework 6 collapses and the stock trades back as a cyclical insurer at 0.8-1.0x book, not as an InsurTech platform.</w:t>
      </w:r>
    </w:p>
    <w:p>
      <w:pPr>
        <w:pStyle w:val="BodyText"/>
      </w:pPr>
      <w:r>
        <w:rPr>
          <w:b/>
          <w:bCs/>
        </w:rPr>
        <w:t xml:space="preserve">3. Ant or Tencent shareholder action.</w:t>
      </w:r>
      <w:r>
        <w:t xml:space="preserve"> </w:t>
      </w:r>
      <w:r>
        <w:t xml:space="preserve">Ant Group and Tencent each hold material stakes from IPO</w:t>
      </w:r>
      <w:hyperlink w:anchor="n1">
        <w:r>
          <w:rPr>
            <w:rStyle w:val="Hyperlink"/>
            <w:vertAlign w:val="superscript"/>
          </w:rPr>
          <w:t xml:space="preserve">1</w:t>
        </w:r>
      </w:hyperlink>
      <w:r>
        <w:t xml:space="preserve">. A block sale by either — driven by Ant's own regulatory pressure or Tencent's strategic-asset rationalisation — would not change ZhongAn's operating economics directly, but would (a) deliver a technical overhang for 12-18 months and (b) signal that the distribution alignment partners are reducing their economic stake in the joint flywheel, which is precisely the signal the bull case cannot survive.</w:t>
      </w:r>
    </w:p>
    <w:bookmarkEnd w:id="25"/>
    <w:bookmarkStart w:id="26" w:name="X8042210e942efe4e200ba8c7f4bd151506e6eac"/>
    <w:p>
      <w:pPr>
        <w:pStyle w:val="Heading2"/>
      </w:pPr>
      <w:r>
        <w:t xml:space="preserve">What Gate 7 must verify before this moves off Starter</w:t>
      </w:r>
    </w:p>
    <w:p>
      <w:pPr>
        <w:pStyle w:val="FirstParagraph"/>
      </w:pPr>
      <w:r>
        <w:t xml:space="preserve">The framework discipline narrows the Gate 7 brief to specific verifiable claims, not a generalised research scope: (i) cohort loss ratios for the AI-priced book versus the traditional-priced book — without this number, Framework 4 stays at Level 2; (ii) channel commission as a % of GWP for Ant-routed, Tencent-routed, and direct policies, with multi-year series — without this, Framework 2 cannot move; (iii) NFRA regulatory-pipeline read on embedded-channel commission caps, drawn from primary-source consultations and not sell-side commentary — without this, Framework 6 bear probability stays at 30%; (iv) Ant and Tencent latest disclosed holdings and lockup-status, to size the technical overhang risk in Bear-case 3. Each of these is a discrete primary-source workstream and the four together are roughly the cost of one CHYM-class deep-research run.</w:t>
      </w:r>
    </w:p>
    <w:bookmarkEnd w:id="26"/>
    <w:bookmarkStart w:id="43" w:name="notes-sources"/>
    <w:p>
      <w:pPr>
        <w:pStyle w:val="Heading2"/>
      </w:pPr>
      <w:r>
        <w:t xml:space="preserve">Notes &amp; sources</w:t>
      </w:r>
    </w:p>
    <w:p>
      <w:pPr>
        <w:pStyle w:val="FirstParagraph"/>
      </w:pPr>
      <w:bookmarkStart w:id="27" w:name="n1"/>
      <w:bookmarkEnd w:id="27"/>
      <w:r>
        <w:rPr>
          <w:vertAlign w:val="superscript"/>
        </w:rPr>
        <w:t xml:space="preserve">1</w:t>
      </w:r>
      <w:r>
        <w:t xml:space="preserve"> </w:t>
      </w:r>
      <w:r>
        <w:t xml:space="preserve">ZhongAn Online P&amp;C Insurance Co Ltd, Global Offering Prospectus, HKEX, September 2017 — cornerstone and pre-IPO holdings disclosure for Ant Financial Services Group, Tencent, and Ping An Insurance. HKEX filing archive:</w:t>
      </w:r>
      <w:r>
        <w:t xml:space="preserve"> </w:t>
      </w:r>
      <w:hyperlink r:id="rId28">
        <w:r>
          <w:rPr>
            <w:rStyle w:val="Hyperlink"/>
          </w:rPr>
          <w:t xml:space="preserve">https://www1.hkexnews.hk/listedco/listconews/sehk/2017/0918/ltn20170918025.pdf</w:t>
        </w:r>
      </w:hyperlink>
      <w:r>
        <w:br/>
      </w:r>
      <w:bookmarkStart w:id="29" w:name="n2"/>
      <w:bookmarkEnd w:id="29"/>
      <w:r>
        <w:rPr>
          <w:vertAlign w:val="superscript"/>
        </w:rPr>
        <w:t xml:space="preserve">2</w:t>
      </w:r>
      <w:r>
        <w:t xml:space="preserve"> </w:t>
      </w:r>
      <w:r>
        <w:t xml:space="preserve">ZhongAn annual reports 2018-2023, HKEX e-disclosure — combined-ratio time series. Company HKEX page:</w:t>
      </w:r>
      <w:r>
        <w:t xml:space="preserve"> </w:t>
      </w:r>
      <w:hyperlink r:id="rId30">
        <w:r>
          <w:rPr>
            <w:rStyle w:val="Hyperlink"/>
          </w:rPr>
          <w:t xml:space="preserve">2023 annual report</w:t>
        </w:r>
      </w:hyperlink>
      <w:r>
        <w:t xml:space="preserve"> </w:t>
      </w:r>
      <w:r>
        <w:t xml:space="preserve">and prior years on hkexnews.hk.</w:t>
      </w:r>
      <w:r>
        <w:br/>
      </w:r>
      <w:bookmarkStart w:id="31" w:name="n3"/>
      <w:bookmarkEnd w:id="31"/>
      <w:r>
        <w:rPr>
          <w:vertAlign w:val="superscript"/>
        </w:rPr>
        <w:t xml:space="preserve">3</w:t>
      </w:r>
      <w:r>
        <w:t xml:space="preserve"> </w:t>
      </w:r>
      <w:r>
        <w:t xml:space="preserve">ZhongAn Global Offering Prospectus 2017, "Our AI- and data-driven insurance model" section; substantively repeated in 2018-2023 annual reports.</w:t>
      </w:r>
      <w:r>
        <w:br/>
      </w:r>
      <w:bookmarkStart w:id="32" w:name="n4"/>
      <w:bookmarkEnd w:id="32"/>
      <w:r>
        <w:rPr>
          <w:vertAlign w:val="superscript"/>
        </w:rPr>
        <w:t xml:space="preserve">4</w:t>
      </w:r>
      <w:r>
        <w:t xml:space="preserve"> </w:t>
      </w:r>
      <w:r>
        <w:t xml:space="preserve">Swiss Re Institute sigma reports, "World insurance" series, 2022 and 2023 editions — non-life premium-to-GDP cross-country tables.</w:t>
      </w:r>
      <w:r>
        <w:t xml:space="preserve"> </w:t>
      </w:r>
      <w:hyperlink r:id="rId33">
        <w:r>
          <w:rPr>
            <w:rStyle w:val="Hyperlink"/>
          </w:rPr>
          <w:t xml:space="preserve">https://www.swissre.com/institute/research/sigma-research/sigma-2023-03.html</w:t>
        </w:r>
      </w:hyperlink>
      <w:r>
        <w:br/>
      </w:r>
      <w:bookmarkStart w:id="34" w:name="n5"/>
      <w:bookmarkEnd w:id="34"/>
      <w:r>
        <w:rPr>
          <w:vertAlign w:val="superscript"/>
        </w:rPr>
        <w:t xml:space="preserve">5</w:t>
      </w:r>
      <w:r>
        <w:t xml:space="preserve"> </w:t>
      </w:r>
      <w:r>
        <w:t xml:space="preserve">ZhongAn Online P&amp;C Insurance Co Ltd, Annual Report 2023, HKEX, March 2024 — GWP RMB 29.55bn (2023) and historical comparatives.</w:t>
      </w:r>
      <w:r>
        <w:br/>
      </w:r>
      <w:bookmarkStart w:id="35" w:name="n6"/>
      <w:bookmarkEnd w:id="35"/>
      <w:r>
        <w:rPr>
          <w:vertAlign w:val="superscript"/>
        </w:rPr>
        <w:t xml:space="preserve">6</w:t>
      </w:r>
      <w:r>
        <w:t xml:space="preserve"> </w:t>
      </w:r>
      <w:r>
        <w:t xml:space="preserve">ZhongAn Annual Report 2023 — combined ratio 95.2% (2023), 99.7% (2022). Company-reported figures, HKEX filing.</w:t>
      </w:r>
      <w:r>
        <w:br/>
      </w:r>
      <w:bookmarkStart w:id="36" w:name="n7"/>
      <w:bookmarkEnd w:id="36"/>
      <w:r>
        <w:rPr>
          <w:vertAlign w:val="superscript"/>
        </w:rPr>
        <w:t xml:space="preserve">7</w:t>
      </w:r>
      <w:r>
        <w:t xml:space="preserve"> </w:t>
      </w:r>
      <w:r>
        <w:t xml:space="preserve">ZhongAn Annual Reports 2021-2023 — channel and acquisition cost discussion in MD&amp;A; broker and platform fees are disclosed as a substantial component of the expense ratio without product-level granularity in current public filings.</w:t>
      </w:r>
      <w:r>
        <w:br/>
      </w:r>
      <w:bookmarkStart w:id="37" w:name="n8"/>
      <w:bookmarkEnd w:id="37"/>
      <w:r>
        <w:rPr>
          <w:vertAlign w:val="superscript"/>
        </w:rPr>
        <w:t xml:space="preserve">8</w:t>
      </w:r>
      <w:r>
        <w:t xml:space="preserve"> </w:t>
      </w:r>
      <w:r>
        <w:t xml:space="preserve">ZhongAn Annual Report 2023, segment reporting — health and auto lines combined-ratio composition; verification of "AI-underwritten cohort" performance is not isolable from current public disclosure.</w:t>
      </w:r>
      <w:r>
        <w:br/>
      </w:r>
      <w:bookmarkStart w:id="38" w:name="n9"/>
      <w:bookmarkEnd w:id="38"/>
      <w:r>
        <w:rPr>
          <w:vertAlign w:val="superscript"/>
        </w:rPr>
        <w:t xml:space="preserve">9</w:t>
      </w:r>
      <w:r>
        <w:t xml:space="preserve"> </w:t>
      </w:r>
      <w:r>
        <w:t xml:space="preserve">Lemonade Inc, 10-K filings 2021-2023 (SEC EDGAR) — multi-year combined-ratio history materially above 100%.</w:t>
      </w:r>
      <w:r>
        <w:br/>
      </w:r>
      <w:bookmarkStart w:id="39" w:name="n10"/>
      <w:bookmarkEnd w:id="39"/>
      <w:r>
        <w:rPr>
          <w:vertAlign w:val="superscript"/>
        </w:rPr>
        <w:t xml:space="preserve">10</w:t>
      </w:r>
      <w:r>
        <w:t xml:space="preserve"> </w:t>
      </w:r>
      <w:r>
        <w:t xml:space="preserve">ZA Bank, Hong Kong Monetary Authority virtual-bank licensee disclosures, 2020 onward; ZA Bank subsidiary of ZA International, sister to ZhongAn Online P&amp;C. HKMA register:</w:t>
      </w:r>
      <w:r>
        <w:t xml:space="preserve"> </w:t>
      </w:r>
      <w:hyperlink r:id="rId40">
        <w:r>
          <w:rPr>
            <w:rStyle w:val="Hyperlink"/>
          </w:rPr>
          <w:t xml:space="preserve">https://www.hkma.gov.hk/eng/key-functions/banking/banking-regulatory-and-supervisory-regime/virtual-banks/</w:t>
        </w:r>
      </w:hyperlink>
      <w:r>
        <w:br/>
      </w:r>
      <w:bookmarkStart w:id="41" w:name="n11"/>
      <w:bookmarkEnd w:id="41"/>
      <w:r>
        <w:rPr>
          <w:vertAlign w:val="superscript"/>
        </w:rPr>
        <w:t xml:space="preserve">11</w:t>
      </w:r>
      <w:r>
        <w:t xml:space="preserve"> </w:t>
      </w:r>
      <w:r>
        <w:t xml:space="preserve">National Financial Regulatory Administration (NFRA, successor to CBIRC) — Internet Insurance Business Supervisory Measures </w:t>
      </w:r>
      <w:r>
        <w:rPr>
          <w:rFonts w:hint="eastAsia"/>
        </w:rPr>
        <w:t xml:space="preserve">(《互联网保险业务监管办法》),</w:t>
      </w:r>
      <w:r>
        <w:t xml:space="preserve"> effective 1 February 2021, and subsequent consultation papers on platform-routed distribution. NFRA portal:</w:t>
      </w:r>
      <w:r>
        <w:t xml:space="preserve"> </w:t>
      </w:r>
      <w:hyperlink r:id="rId42">
        <w:r>
          <w:rPr>
            <w:rStyle w:val="Hyperlink"/>
          </w:rPr>
          <w:t xml:space="preserve">http://www.nfra.gov.cn/</w:t>
        </w:r>
      </w:hyperlink>
    </w:p>
    <w:p>
      <w:pPr>
        <w:pStyle w:val="BodyText"/>
      </w:pPr>
      <w:r>
        <w:t xml:space="preserve">Generated 28 May 2026 — v5 Strategy preview — Spock v4 listed-eq pipeline — preview only, not an IC paper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://www.nfra.gov.cn/" TargetMode="External" /><Relationship Type="http://schemas.openxmlformats.org/officeDocument/2006/relationships/hyperlink" Id="rId30" Target="https://www.hkexnews.hk/listedco/listconews/sehk/2024/0327/2024032702160.pdf" TargetMode="External" /><Relationship Type="http://schemas.openxmlformats.org/officeDocument/2006/relationships/hyperlink" Id="rId40" Target="https://www.hkma.gov.hk/eng/key-functions/banking/banking-regulatory-and-supervisory-regime/virtual-banks/" TargetMode="External" /><Relationship Type="http://schemas.openxmlformats.org/officeDocument/2006/relationships/hyperlink" Id="rId33" Target="https://www.swissre.com/institute/research/sigma-research/sigma-2023-03.html" TargetMode="External" /><Relationship Type="http://schemas.openxmlformats.org/officeDocument/2006/relationships/hyperlink" Id="rId28" Target="https://www1.hkexnews.hk/listedco/listconews/sehk/2017/0918/ltn20170918025.pdf" TargetMode="External" /><Relationship Type="http://schemas.openxmlformats.org/officeDocument/2006/relationships/hyperlink" Id="rId10" Target="strategy-preview-28-may-2026.docx" TargetMode="External" /><Relationship Type="http://schemas.openxmlformats.org/officeDocument/2006/relationships/hyperlink" Id="rId9" Target="strategy-preview-28-may-202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nfra.gov.cn/" TargetMode="External" /><Relationship Type="http://schemas.openxmlformats.org/officeDocument/2006/relationships/hyperlink" Id="rId30" Target="https://www.hkexnews.hk/listedco/listconews/sehk/2024/0327/2024032702160.pdf" TargetMode="External" /><Relationship Type="http://schemas.openxmlformats.org/officeDocument/2006/relationships/hyperlink" Id="rId40" Target="https://www.hkma.gov.hk/eng/key-functions/banking/banking-regulatory-and-supervisory-regime/virtual-banks/" TargetMode="External" /><Relationship Type="http://schemas.openxmlformats.org/officeDocument/2006/relationships/hyperlink" Id="rId33" Target="https://www.swissre.com/institute/research/sigma-research/sigma-2023-03.html" TargetMode="External" /><Relationship Type="http://schemas.openxmlformats.org/officeDocument/2006/relationships/hyperlink" Id="rId28" Target="https://www1.hkexnews.hk/listedco/listconews/sehk/2017/0918/ltn20170918025.pdf" TargetMode="External" /><Relationship Type="http://schemas.openxmlformats.org/officeDocument/2006/relationships/hyperlink" Id="rId10" Target="strategy-preview-28-may-2026.docx" TargetMode="External" /><Relationship Type="http://schemas.openxmlformats.org/officeDocument/2006/relationships/hyperlink" Id="rId9" Target="strategy-preview-28-may-202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ZhongAn 6060.HK — Strategy Framework Preview</dc:title>
  <dc:creator/>
  <dc:language>en</dc:language>
  <cp:keywords/>
  <dcterms:created xsi:type="dcterms:W3CDTF">2026-05-28T14:36:44Z</dcterms:created>
  <dcterms:modified xsi:type="dcterms:W3CDTF">2026-05-28T14:36:44Z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