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2E75B6"/>
          <w:spacing w:val="60"/>
          <w:sz w:val="30"/>
          <w:szCs w:val="30"/>
        </w:rPr>
        <w:t xml:space="preserve">GROWTH PROPOSAL</w:t>
      </w:r>
    </w:p>
    <w:p>
      <w:pPr>
        <w:pBdr>
          <w:bottom w:val="single" w:color="BF8F00" w:sz="18" w:space="6"/>
        </w:pBdr>
        <w:spacing w:after="80" w:before="80"/>
      </w:pPr>
      <w:r>
        <w:rPr>
          <w:b/>
          <w:bCs/>
          <w:color w:val="1F3864"/>
          <w:sz w:val="64"/>
          <w:szCs w:val="64"/>
        </w:rPr>
        <w:t xml:space="preserve">Debra Robinson</w:t>
      </w:r>
    </w:p>
    <w:p>
      <w:pPr>
        <w:spacing w:after="40" w:before="120"/>
      </w:pPr>
      <w:r>
        <w:rPr>
          <w:color w:val="1F3864"/>
          <w:sz w:val="30"/>
          <w:szCs w:val="30"/>
        </w:rPr>
        <w:t xml:space="preserve">Real Estate &amp; Estate Liquidation</w:t>
      </w:r>
    </w:p>
    <w:p>
      <w:pPr>
        <w:spacing w:after="600"/>
      </w:pPr>
      <w:r>
        <w:rPr>
          <w:i/>
          <w:iCs/>
          <w:color w:val="595959"/>
          <w:sz w:val="22"/>
          <w:szCs w:val="22"/>
        </w:rPr>
        <w:t xml:space="preserve">A confidential information package and growth plan</w:t>
      </w:r>
    </w:p>
    <w:tbl>
      <w:tblPr>
        <w:tblW w:type="dxa" w:w="9360"/>
        <w:tblBorders>
          <w:top w:val="none"/>
          <w:left w:val="single" w:color="2E75B6" w:sz="24"/>
          <w:bottom w:val="none"/>
          <w:right w:val="none"/>
          <w:insideH w:val="single" w:color="auto" w:sz="4"/>
          <w:insideV w:val="single" w:color="auto" w:sz="4"/>
        </w:tblBorders>
      </w:tblPr>
      <w:tblGrid>
        <w:gridCol w:w="9360"/>
      </w:tblGrid>
      <w:tr>
        <w:tc>
          <w:tcPr>
            <w:tcW w:type="dxa" w:w="9360"/>
            <w:shd w:fill="EFF4FB" w:val="clear"/>
            <w:tcMar>
              <w:top w:type="dxa" w:w="180"/>
              <w:left w:type="dxa" w:w="220"/>
              <w:bottom w:type="dxa" w:w="180"/>
              <w:right w:type="dxa" w:w="180"/>
            </w:tcMar>
          </w:tcPr>
          <w:p>
            <w:pPr>
              <w:spacing w:after="60"/>
            </w:pPr>
            <w:r>
              <w:rPr>
                <w:b/>
                <w:bCs/>
                <w:color w:val="2E75B6"/>
                <w:spacing w:val="40"/>
                <w:sz w:val="18"/>
                <w:szCs w:val="18"/>
              </w:rPr>
              <w:t xml:space="preserve">PREPARED FOR  </w:t>
            </w:r>
            <w:r>
              <w:rPr>
                <w:color w:val="1F3864"/>
                <w:sz w:val="21"/>
                <w:szCs w:val="21"/>
              </w:rPr>
              <w:t xml:space="preserve">Debra Robinson, REALTOR® / Estate Liquidator</w:t>
            </w:r>
          </w:p>
          <w:p>
            <w:pPr>
              <w:spacing w:after="60"/>
            </w:pPr>
            <w:r>
              <w:rPr>
                <w:sz w:val="18"/>
                <w:szCs w:val="18"/>
              </w:rPr>
              <w:t xml:space="preserve">  </w:t>
            </w:r>
            <w:r>
              <w:rPr>
                <w:color w:val="595959"/>
                <w:sz w:val="19"/>
                <w:szCs w:val="19"/>
              </w:rPr>
              <w:t xml:space="preserve">DRE #01704867  ·  Senior Real Estate Specialist (SRES®)  ·  Security Pacific Real Estate</w:t>
            </w:r>
          </w:p>
          <w:p>
            <w:pPr>
              <w:spacing w:after="60"/>
            </w:pPr>
            <w:r>
              <w:rPr>
                <w:b/>
                <w:bCs/>
                <w:color w:val="2E75B6"/>
                <w:spacing w:val="40"/>
                <w:sz w:val="18"/>
                <w:szCs w:val="18"/>
              </w:rPr>
              <w:t xml:space="preserve">PREPARED BY  </w:t>
            </w:r>
            <w:r>
              <w:rPr>
                <w:color w:val="1F3864"/>
                <w:sz w:val="21"/>
                <w:szCs w:val="21"/>
              </w:rPr>
              <w:t xml:space="preserve">Roger Grubb · Number One Son Software Development</w:t>
            </w:r>
          </w:p>
          <w:p>
            <w:r>
              <w:rPr>
                <w:b/>
                <w:bCs/>
                <w:color w:val="2E75B6"/>
                <w:spacing w:val="40"/>
                <w:sz w:val="18"/>
                <w:szCs w:val="18"/>
              </w:rPr>
              <w:t xml:space="preserve">DATE  </w:t>
            </w:r>
            <w:r>
              <w:rPr>
                <w:color w:val="1F3864"/>
                <w:sz w:val="21"/>
                <w:szCs w:val="21"/>
              </w:rPr>
              <w:t xml:space="preserve">May 2026</w:t>
            </w:r>
          </w:p>
        </w:tc>
      </w:tr>
    </w:tbl>
    <w:p>
      <w:pPr>
        <w:spacing w:before="700"/>
      </w:pPr>
      <w:r>
        <w:rPr>
          <w:i/>
          <w:iCs/>
          <w:color w:val="595959"/>
          <w:sz w:val="22"/>
          <w:szCs w:val="22"/>
        </w:rPr>
        <w:t xml:space="preserve">“She can take care of the FULL ESTATE — selling the contents of the home as the Antiques Dealer, and selling the house as the Realtor.”</w:t>
      </w:r>
    </w:p>
    <w:p>
      <w:r>
        <w:rPr>
          <w:color w:val="595959"/>
          <w:sz w:val="18"/>
          <w:szCs w:val="18"/>
        </w:rPr>
        <w:t xml:space="preserve">— Debra Robinson agent profile, Security Pacific Real Estate</w:t>
      </w:r>
    </w:p>
    <w:p>
      <w:r>
        <w:br w:type="page"/>
      </w:r>
    </w:p>
    <w:p>
      <w:pPr>
        <w:pStyle w:val="Heading1"/>
      </w:pPr>
      <w:r>
        <w:t xml:space="preserve">Contents</w:t>
      </w:r>
    </w:p>
    <w:p>
      <w:pPr>
        <w:pBdr>
          <w:bottom w:val="single" w:color="2E75B6" w:sz="8" w:space="1"/>
        </w:pBdr>
        <w:spacing w:after="120"/>
      </w:pPr>
      <w:r>
        <w:t xml:space="preserve"/>
      </w:r>
    </w:p>
    <w:p>
      <w:pPr>
        <w:spacing w:after="120"/>
      </w:pPr>
      <w:r>
        <w:t xml:space="preserve"/>
      </w:r>
    </w:p>
    <w:p>
      <w:pPr>
        <w:tabs>
          <w:tab w:val="right" w:pos="9360" w:leader="dot"/>
        </w:tabs>
        <w:spacing w:after="130"/>
      </w:pPr>
      <w:r>
        <w:rPr>
          <w:b/>
          <w:bCs/>
          <w:color w:val="2E75B6"/>
          <w:sz w:val="22"/>
          <w:szCs w:val="22"/>
        </w:rPr>
        <w:t xml:space="preserve">1.   </w:t>
      </w:r>
      <w:r>
        <w:rPr>
          <w:color w:val="1F3864"/>
          <w:sz w:val="22"/>
          <w:szCs w:val="22"/>
        </w:rPr>
        <w:t xml:space="preserve">Executive Summary</w:t>
      </w:r>
      <w:r>
        <w:rPr>
          <w:color w:val="595959"/>
          <w:sz w:val="22"/>
          <w:szCs w:val="22"/>
        </w:rPr>
        <w:t xml:space="preserve">	3</w:t>
      </w:r>
    </w:p>
    <w:p>
      <w:pPr>
        <w:tabs>
          <w:tab w:val="right" w:pos="9360" w:leader="dot"/>
        </w:tabs>
        <w:spacing w:after="130"/>
      </w:pPr>
      <w:r>
        <w:rPr>
          <w:b/>
          <w:bCs/>
          <w:color w:val="2E75B6"/>
          <w:sz w:val="22"/>
          <w:szCs w:val="22"/>
        </w:rPr>
        <w:t xml:space="preserve">2.   </w:t>
      </w:r>
      <w:r>
        <w:rPr>
          <w:color w:val="1F3864"/>
          <w:sz w:val="22"/>
          <w:szCs w:val="22"/>
        </w:rPr>
        <w:t xml:space="preserve">Who You Are Today</w:t>
      </w:r>
      <w:r>
        <w:rPr>
          <w:color w:val="595959"/>
          <w:sz w:val="22"/>
          <w:szCs w:val="22"/>
        </w:rPr>
        <w:t xml:space="preserve">	4</w:t>
      </w:r>
    </w:p>
    <w:p>
      <w:pPr>
        <w:tabs>
          <w:tab w:val="right" w:pos="9360" w:leader="dot"/>
        </w:tabs>
        <w:spacing w:after="130"/>
      </w:pPr>
      <w:r>
        <w:rPr>
          <w:b/>
          <w:bCs/>
          <w:color w:val="2E75B6"/>
          <w:sz w:val="22"/>
          <w:szCs w:val="22"/>
        </w:rPr>
        <w:t xml:space="preserve">3.   </w:t>
      </w:r>
      <w:r>
        <w:rPr>
          <w:color w:val="1F3864"/>
          <w:sz w:val="22"/>
          <w:szCs w:val="22"/>
        </w:rPr>
        <w:t xml:space="preserve">Your Unfair Advantage — “The Full Estate”</w:t>
      </w:r>
      <w:r>
        <w:rPr>
          <w:color w:val="595959"/>
          <w:sz w:val="22"/>
          <w:szCs w:val="22"/>
        </w:rPr>
        <w:t xml:space="preserve">	5</w:t>
      </w:r>
    </w:p>
    <w:p>
      <w:pPr>
        <w:tabs>
          <w:tab w:val="right" w:pos="9360" w:leader="dot"/>
        </w:tabs>
        <w:spacing w:after="130"/>
      </w:pPr>
      <w:r>
        <w:rPr>
          <w:b/>
          <w:bCs/>
          <w:color w:val="2E75B6"/>
          <w:sz w:val="22"/>
          <w:szCs w:val="22"/>
        </w:rPr>
        <w:t xml:space="preserve">4.   </w:t>
      </w:r>
      <w:r>
        <w:rPr>
          <w:color w:val="1F3864"/>
          <w:sz w:val="22"/>
          <w:szCs w:val="22"/>
        </w:rPr>
        <w:t xml:space="preserve">The Market Moment — Why Now</w:t>
      </w:r>
      <w:r>
        <w:rPr>
          <w:color w:val="595959"/>
          <w:sz w:val="22"/>
          <w:szCs w:val="22"/>
        </w:rPr>
        <w:t xml:space="preserve">	6</w:t>
      </w:r>
    </w:p>
    <w:p>
      <w:pPr>
        <w:tabs>
          <w:tab w:val="right" w:pos="9360" w:leader="dot"/>
        </w:tabs>
        <w:spacing w:after="130"/>
      </w:pPr>
      <w:r>
        <w:rPr>
          <w:b/>
          <w:bCs/>
          <w:color w:val="2E75B6"/>
          <w:sz w:val="22"/>
          <w:szCs w:val="22"/>
        </w:rPr>
        <w:t xml:space="preserve">5.   </w:t>
      </w:r>
      <w:r>
        <w:rPr>
          <w:color w:val="1F3864"/>
          <w:sz w:val="22"/>
          <w:szCs w:val="22"/>
        </w:rPr>
        <w:t xml:space="preserve">Honest Assessment — Why the Phone Isn’t Ringing</w:t>
      </w:r>
      <w:r>
        <w:rPr>
          <w:color w:val="595959"/>
          <w:sz w:val="22"/>
          <w:szCs w:val="22"/>
        </w:rPr>
        <w:t xml:space="preserve">	7</w:t>
      </w:r>
    </w:p>
    <w:p>
      <w:pPr>
        <w:tabs>
          <w:tab w:val="right" w:pos="9360" w:leader="dot"/>
        </w:tabs>
        <w:spacing w:after="130"/>
      </w:pPr>
      <w:r>
        <w:rPr>
          <w:b/>
          <w:bCs/>
          <w:color w:val="2E75B6"/>
          <w:sz w:val="22"/>
          <w:szCs w:val="22"/>
        </w:rPr>
        <w:t xml:space="preserve">6.   </w:t>
      </w:r>
      <w:r>
        <w:rPr>
          <w:color w:val="1F3864"/>
          <w:sz w:val="22"/>
          <w:szCs w:val="22"/>
        </w:rPr>
        <w:t xml:space="preserve">The Growth Plan — Three Horizons</w:t>
      </w:r>
      <w:r>
        <w:rPr>
          <w:color w:val="595959"/>
          <w:sz w:val="22"/>
          <w:szCs w:val="22"/>
        </w:rPr>
        <w:t xml:space="preserve">	8</w:t>
      </w:r>
    </w:p>
    <w:p>
      <w:pPr>
        <w:tabs>
          <w:tab w:val="right" w:pos="9360" w:leader="dot"/>
        </w:tabs>
        <w:spacing w:after="130"/>
      </w:pPr>
      <w:r>
        <w:rPr>
          <w:b/>
          <w:bCs/>
          <w:color w:val="2E75B6"/>
          <w:sz w:val="22"/>
          <w:szCs w:val="22"/>
        </w:rPr>
        <w:t xml:space="preserve">7.   </w:t>
      </w:r>
      <w:r>
        <w:rPr>
          <w:color w:val="1F3864"/>
          <w:sz w:val="22"/>
          <w:szCs w:val="22"/>
        </w:rPr>
        <w:t xml:space="preserve">The Signature Offer — “The Full Estate Solution”</w:t>
      </w:r>
      <w:r>
        <w:rPr>
          <w:color w:val="595959"/>
          <w:sz w:val="22"/>
          <w:szCs w:val="22"/>
        </w:rPr>
        <w:t xml:space="preserve">	10</w:t>
      </w:r>
    </w:p>
    <w:p>
      <w:pPr>
        <w:tabs>
          <w:tab w:val="right" w:pos="9360" w:leader="dot"/>
        </w:tabs>
        <w:spacing w:after="130"/>
      </w:pPr>
      <w:r>
        <w:rPr>
          <w:b/>
          <w:bCs/>
          <w:color w:val="2E75B6"/>
          <w:sz w:val="22"/>
          <w:szCs w:val="22"/>
        </w:rPr>
        <w:t xml:space="preserve">8.   </w:t>
      </w:r>
      <w:r>
        <w:rPr>
          <w:color w:val="1F3864"/>
          <w:sz w:val="22"/>
          <w:szCs w:val="22"/>
        </w:rPr>
        <w:t xml:space="preserve">How We Build It — Number One Son Software Development</w:t>
      </w:r>
      <w:r>
        <w:rPr>
          <w:color w:val="595959"/>
          <w:sz w:val="22"/>
          <w:szCs w:val="22"/>
        </w:rPr>
        <w:t xml:space="preserve">	11</w:t>
      </w:r>
    </w:p>
    <w:p>
      <w:pPr>
        <w:tabs>
          <w:tab w:val="right" w:pos="9360" w:leader="dot"/>
        </w:tabs>
        <w:spacing w:after="130"/>
      </w:pPr>
      <w:r>
        <w:rPr>
          <w:b/>
          <w:bCs/>
          <w:color w:val="2E75B6"/>
          <w:sz w:val="22"/>
          <w:szCs w:val="22"/>
        </w:rPr>
        <w:t xml:space="preserve">9.   </w:t>
      </w:r>
      <w:r>
        <w:rPr>
          <w:color w:val="1F3864"/>
          <w:sz w:val="22"/>
          <w:szCs w:val="22"/>
        </w:rPr>
        <w:t xml:space="preserve">Projections — Where This Goes</w:t>
      </w:r>
      <w:r>
        <w:rPr>
          <w:color w:val="595959"/>
          <w:sz w:val="22"/>
          <w:szCs w:val="22"/>
        </w:rPr>
        <w:t xml:space="preserve">	12</w:t>
      </w:r>
    </w:p>
    <w:p>
      <w:pPr>
        <w:tabs>
          <w:tab w:val="right" w:pos="9360" w:leader="dot"/>
        </w:tabs>
        <w:spacing w:after="130"/>
      </w:pPr>
      <w:r>
        <w:rPr>
          <w:b/>
          <w:bCs/>
          <w:color w:val="2E75B6"/>
          <w:sz w:val="22"/>
          <w:szCs w:val="22"/>
        </w:rPr>
        <w:t xml:space="preserve">10.   </w:t>
      </w:r>
      <w:r>
        <w:rPr>
          <w:color w:val="1F3864"/>
          <w:sz w:val="22"/>
          <w:szCs w:val="22"/>
        </w:rPr>
        <w:t xml:space="preserve">Next Steps</w:t>
      </w:r>
      <w:r>
        <w:rPr>
          <w:color w:val="595959"/>
          <w:sz w:val="22"/>
          <w:szCs w:val="22"/>
        </w:rPr>
        <w:t xml:space="preserve">	13</w:t>
      </w:r>
    </w:p>
    <w:p>
      <w:pPr>
        <w:tabs>
          <w:tab w:val="right" w:pos="9360" w:leader="dot"/>
        </w:tabs>
        <w:spacing w:after="130"/>
      </w:pPr>
      <w:r>
        <w:rPr>
          <w:b/>
          <w:bCs/>
          <w:color w:val="2E75B6"/>
          <w:sz w:val="22"/>
          <w:szCs w:val="22"/>
        </w:rPr>
        <w:t xml:space="preserve"/>
      </w:r>
      <w:r>
        <w:rPr>
          <w:color w:val="1F3864"/>
          <w:sz w:val="22"/>
          <w:szCs w:val="22"/>
        </w:rPr>
        <w:t xml:space="preserve">Appendix — Sources &amp; Notes</w:t>
      </w:r>
      <w:r>
        <w:rPr>
          <w:color w:val="595959"/>
          <w:sz w:val="22"/>
          <w:szCs w:val="22"/>
        </w:rPr>
        <w:t xml:space="preserve">	14</w:t>
      </w:r>
    </w:p>
    <w:p>
      <w:r>
        <w:br w:type="page"/>
      </w:r>
    </w:p>
    <w:p>
      <w:pPr>
        <w:pStyle w:val="Heading1"/>
      </w:pPr>
      <w:r>
        <w:t xml:space="preserve">1.  Executive Summary</w:t>
      </w:r>
    </w:p>
    <w:p>
      <w:pPr>
        <w:pBdr>
          <w:bottom w:val="single" w:color="2E75B6" w:sz="8" w:space="1"/>
        </w:pBdr>
        <w:spacing w:after="120"/>
      </w:pPr>
      <w:r>
        <w:t xml:space="preserve"/>
      </w:r>
    </w:p>
    <w:p>
      <w:pPr>
        <w:spacing w:after="140" w:line="276"/>
      </w:pPr>
      <w:r>
        <w:t xml:space="preserve">Debra, you are sitting on one of the most defensible positions in East Bay real estate — and almost nobody online can see it. You are not just a Realtor with 21 years and a clean 5.0 record. You are the rare professional who can walk into a family’s home, sell the contents as a 30-year antiques dealer, stage what remains as a trained interior designer, and then list and sell the house itself — all as one trusted person. Most agents hand the contents to a stranger. Most estate liquidators can’t touch the house. You do the whole thing.</w:t>
      </w:r>
    </w:p>
    <w:p>
      <w:pPr>
        <w:spacing w:after="140" w:line="276"/>
      </w:pPr>
      <w:r>
        <w:t xml:space="preserve">That combination is arriving at exactly the right moment. The largest transfer of senior-owned homes in U.S. history — what the industry calls the “Silver Tsunami” — is now underway. Baby boomers own roughly 70% of the nation’s homes, and the National Association of REALTORS® has declared the wave “here.” Your service area is full of long-tenured older homeowners and the adult children who will one day have to settle their estates. You were built for this client.</w:t>
      </w:r>
    </w:p>
    <w:tbl>
      <w:tblPr>
        <w:tblW w:type="dxa" w:w="9360"/>
        <w:tblBorders>
          <w:top w:val="single" w:color="FBF3D6" w:sz="2"/>
          <w:left w:val="single" w:color="BF8F00" w:sz="24"/>
          <w:bottom w:val="single" w:color="FBF3D6" w:sz="2"/>
          <w:right w:val="single" w:color="FBF3D6" w:sz="2"/>
          <w:insideH w:val="single" w:color="auto" w:sz="4"/>
          <w:insideV w:val="single" w:color="auto" w:sz="4"/>
        </w:tblBorders>
      </w:tblPr>
      <w:tblGrid>
        <w:gridCol w:w="9360"/>
      </w:tblGrid>
      <w:tr>
        <w:tc>
          <w:tcPr>
            <w:tcW w:type="dxa" w:w="9360"/>
            <w:shd w:fill="FBF3D6" w:val="clear"/>
            <w:tcMar>
              <w:top w:type="dxa" w:w="140"/>
              <w:left w:type="dxa" w:w="200"/>
              <w:bottom w:type="dxa" w:w="140"/>
              <w:right w:type="dxa" w:w="180"/>
            </w:tcMar>
          </w:tcPr>
          <w:p>
            <w:pPr>
              <w:spacing w:after="60"/>
            </w:pPr>
            <w:r>
              <w:rPr>
                <w:b/>
                <w:bCs/>
                <w:color w:val="1F3864"/>
                <w:sz w:val="22"/>
                <w:szCs w:val="22"/>
              </w:rPr>
              <w:t xml:space="preserve">The core problem — and the opportunity</w:t>
            </w:r>
          </w:p>
          <w:p>
            <w:pPr>
              <w:spacing w:after="60" w:line="270"/>
            </w:pPr>
            <w:r>
              <w:rPr>
                <w:sz w:val="21"/>
                <w:szCs w:val="21"/>
              </w:rPr>
              <w:t xml:space="preserve">The asset is real. The engine that markets it has gone quiet. Your newest public reviews are from 2014–2018, your “Great Estates” page hasn’t posted in years, the social links on your profiles are broken, and there is no website that tells the one story that makes you unique. Closings have slowed to roughly two in the last twelve months.</w:t>
            </w:r>
          </w:p>
          <w:p>
            <w:pPr>
              <w:spacing w:after="0" w:line="270"/>
            </w:pPr>
            <w:r>
              <w:rPr>
                <w:b/>
                <w:bCs/>
                <w:color w:val="1F3864"/>
                <w:sz w:val="21"/>
                <w:szCs w:val="21"/>
              </w:rPr>
              <w:t xml:space="preserve">The fix is not more hustle. It is leverage: </w:t>
            </w:r>
            <w:r>
              <w:rPr>
                <w:sz w:val="21"/>
                <w:szCs w:val="21"/>
              </w:rPr>
              <w:t xml:space="preserve">package your unique service, put it where sellers and executors are searching, and let automation keep the pipeline full. This document lays out exactly how.</w:t>
            </w:r>
          </w:p>
        </w:tc>
      </w:tr>
    </w:tbl>
    <w:p>
      <w:pPr>
        <w:spacing w:after="140" w:line="276"/>
      </w:pPr>
      <w:r>
        <w:rPr>
          <w:i/>
          <w:iCs/>
          <w:color w:val="595959"/>
          <w:sz w:val="21"/>
          <w:szCs w:val="21"/>
        </w:rPr>
        <w:t xml:space="preserve">This package covers who you are today, the unfair advantage you hold, the market moment, an honest assessment of the gaps, a staged growth plan, a signature productized offer, the tools Number One Son Software Development can build for you, and a projection of where this goes over the next year.</w:t>
      </w:r>
    </w:p>
    <w:p>
      <w:r>
        <w:br w:type="page"/>
      </w:r>
    </w:p>
    <w:p>
      <w:pPr>
        <w:pStyle w:val="Heading1"/>
      </w:pPr>
      <w:r>
        <w:t xml:space="preserve">2.  Who You Are Today</w:t>
      </w:r>
    </w:p>
    <w:p>
      <w:pPr>
        <w:pBdr>
          <w:bottom w:val="single" w:color="2E75B6" w:sz="8" w:space="1"/>
        </w:pBdr>
        <w:spacing w:after="120"/>
      </w:pPr>
      <w:r>
        <w:t xml:space="preserve"/>
      </w:r>
    </w:p>
    <w:p>
      <w:pPr>
        <w:spacing w:after="140" w:line="276"/>
      </w:pPr>
      <w:r>
        <w:t xml:space="preserve">A snapshot of the business as it exists right now, pulled from your public profiles and listing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vAlign w:val="center"/>
          </w:tcPr>
          <w:p>
            <w:r>
              <w:rPr>
                <w:b/>
                <w:bCs/>
                <w:color w:val="FFFFFF"/>
                <w:sz w:val="20"/>
                <w:szCs w:val="20"/>
              </w:rPr>
              <w:t xml:space="preserve"/>
            </w:r>
          </w:p>
        </w:tc>
        <w:tc>
          <w:tcPr>
            <w:tcW w:type="dxa" w:w="6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vAlign w:val="center"/>
          </w:tcPr>
          <w:p>
            <w:r>
              <w:rPr>
                <w:b/>
                <w:bCs/>
                <w:color w:val="FFFFFF"/>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color w:val="1F3864"/>
                <w:sz w:val="19"/>
                <w:szCs w:val="19"/>
              </w:rPr>
              <w:t xml:space="preserve">Credentials</w:t>
            </w:r>
          </w:p>
        </w:tc>
        <w:tc>
          <w:tcPr>
            <w:tcW w:type="dxa" w:w="6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REALTOR®, DRE #01704867 · Senior Real Estate Specialist (SRES®) · 21 years licensed</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b/>
                <w:bCs/>
                <w:color w:val="1F3864"/>
                <w:sz w:val="19"/>
                <w:szCs w:val="19"/>
              </w:rPr>
              <w:t xml:space="preserve">Brokerage</w:t>
            </w:r>
          </w:p>
        </w:tc>
        <w:tc>
          <w:tcPr>
            <w:tcW w:type="dxa" w:w="696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Security Pacific Real Estate — Pinole / Richmond, CA</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color w:val="1F3864"/>
                <w:sz w:val="19"/>
                <w:szCs w:val="19"/>
              </w:rPr>
              <w:t xml:space="preserve">Second business</w:t>
            </w:r>
          </w:p>
        </w:tc>
        <w:tc>
          <w:tcPr>
            <w:tcW w:type="dxa" w:w="6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“Great Estates by Debra Robinson” — full-service estate liquidation (281-follower Facebook page)</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b/>
                <w:bCs/>
                <w:color w:val="1F3864"/>
                <w:sz w:val="19"/>
                <w:szCs w:val="19"/>
              </w:rPr>
              <w:t xml:space="preserve">Specialist background</w:t>
            </w:r>
          </w:p>
        </w:tc>
        <w:tc>
          <w:tcPr>
            <w:tcW w:type="dxa" w:w="696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25–30 years in antiques · interior design &amp; home staging · self-employed 25+ years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color w:val="1F3864"/>
                <w:sz w:val="19"/>
                <w:szCs w:val="19"/>
              </w:rPr>
              <w:t xml:space="preserve">Track record</w:t>
            </w:r>
          </w:p>
        </w:tc>
        <w:tc>
          <w:tcPr>
            <w:tcW w:type="dxa" w:w="6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48 lifetime sales · price range $95K–$852K · ~$460K average · 5.0 rating · known for selling listings over asking</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b/>
                <w:bCs/>
                <w:color w:val="1F3864"/>
                <w:sz w:val="19"/>
                <w:szCs w:val="19"/>
              </w:rPr>
              <w:t xml:space="preserve">Service area</w:t>
            </w:r>
          </w:p>
        </w:tc>
        <w:tc>
          <w:tcPr>
            <w:tcW w:type="dxa" w:w="696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16 East Bay cities — Pinole, Hercules, Richmond, San Pablo, El Sobrante, El Cerrito, Kensington, Albany, Berkeley, Oakland, San Leandro, Hayward, Walnut Creek, Pleasant Hill, Martinez, San Francisco</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color w:val="1F3864"/>
                <w:sz w:val="19"/>
                <w:szCs w:val="19"/>
              </w:rPr>
              <w:t xml:space="preserve">Recent activity</w:t>
            </w:r>
          </w:p>
        </w:tc>
        <w:tc>
          <w:tcPr>
            <w:tcW w:type="dxa" w:w="6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Most recent close: $852K in Pinole (buyer side). ~2 transactions in the last 12 months.</w:t>
            </w:r>
          </w:p>
        </w:tc>
      </w:tr>
    </w:tbl>
    <w:p>
      <w:pPr>
        <w:spacing w:after="60"/>
      </w:pPr>
      <w:r>
        <w:t xml:space="preserve"/>
      </w:r>
    </w:p>
    <w:p>
      <w:pPr>
        <w:spacing w:after="140" w:line="276"/>
      </w:pPr>
      <w:r>
        <w:rPr>
          <w:i/>
          <w:iCs/>
          <w:color w:val="595959"/>
          <w:sz w:val="21"/>
          <w:szCs w:val="21"/>
        </w:rPr>
        <w:t xml:space="preserve">The headline: deep credibility and a one-of-a-kind skill set, with transaction volume well below what that profile should produce.</w:t>
      </w:r>
    </w:p>
    <w:p>
      <w:r>
        <w:br w:type="page"/>
      </w:r>
    </w:p>
    <w:p>
      <w:pPr>
        <w:pStyle w:val="Heading1"/>
      </w:pPr>
      <w:r>
        <w:t xml:space="preserve">3.  Your Unfair Advantage — “The Full Estate”</w:t>
      </w:r>
    </w:p>
    <w:p>
      <w:pPr>
        <w:pBdr>
          <w:bottom w:val="single" w:color="2E75B6" w:sz="8" w:space="1"/>
        </w:pBdr>
        <w:spacing w:after="120"/>
      </w:pPr>
      <w:r>
        <w:t xml:space="preserve"/>
      </w:r>
    </w:p>
    <w:p>
      <w:pPr>
        <w:spacing w:after="140" w:line="276"/>
      </w:pPr>
      <w:r>
        <w:t xml:space="preserve">When a parent passes or a senior finally decides to move, the family faces three overwhelming jobs at once: sell decades of belongings, get the house presentable, and sell the house. The normal path means hiring three different strangers — an estate-sale company, a stager, and a Realtor — and coordinating all of them while grieving or exhausted.</w:t>
      </w:r>
    </w:p>
    <w:p>
      <w:pPr>
        <w:spacing w:after="140" w:line="276"/>
      </w:pPr>
      <w:r>
        <w:rPr>
          <w:b/>
          <w:bCs/>
          <w:color w:val="1F3864"/>
          <w:sz w:val="22"/>
          <w:szCs w:val="22"/>
        </w:rPr>
        <w:t xml:space="preserve">You collapse all three into one trusted person.</w:t>
      </w:r>
    </w:p>
    <w:p>
      <w:pPr>
        <w:spacing w:after="140" w:line="276"/>
      </w:pPr>
      <w:r>
        <w:t xml:space="preserve">You appraise and sell the contents as the antiques dealer, stage the home with a designer’s eye, and list and close it as the licensed Realtor. For the family, that is one relationship instead of three, one point of accountability, and a faster, cleaner path from “What do we do with all this?” to “It’s sold.” For you, it means you often capture both the estate-sale revenue and the real-estate commission from a single home.</w:t>
      </w:r>
    </w:p>
    <w:tbl>
      <w:tblPr>
        <w:tblW w:type="dxa" w:w="9360"/>
        <w:tblBorders>
          <w:top w:val="single" w:color="E7F0DC" w:sz="2"/>
          <w:left w:val="single" w:color="548235" w:sz="24"/>
          <w:bottom w:val="single" w:color="E7F0DC" w:sz="2"/>
          <w:right w:val="single" w:color="E7F0DC" w:sz="2"/>
          <w:insideH w:val="single" w:color="auto" w:sz="4"/>
          <w:insideV w:val="single" w:color="auto" w:sz="4"/>
        </w:tblBorders>
      </w:tblPr>
      <w:tblGrid>
        <w:gridCol w:w="9360"/>
      </w:tblGrid>
      <w:tr>
        <w:tc>
          <w:tcPr>
            <w:tcW w:type="dxa" w:w="9360"/>
            <w:shd w:fill="E7F0DC" w:val="clear"/>
            <w:tcMar>
              <w:top w:type="dxa" w:w="140"/>
              <w:left w:type="dxa" w:w="200"/>
              <w:bottom w:type="dxa" w:w="140"/>
              <w:right w:type="dxa" w:w="180"/>
            </w:tcMar>
          </w:tcPr>
          <w:p>
            <w:pPr>
              <w:spacing w:after="60"/>
            </w:pPr>
            <w:r>
              <w:rPr>
                <w:b/>
                <w:bCs/>
                <w:color w:val="1F3864"/>
                <w:sz w:val="22"/>
                <w:szCs w:val="22"/>
              </w:rPr>
              <w:t xml:space="preserve">Why this is a moat, not just a feature</w:t>
            </w:r>
          </w:p>
          <w:p>
            <w:pPr>
              <w:spacing w:after="60" w:line="270"/>
            </w:pPr>
            <w:r>
              <w:rPr>
                <w:b/>
                <w:bCs/>
              </w:rPr>
              <w:t xml:space="preserve">Estate-sale companies </w:t>
            </w:r>
            <w:r>
              <w:t xml:space="preserve">can’t list the house — they hand the seller off and lose the biggest transaction.</w:t>
            </w:r>
          </w:p>
          <w:p>
            <w:pPr>
              <w:spacing w:after="60" w:line="270"/>
            </w:pPr>
            <w:r>
              <w:rPr>
                <w:b/>
                <w:bCs/>
              </w:rPr>
              <w:t xml:space="preserve">Most Realtors </w:t>
            </w:r>
            <w:r>
              <w:t xml:space="preserve">can’t value or sell antiques and contents — they refer it out and lose control of the timeline.</w:t>
            </w:r>
          </w:p>
          <w:p>
            <w:pPr>
              <w:spacing w:after="0" w:line="270"/>
            </w:pPr>
            <w:r>
              <w:rPr>
                <w:b/>
                <w:bCs/>
                <w:color w:val="548235"/>
              </w:rPr>
              <w:t xml:space="preserve">You do both, credentialed in both. </w:t>
            </w:r>
            <w:r>
              <w:t xml:space="preserve">That is extremely hard to copy and exactly what a stressed executor is desperate to find.</w:t>
            </w:r>
          </w:p>
        </w:tc>
      </w:tr>
    </w:tbl>
    <w:p>
      <w:pPr>
        <w:spacing w:after="140" w:line="276"/>
      </w:pPr>
      <w:r>
        <w:t xml:space="preserve">Right now this advantage lives in a paragraph of profile text. The plan in Section 6 turns it into the front door of your entire business.</w:t>
      </w:r>
    </w:p>
    <w:p>
      <w:r>
        <w:br w:type="page"/>
      </w:r>
    </w:p>
    <w:p>
      <w:pPr>
        <w:pStyle w:val="Heading1"/>
      </w:pPr>
      <w:r>
        <w:t xml:space="preserve">4.  The Market Moment — Why Now</w:t>
      </w:r>
    </w:p>
    <w:p>
      <w:pPr>
        <w:pBdr>
          <w:bottom w:val="single" w:color="2E75B6" w:sz="8" w:space="1"/>
        </w:pBdr>
        <w:spacing w:after="120"/>
      </w:pPr>
      <w:r>
        <w:t xml:space="preserve"/>
      </w:r>
    </w:p>
    <w:p>
      <w:pPr>
        <w:pStyle w:val="Heading2"/>
      </w:pPr>
      <w:r>
        <w:t xml:space="preserve">The Silver Tsunami is here</w:t>
      </w:r>
    </w:p>
    <w:p>
      <w:pPr>
        <w:spacing w:after="140" w:line="276"/>
      </w:pPr>
      <w:r>
        <w:t xml:space="preserve">This is the single biggest tailwind of your career, and it lines up perfectly with your niche:</w:t>
      </w:r>
    </w:p>
    <w:p>
      <w:pPr>
        <w:pStyle w:val="ListParagraph"/>
        <w:numPr>
          <w:ilvl w:val="0"/>
          <w:numId w:val="2"/>
        </w:numPr>
        <w:spacing w:after="80" w:line="270"/>
      </w:pPr>
      <w:r>
        <w:t xml:space="preserve">Baby boomers own roughly 70% of all U.S. homes, and a historic wave of those homes is now beginning to transition through downsizing, inheritance, and estate settlement.</w:t>
      </w:r>
    </w:p>
    <w:p>
      <w:pPr>
        <w:pStyle w:val="ListParagraph"/>
        <w:numPr>
          <w:ilvl w:val="0"/>
          <w:numId w:val="2"/>
        </w:numPr>
        <w:spacing w:after="80" w:line="270"/>
      </w:pPr>
      <w:r>
        <w:t xml:space="preserve">The National Association of REALTORS® has moved from calling this “coming” to calling it “here,” and is urging agents to prepare for downsizing and inherited-home clients.</w:t>
      </w:r>
    </w:p>
    <w:p>
      <w:pPr>
        <w:pStyle w:val="ListParagraph"/>
        <w:numPr>
          <w:ilvl w:val="0"/>
          <w:numId w:val="2"/>
        </w:numPr>
        <w:spacing w:after="80" w:line="270"/>
      </w:pPr>
      <w:r>
        <w:t xml:space="preserve">Inherited homes are at record levels — which means more executors and adult children needing exactly the contents-plus-house service you already provide.</w:t>
      </w:r>
    </w:p>
    <w:p>
      <w:pPr>
        <w:pStyle w:val="ListParagraph"/>
        <w:numPr>
          <w:ilvl w:val="0"/>
          <w:numId w:val="2"/>
        </w:numPr>
        <w:spacing w:after="80" w:line="270"/>
      </w:pPr>
      <w:r>
        <w:t xml:space="preserve">Your SRES® designation and antiques background make you </w:t>
      </w:r>
      <w:r>
        <w:rPr>
          <w:b/>
          <w:bCs/>
        </w:rPr>
        <w:t xml:space="preserve">the natural specialist</w:t>
      </w:r>
      <w:r>
        <w:t xml:space="preserve"> for this client — most agents have neither.</w:t>
      </w:r>
    </w:p>
    <w:p>
      <w:pPr>
        <w:pStyle w:val="Heading2"/>
      </w:pPr>
      <w:r>
        <w:t xml:space="preserve">Your local market is normalizing — which favors specialists</w:t>
      </w:r>
    </w:p>
    <w:p>
      <w:pPr>
        <w:spacing w:after="140" w:line="276"/>
      </w:pPr>
      <w:r>
        <w:t xml:space="preserve">Recent figures for your core service area (spring 2026, public listing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60"/>
        <w:gridCol w:w="2200"/>
        <w:gridCol w:w="210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Market</w:t>
            </w:r>
          </w:p>
        </w:tc>
        <w:tc>
          <w:tcPr>
            <w:tcW w:type="dxa" w:w="236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Median price</w:t>
            </w:r>
          </w:p>
        </w:tc>
        <w:tc>
          <w:tcPr>
            <w:tcW w:type="dxa" w:w="22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Trend (YoY)</w:t>
            </w:r>
          </w:p>
        </w:tc>
        <w:tc>
          <w:tcPr>
            <w:tcW w:type="dxa" w:w="21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Days on market</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Pinole</w:t>
            </w:r>
          </w:p>
        </w:tc>
        <w:tc>
          <w:tcPr>
            <w:tcW w:type="dxa" w:w="23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~$685K</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+2.2%</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~38 days</w:t>
            </w:r>
          </w:p>
        </w:tc>
      </w:tr>
      <w:tr>
        <w:tc>
          <w:tcPr>
            <w:tcW w:type="dxa" w:w="27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Hercules</w:t>
            </w:r>
          </w:p>
        </w:tc>
        <w:tc>
          <w:tcPr>
            <w:tcW w:type="dxa" w:w="236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~$530K</w:t>
            </w:r>
          </w:p>
        </w:tc>
        <w:tc>
          <w:tcPr>
            <w:tcW w:type="dxa" w:w="22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−3.5%</w:t>
            </w:r>
          </w:p>
        </w:tc>
        <w:tc>
          <w:tcPr>
            <w:tcW w:type="dxa" w:w="21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~24 days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California (statewide)</w:t>
            </w:r>
          </w:p>
        </w:tc>
        <w:tc>
          <w:tcPr>
            <w:tcW w:type="dxa" w:w="23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~$905K (record)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 +3.6% projected</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w:t>
            </w:r>
          </w:p>
        </w:tc>
      </w:tr>
    </w:tbl>
    <w:p>
      <w:pPr>
        <w:spacing w:after="60"/>
      </w:pPr>
      <w:r>
        <w:t xml:space="preserve"/>
      </w:r>
    </w:p>
    <w:p>
      <w:pPr>
        <w:spacing w:after="140" w:line="276"/>
      </w:pPr>
      <w:r>
        <w:t xml:space="preserve">Prices are high but flattening, and homes are taking longer to sell in your home market. In a normalizing market, the cheapest commodity is a generic agent — and the most valuable thing is a specialist who solves a hard, emotional problem better than anyone else. That is precisely the position you can own.</w:t>
      </w:r>
    </w:p>
    <w:p>
      <w:r>
        <w:br w:type="page"/>
      </w:r>
    </w:p>
    <w:p>
      <w:pPr>
        <w:pStyle w:val="Heading1"/>
      </w:pPr>
      <w:r>
        <w:t xml:space="preserve">5.  Honest Assessment — Why the Phone Isn’t Ringing</w:t>
      </w:r>
    </w:p>
    <w:p>
      <w:pPr>
        <w:pBdr>
          <w:bottom w:val="single" w:color="2E75B6" w:sz="8" w:space="1"/>
        </w:pBdr>
        <w:spacing w:after="120"/>
      </w:pPr>
      <w:r>
        <w:t xml:space="preserve"/>
      </w:r>
    </w:p>
    <w:p>
      <w:pPr>
        <w:spacing w:after="140" w:line="276"/>
      </w:pPr>
      <w:r>
        <w:t xml:space="preserve">This section is direct on purpose — it’s the part that actually moves the needle. None of these are talent problems. Every one is a visibility-and-systems problem, which means every one is fixable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9C2B2B" w:val="clear"/>
            <w:tcMar>
              <w:top w:type="dxa" w:w="90"/>
              <w:left w:type="dxa" w:w="130"/>
              <w:bottom w:type="dxa" w:w="90"/>
              <w:right w:type="dxa" w:w="130"/>
            </w:tcMar>
            <w:vAlign w:val="center"/>
          </w:tcPr>
          <w:p>
            <w:r>
              <w:rPr>
                <w:b/>
                <w:bCs/>
                <w:color w:val="FFFFFF"/>
                <w:sz w:val="20"/>
                <w:szCs w:val="20"/>
              </w:rPr>
              <w:t xml:space="preserve">The gap</w:t>
            </w:r>
          </w:p>
        </w:tc>
        <w:tc>
          <w:tcPr>
            <w:tcW w:type="dxa" w:w="6460"/>
            <w:tcBorders>
              <w:top w:val="single" w:color="BFBFBF" w:sz="4"/>
              <w:left w:val="single" w:color="BFBFBF" w:sz="4"/>
              <w:bottom w:val="single" w:color="BFBFBF" w:sz="4"/>
              <w:right w:val="single" w:color="BFBFBF" w:sz="4"/>
            </w:tcBorders>
            <w:shd w:fill="9C2B2B" w:val="clear"/>
            <w:tcMar>
              <w:top w:type="dxa" w:w="90"/>
              <w:left w:type="dxa" w:w="130"/>
              <w:bottom w:type="dxa" w:w="90"/>
              <w:right w:type="dxa" w:w="130"/>
            </w:tcMar>
            <w:vAlign w:val="center"/>
          </w:tcPr>
          <w:p>
            <w:r>
              <w:rPr>
                <w:b/>
                <w:bCs/>
                <w:color w:val="FFFFFF"/>
                <w:sz w:val="20"/>
                <w:szCs w:val="20"/>
              </w:rPr>
              <w:t xml:space="preserve">What it’s costing you</w:t>
            </w:r>
          </w:p>
        </w:tc>
      </w:tr>
      <w:tr>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sz w:val="19"/>
                <w:szCs w:val="19"/>
              </w:rPr>
              <w:t xml:space="preserve">Dormant digital presence</w:t>
            </w:r>
          </w:p>
        </w:tc>
        <w:tc>
          <w:tcPr>
            <w:tcW w:type="dxa" w:w="6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Newest public reviews are 2014–2018; the “Great Estates” page hasn’t posted in years. To a 2026 seller researching you online, the business looks inactive.</w:t>
            </w:r>
          </w:p>
        </w:tc>
      </w:tr>
      <w:tr>
        <w:tc>
          <w:tcPr>
            <w:tcW w:type="dxa" w:w="2900"/>
            <w:tcBorders>
              <w:top w:val="single" w:color="BFBFBF" w:sz="4"/>
              <w:left w:val="single" w:color="BFBFBF" w:sz="4"/>
              <w:bottom w:val="single" w:color="BFBFBF" w:sz="4"/>
              <w:right w:val="single" w:color="BFBFBF" w:sz="4"/>
            </w:tcBorders>
            <w:shd w:fill="FBEAEA" w:val="clear"/>
            <w:tcMar>
              <w:top w:type="dxa" w:w="90"/>
              <w:left w:type="dxa" w:w="130"/>
              <w:bottom w:type="dxa" w:w="90"/>
              <w:right w:type="dxa" w:w="130"/>
            </w:tcMar>
            <w:vAlign w:val="center"/>
          </w:tcPr>
          <w:p>
            <w:pPr>
              <w:spacing w:after="0" w:line="264"/>
            </w:pPr>
            <w:r>
              <w:rPr>
                <w:b/>
                <w:bCs/>
                <w:sz w:val="19"/>
                <w:szCs w:val="19"/>
              </w:rPr>
              <w:t xml:space="preserve">No dedicated website</w:t>
            </w:r>
          </w:p>
        </w:tc>
        <w:tc>
          <w:tcPr>
            <w:tcW w:type="dxa" w:w="6460"/>
            <w:tcBorders>
              <w:top w:val="single" w:color="BFBFBF" w:sz="4"/>
              <w:left w:val="single" w:color="BFBFBF" w:sz="4"/>
              <w:bottom w:val="single" w:color="BFBFBF" w:sz="4"/>
              <w:right w:val="single" w:color="BFBFBF" w:sz="4"/>
            </w:tcBorders>
            <w:shd w:fill="FBEAEA" w:val="clear"/>
            <w:tcMar>
              <w:top w:type="dxa" w:w="90"/>
              <w:left w:type="dxa" w:w="130"/>
              <w:bottom w:type="dxa" w:w="90"/>
              <w:right w:type="dxa" w:w="130"/>
            </w:tcMar>
            <w:vAlign w:val="center"/>
          </w:tcPr>
          <w:p>
            <w:pPr>
              <w:spacing w:after="0" w:line="264"/>
            </w:pPr>
            <w:r>
              <w:rPr>
                <w:sz w:val="19"/>
                <w:szCs w:val="19"/>
              </w:rPr>
              <w:t xml:space="preserve">The single most valuable, most searchable thing you own — “the one person who sells the contents AND the house” — is invisible on Google. Competitors with half your skill outrank you.</w:t>
            </w:r>
          </w:p>
        </w:tc>
      </w:tr>
      <w:tr>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sz w:val="19"/>
                <w:szCs w:val="19"/>
              </w:rPr>
              <w:t xml:space="preserve">Broken / missing social links</w:t>
            </w:r>
          </w:p>
        </w:tc>
        <w:tc>
          <w:tcPr>
            <w:tcW w:type="dxa" w:w="6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Profile links to Facebook and X are broken. Interested leads hit dead ends instead of a funnel.</w:t>
            </w:r>
          </w:p>
        </w:tc>
      </w:tr>
      <w:tr>
        <w:tc>
          <w:tcPr>
            <w:tcW w:type="dxa" w:w="2900"/>
            <w:tcBorders>
              <w:top w:val="single" w:color="BFBFBF" w:sz="4"/>
              <w:left w:val="single" w:color="BFBFBF" w:sz="4"/>
              <w:bottom w:val="single" w:color="BFBFBF" w:sz="4"/>
              <w:right w:val="single" w:color="BFBFBF" w:sz="4"/>
            </w:tcBorders>
            <w:shd w:fill="FBEAEA" w:val="clear"/>
            <w:tcMar>
              <w:top w:type="dxa" w:w="90"/>
              <w:left w:type="dxa" w:w="130"/>
              <w:bottom w:type="dxa" w:w="90"/>
              <w:right w:type="dxa" w:w="130"/>
            </w:tcMar>
            <w:vAlign w:val="center"/>
          </w:tcPr>
          <w:p>
            <w:pPr>
              <w:spacing w:after="0" w:line="264"/>
            </w:pPr>
            <w:r>
              <w:rPr>
                <w:b/>
                <w:bCs/>
                <w:sz w:val="19"/>
                <w:szCs w:val="19"/>
              </w:rPr>
              <w:t xml:space="preserve">The advantage isn’t packaged</w:t>
            </w:r>
          </w:p>
        </w:tc>
        <w:tc>
          <w:tcPr>
            <w:tcW w:type="dxa" w:w="6460"/>
            <w:tcBorders>
              <w:top w:val="single" w:color="BFBFBF" w:sz="4"/>
              <w:left w:val="single" w:color="BFBFBF" w:sz="4"/>
              <w:bottom w:val="single" w:color="BFBFBF" w:sz="4"/>
              <w:right w:val="single" w:color="BFBFBF" w:sz="4"/>
            </w:tcBorders>
            <w:shd w:fill="FBEAEA" w:val="clear"/>
            <w:tcMar>
              <w:top w:type="dxa" w:w="90"/>
              <w:left w:type="dxa" w:w="130"/>
              <w:bottom w:type="dxa" w:w="90"/>
              <w:right w:type="dxa" w:w="130"/>
            </w:tcMar>
            <w:vAlign w:val="center"/>
          </w:tcPr>
          <w:p>
            <w:pPr>
              <w:spacing w:after="0" w:line="264"/>
            </w:pPr>
            <w:r>
              <w:rPr>
                <w:sz w:val="19"/>
                <w:szCs w:val="19"/>
              </w:rPr>
              <w:t xml:space="preserve">“The Full Estate” is buried in paragraph text, not a named, priced, referable service. People can’t refer what they can’t name.</w:t>
            </w:r>
          </w:p>
        </w:tc>
      </w:tr>
      <w:tr>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sz w:val="19"/>
                <w:szCs w:val="19"/>
              </w:rPr>
              <w:t xml:space="preserve">No lead-capture or follow-up engine</w:t>
            </w:r>
          </w:p>
        </w:tc>
        <w:tc>
          <w:tcPr>
            <w:tcW w:type="dxa" w:w="6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Every estate sale draws dozens of local visitors — future sellers and buyers — and none are being captured, nurtured, or asked for a review.</w:t>
            </w:r>
          </w:p>
        </w:tc>
      </w:tr>
      <w:tr>
        <w:tc>
          <w:tcPr>
            <w:tcW w:type="dxa" w:w="2900"/>
            <w:tcBorders>
              <w:top w:val="single" w:color="BFBFBF" w:sz="4"/>
              <w:left w:val="single" w:color="BFBFBF" w:sz="4"/>
              <w:bottom w:val="single" w:color="BFBFBF" w:sz="4"/>
              <w:right w:val="single" w:color="BFBFBF" w:sz="4"/>
            </w:tcBorders>
            <w:shd w:fill="FBEAEA" w:val="clear"/>
            <w:tcMar>
              <w:top w:type="dxa" w:w="90"/>
              <w:left w:type="dxa" w:w="130"/>
              <w:bottom w:type="dxa" w:w="90"/>
              <w:right w:type="dxa" w:w="130"/>
            </w:tcMar>
            <w:vAlign w:val="center"/>
          </w:tcPr>
          <w:p>
            <w:pPr>
              <w:spacing w:after="0" w:line="264"/>
            </w:pPr>
            <w:r>
              <w:rPr>
                <w:b/>
                <w:bCs/>
                <w:sz w:val="19"/>
                <w:szCs w:val="19"/>
              </w:rPr>
              <w:t xml:space="preserve">Volume has slipped</w:t>
            </w:r>
          </w:p>
        </w:tc>
        <w:tc>
          <w:tcPr>
            <w:tcW w:type="dxa" w:w="6460"/>
            <w:tcBorders>
              <w:top w:val="single" w:color="BFBFBF" w:sz="4"/>
              <w:left w:val="single" w:color="BFBFBF" w:sz="4"/>
              <w:bottom w:val="single" w:color="BFBFBF" w:sz="4"/>
              <w:right w:val="single" w:color="BFBFBF" w:sz="4"/>
            </w:tcBorders>
            <w:shd w:fill="FBEAEA" w:val="clear"/>
            <w:tcMar>
              <w:top w:type="dxa" w:w="90"/>
              <w:left w:type="dxa" w:w="130"/>
              <w:bottom w:type="dxa" w:w="90"/>
              <w:right w:type="dxa" w:w="130"/>
            </w:tcMar>
            <w:vAlign w:val="center"/>
          </w:tcPr>
          <w:p>
            <w:pPr>
              <w:spacing w:after="0" w:line="264"/>
            </w:pPr>
            <w:r>
              <w:rPr>
                <w:sz w:val="19"/>
                <w:szCs w:val="19"/>
              </w:rPr>
              <w:t xml:space="preserve">~2 closings in 12 months for a 48-sale veteran with a premium niche. The pipeline, not the ability, is the bottleneck.</w:t>
            </w:r>
          </w:p>
        </w:tc>
      </w:tr>
    </w:tbl>
    <w:p>
      <w:pPr>
        <w:spacing w:after="60"/>
      </w:pPr>
      <w:r>
        <w:t xml:space="preserve"/>
      </w:r>
    </w:p>
    <w:tbl>
      <w:tblPr>
        <w:tblW w:type="dxa" w:w="9360"/>
        <w:tblBorders>
          <w:top w:val="single" w:color="EFF4FB" w:sz="2"/>
          <w:left w:val="single" w:color="2E75B6" w:sz="24"/>
          <w:bottom w:val="single" w:color="EFF4FB" w:sz="2"/>
          <w:right w:val="single" w:color="EFF4FB" w:sz="2"/>
          <w:insideH w:val="single" w:color="auto" w:sz="4"/>
          <w:insideV w:val="single" w:color="auto" w:sz="4"/>
        </w:tblBorders>
      </w:tblPr>
      <w:tblGrid>
        <w:gridCol w:w="9360"/>
      </w:tblGrid>
      <w:tr>
        <w:tc>
          <w:tcPr>
            <w:tcW w:type="dxa" w:w="9360"/>
            <w:shd w:fill="EFF4FB" w:val="clear"/>
            <w:tcMar>
              <w:top w:type="dxa" w:w="140"/>
              <w:left w:type="dxa" w:w="200"/>
              <w:bottom w:type="dxa" w:w="140"/>
              <w:right w:type="dxa" w:w="180"/>
            </w:tcMar>
          </w:tcPr>
          <w:p>
            <w:pPr>
              <w:spacing w:after="60"/>
            </w:pPr>
            <w:r>
              <w:rPr>
                <w:b/>
                <w:bCs/>
                <w:color w:val="1F3864"/>
                <w:sz w:val="22"/>
                <w:szCs w:val="22"/>
              </w:rPr>
              <w:t xml:space="preserve">The reframe</w:t>
            </w:r>
          </w:p>
          <w:p>
            <w:pPr>
              <w:spacing w:after="0" w:line="270"/>
            </w:pPr>
            <w:r>
              <w:rPr>
                <w:sz w:val="21"/>
                <w:szCs w:val="21"/>
              </w:rPr>
              <w:t xml:space="preserve">Every gap above is leverage waiting to be switched on. You already did the hard part — 21 years, a 5.0 record, and a skill set nobody can copy. What’s missing is the modern engine that points all of it at the Silver Tsunami. That engine is what the rest of this plan builds.</w:t>
            </w:r>
          </w:p>
        </w:tc>
      </w:tr>
    </w:tbl>
    <w:p>
      <w:r>
        <w:br w:type="page"/>
      </w:r>
    </w:p>
    <w:p>
      <w:pPr>
        <w:pStyle w:val="Heading1"/>
      </w:pPr>
      <w:r>
        <w:t xml:space="preserve">6.  The Growth Plan — Three Horizons</w:t>
      </w:r>
    </w:p>
    <w:p>
      <w:pPr>
        <w:pBdr>
          <w:bottom w:val="single" w:color="2E75B6" w:sz="8" w:space="1"/>
        </w:pBdr>
        <w:spacing w:after="120"/>
      </w:pPr>
      <w:r>
        <w:t xml:space="preserve"/>
      </w:r>
    </w:p>
    <w:p>
      <w:pPr>
        <w:spacing w:after="140" w:line="276"/>
      </w:pPr>
      <w:r>
        <w:t xml:space="preserve">A staged plan so nothing is overwhelming. Horizon 1 can start this week and costs almost nothing. Horizons 2 and 3 build the durable engine.</w:t>
      </w:r>
    </w:p>
    <w:p>
      <w:pPr>
        <w:pStyle w:val="Heading2"/>
      </w:pPr>
      <w:r>
        <w:t xml:space="preserve">Horizon 1 — Quick Wins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3900"/>
        <w:gridCol w:w="2910"/>
      </w:tblGrid>
      <w:tr>
        <w:trPr>
          <w:tblHeader/>
        </w:trPr>
        <w:tc>
          <w:tcPr>
            <w:tcW w:type="dxa" w:w="255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Initiative</w:t>
            </w:r>
          </w:p>
        </w:tc>
        <w:tc>
          <w:tcPr>
            <w:tcW w:type="dxa" w:w="390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What it does</w:t>
            </w:r>
          </w:p>
        </w:tc>
        <w:tc>
          <w:tcPr>
            <w:tcW w:type="dxa" w:w="291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Expected impact</w:t>
            </w:r>
          </w:p>
        </w:tc>
      </w:tr>
      <w:tr>
        <w:tc>
          <w:tcPr>
            <w:tcW w:type="dxa" w:w="255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Reactivate &amp; refresh reviews</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Text/email your last 10–15 happy clients with a one-tap review link.</w:t>
            </w:r>
          </w:p>
        </w:tc>
        <w:tc>
          <w:tcPr>
            <w:tcW w:type="dxa" w:w="291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Fresh 5-star proof; restores credibility</w:t>
            </w:r>
          </w:p>
        </w:tc>
      </w:tr>
      <w:tr>
        <w:tc>
          <w:tcPr>
            <w:tcW w:type="dxa" w:w="255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Fix every broken link</w:t>
            </w:r>
          </w:p>
        </w:tc>
        <w:tc>
          <w:tcPr>
            <w:tcW w:type="dxa" w:w="39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Repair Facebook, add Instagram &amp; Google Business Profile.</w:t>
            </w:r>
          </w:p>
        </w:tc>
        <w:tc>
          <w:tcPr>
            <w:tcW w:type="dxa" w:w="291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Leads land in a funnel, not a dead end</w:t>
            </w:r>
          </w:p>
        </w:tc>
      </w:tr>
      <w:tr>
        <w:tc>
          <w:tcPr>
            <w:tcW w:type="dxa" w:w="255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Claim “The Full Estate” message</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Rewrite all profile bios around the one-of-a-kind dual service.</w:t>
            </w:r>
          </w:p>
        </w:tc>
        <w:tc>
          <w:tcPr>
            <w:tcW w:type="dxa" w:w="291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Instant differentiation everywhere you appear</w:t>
            </w:r>
          </w:p>
        </w:tc>
      </w:tr>
      <w:tr>
        <w:tc>
          <w:tcPr>
            <w:tcW w:type="dxa" w:w="255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Post your sold story</w:t>
            </w:r>
          </w:p>
        </w:tc>
        <w:tc>
          <w:tcPr>
            <w:tcW w:type="dxa" w:w="39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Announce the $852K Pinole close + recent estate sales.</w:t>
            </w:r>
          </w:p>
        </w:tc>
        <w:tc>
          <w:tcPr>
            <w:tcW w:type="dxa" w:w="291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Signals an active, in-demand business</w:t>
            </w:r>
          </w:p>
        </w:tc>
      </w:tr>
    </w:tbl>
    <w:p>
      <w:pPr>
        <w:pStyle w:val="Heading2"/>
      </w:pPr>
      <w:r>
        <w:t xml:space="preserve">Horizon 2 — Build the Engine (60–90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3900"/>
        <w:gridCol w:w="2910"/>
      </w:tblGrid>
      <w:tr>
        <w:trPr>
          <w:tblHeader/>
        </w:trPr>
        <w:tc>
          <w:tcPr>
            <w:tcW w:type="dxa" w:w="255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Initiative</w:t>
            </w:r>
          </w:p>
        </w:tc>
        <w:tc>
          <w:tcPr>
            <w:tcW w:type="dxa" w:w="390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What it does</w:t>
            </w:r>
          </w:p>
        </w:tc>
        <w:tc>
          <w:tcPr>
            <w:tcW w:type="dxa" w:w="291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Expected impact</w:t>
            </w:r>
          </w:p>
        </w:tc>
      </w:tr>
      <w:tr>
        <w:tc>
          <w:tcPr>
            <w:tcW w:type="dxa" w:w="255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Launch the brand website</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One home for Realtor + Great Estates with the Full Estate story, service tiers, sold gallery, and a free-consultation capture form.</w:t>
            </w:r>
          </w:p>
        </w:tc>
        <w:tc>
          <w:tcPr>
            <w:tcW w:type="dxa" w:w="291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Owns the Google search; converts visitors to leads</w:t>
            </w:r>
          </w:p>
        </w:tc>
      </w:tr>
      <w:tr>
        <w:tc>
          <w:tcPr>
            <w:tcW w:type="dxa" w:w="255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Productize the offer (Sec. 7)</w:t>
            </w:r>
          </w:p>
        </w:tc>
        <w:tc>
          <w:tcPr>
            <w:tcW w:type="dxa" w:w="39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Three named, clear service tiers families can choose and refer.</w:t>
            </w:r>
          </w:p>
        </w:tc>
        <w:tc>
          <w:tcPr>
            <w:tcW w:type="dxa" w:w="291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Higher close rate; word-of-mouth referrals</w:t>
            </w:r>
          </w:p>
        </w:tc>
      </w:tr>
      <w:tr>
        <w:tc>
          <w:tcPr>
            <w:tcW w:type="dxa" w:w="255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Estate-sale → listing funnel</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Every estate sale captures attendee contacts and pitches the listing service.</w:t>
            </w:r>
          </w:p>
        </w:tc>
        <w:tc>
          <w:tcPr>
            <w:tcW w:type="dxa" w:w="291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Turns each sale into multiple future deals</w:t>
            </w:r>
          </w:p>
        </w:tc>
      </w:tr>
      <w:tr>
        <w:tc>
          <w:tcPr>
            <w:tcW w:type="dxa" w:w="255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Simple CRM + auto follow-up</w:t>
            </w:r>
          </w:p>
        </w:tc>
        <w:tc>
          <w:tcPr>
            <w:tcW w:type="dxa" w:w="39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Capture every lead; nurture by text/email; auto-request reviews after each close.</w:t>
            </w:r>
          </w:p>
        </w:tc>
        <w:tc>
          <w:tcPr>
            <w:tcW w:type="dxa" w:w="291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Nothing slips; reviews compound automatically</w:t>
            </w:r>
          </w:p>
        </w:tc>
      </w:tr>
    </w:tbl>
    <w:p>
      <w:pPr>
        <w:pStyle w:val="Heading2"/>
      </w:pPr>
      <w:r>
        <w:t xml:space="preserve">Horizon 3 — Scale &amp; Compound (6–12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3900"/>
        <w:gridCol w:w="2910"/>
      </w:tblGrid>
      <w:tr>
        <w:trPr>
          <w:tblHeader/>
        </w:trPr>
        <w:tc>
          <w:tcPr>
            <w:tcW w:type="dxa" w:w="255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Initiative</w:t>
            </w:r>
          </w:p>
        </w:tc>
        <w:tc>
          <w:tcPr>
            <w:tcW w:type="dxa" w:w="390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What it does</w:t>
            </w:r>
          </w:p>
        </w:tc>
        <w:tc>
          <w:tcPr>
            <w:tcW w:type="dxa" w:w="2910"/>
            <w:tcBorders>
              <w:top w:val="single" w:color="BFBFBF" w:sz="4"/>
              <w:left w:val="single" w:color="BFBFBF" w:sz="4"/>
              <w:bottom w:val="single" w:color="BFBFBF" w:sz="4"/>
              <w:right w:val="single" w:color="BFBFBF" w:sz="4"/>
            </w:tcBorders>
            <w:shd w:fill="2E75B6" w:val="clear"/>
            <w:tcMar>
              <w:top w:type="dxa" w:w="90"/>
              <w:left w:type="dxa" w:w="130"/>
              <w:bottom w:type="dxa" w:w="90"/>
              <w:right w:type="dxa" w:w="130"/>
            </w:tcMar>
            <w:vAlign w:val="center"/>
          </w:tcPr>
          <w:p>
            <w:r>
              <w:rPr>
                <w:b/>
                <w:bCs/>
                <w:color w:val="FFFFFF"/>
                <w:sz w:val="20"/>
                <w:szCs w:val="20"/>
              </w:rPr>
              <w:t xml:space="preserve">Expected impact</w:t>
            </w:r>
          </w:p>
        </w:tc>
      </w:tr>
      <w:tr>
        <w:tc>
          <w:tcPr>
            <w:tcW w:type="dxa" w:w="255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Become THE local Silver-Tsunami expert</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Seminars at senior centers; partner with estate attorneys, fiduciaries, and senior-move managers.</w:t>
            </w:r>
          </w:p>
        </w:tc>
        <w:tc>
          <w:tcPr>
            <w:tcW w:type="dxa" w:w="291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A steady referral pipeline of high-intent sellers</w:t>
            </w:r>
          </w:p>
        </w:tc>
      </w:tr>
      <w:tr>
        <w:tc>
          <w:tcPr>
            <w:tcW w:type="dxa" w:w="255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Content engine</w:t>
            </w:r>
          </w:p>
        </w:tc>
        <w:tc>
          <w:tcPr>
            <w:tcW w:type="dxa" w:w="39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Short videos at each estate sale + “settling a parent’s estate” guides.</w:t>
            </w:r>
          </w:p>
        </w:tc>
        <w:tc>
          <w:tcPr>
            <w:tcW w:type="dxa" w:w="291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Compounding SEO and social reach</w:t>
            </w:r>
          </w:p>
        </w:tc>
      </w:tr>
      <w:tr>
        <w:tc>
          <w:tcPr>
            <w:tcW w:type="dxa" w:w="255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Referral &amp; past-client program</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Systematic check-ins and a clear referral ask.</w:t>
            </w:r>
          </w:p>
        </w:tc>
        <w:tc>
          <w:tcPr>
            <w:tcW w:type="dxa" w:w="291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Repeat and referral business — the cheapest leads</w:t>
            </w:r>
          </w:p>
        </w:tc>
      </w:tr>
      <w:tr>
        <w:tc>
          <w:tcPr>
            <w:tcW w:type="dxa" w:w="255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AI contents-cataloguing tool (frontier)</w:t>
            </w:r>
          </w:p>
        </w:tc>
        <w:tc>
          <w:tcPr>
            <w:tcW w:type="dxa" w:w="39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A custom tool that photographs, identifies, and prices estate contents fast (see Sec. 8).</w:t>
            </w:r>
          </w:p>
        </w:tc>
        <w:tc>
          <w:tcPr>
            <w:tcW w:type="dxa" w:w="291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A durable moat no competitor can match</w:t>
            </w:r>
          </w:p>
        </w:tc>
      </w:tr>
    </w:tbl>
    <w:p>
      <w:r>
        <w:br w:type="page"/>
      </w:r>
    </w:p>
    <w:p>
      <w:pPr>
        <w:pStyle w:val="Heading1"/>
      </w:pPr>
      <w:r>
        <w:t xml:space="preserve">7.  The Signature Offer — “The Full Estate Solution”</w:t>
      </w:r>
    </w:p>
    <w:p>
      <w:pPr>
        <w:pBdr>
          <w:bottom w:val="single" w:color="2E75B6" w:sz="8" w:space="1"/>
        </w:pBdr>
        <w:spacing w:after="120"/>
      </w:pPr>
      <w:r>
        <w:t xml:space="preserve"/>
      </w:r>
    </w:p>
    <w:p>
      <w:pPr>
        <w:spacing w:after="140" w:line="276"/>
      </w:pPr>
      <w:r>
        <w:t xml:space="preserve">Right now a potential client has to read a paragraph and infer what you do. Replace that with three named tiers they instantly understand and can refer to a friend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Tier</w:t>
            </w:r>
          </w:p>
        </w:tc>
        <w:tc>
          <w:tcPr>
            <w:tcW w:type="dxa" w:w="30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Who it’s for</w:t>
            </w:r>
          </w:p>
        </w:tc>
        <w:tc>
          <w:tcPr>
            <w:tcW w:type="dxa" w:w="446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What’s included</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color w:val="1F3864"/>
                <w:sz w:val="19"/>
                <w:szCs w:val="19"/>
              </w:rPr>
              <w:t xml:space="preserve">Contents</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Family keeping or separately selling the home</w:t>
            </w:r>
          </w:p>
        </w:tc>
        <w:tc>
          <w:tcPr>
            <w:tcW w:type="dxa" w:w="4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Professional estate sale / liquidation: appraisal, staging the sale, marketing, run-of-show, clean handoff</w:t>
            </w:r>
          </w:p>
        </w:tc>
      </w:tr>
      <w:tr>
        <w:tc>
          <w:tcPr>
            <w:tcW w:type="dxa" w:w="19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b/>
                <w:bCs/>
                <w:color w:val="548235"/>
                <w:sz w:val="19"/>
                <w:szCs w:val="19"/>
              </w:rPr>
              <w:t xml:space="preserve">Full Estate </w:t>
            </w:r>
            <w:r>
              <w:rPr>
                <w:b/>
                <w:bCs/>
                <w:color w:val="548235"/>
                <w:sz w:val="16"/>
                <w:szCs w:val="16"/>
              </w:rPr>
              <w:t xml:space="preserve">★ flagship</w:t>
            </w:r>
          </w:p>
        </w:tc>
        <w:tc>
          <w:tcPr>
            <w:tcW w:type="dxa" w:w="30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Family settling a home start to finish</w:t>
            </w:r>
          </w:p>
        </w:tc>
        <w:tc>
          <w:tcPr>
            <w:tcW w:type="dxa" w:w="446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Everything in Contents + design staging of the house + list &amp; sell as REALTOR® — one person, one timeline, contents-to-sold</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color w:val="BF8F00"/>
                <w:sz w:val="19"/>
                <w:szCs w:val="19"/>
              </w:rPr>
              <w:t xml:space="preserve">Legacy</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Executors handling a full probate estate</w:t>
            </w:r>
          </w:p>
        </w:tc>
        <w:tc>
          <w:tcPr>
            <w:tcW w:type="dxa" w:w="4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White-glove: probate coordination, full cleanout, light repairs/refresh, liquidation, and sale — turnkey</w:t>
            </w:r>
          </w:p>
        </w:tc>
      </w:tr>
    </w:tbl>
    <w:p>
      <w:pPr>
        <w:spacing w:after="80"/>
      </w:pPr>
      <w:r>
        <w:t xml:space="preserve"/>
      </w:r>
    </w:p>
    <w:tbl>
      <w:tblPr>
        <w:tblW w:type="dxa" w:w="9360"/>
        <w:tblBorders>
          <w:top w:val="single" w:color="FBF3D6" w:sz="2"/>
          <w:left w:val="single" w:color="BF8F00" w:sz="24"/>
          <w:bottom w:val="single" w:color="FBF3D6" w:sz="2"/>
          <w:right w:val="single" w:color="FBF3D6" w:sz="2"/>
          <w:insideH w:val="single" w:color="auto" w:sz="4"/>
          <w:insideV w:val="single" w:color="auto" w:sz="4"/>
        </w:tblBorders>
      </w:tblPr>
      <w:tblGrid>
        <w:gridCol w:w="9360"/>
      </w:tblGrid>
      <w:tr>
        <w:tc>
          <w:tcPr>
            <w:tcW w:type="dxa" w:w="9360"/>
            <w:shd w:fill="FBF3D6" w:val="clear"/>
            <w:tcMar>
              <w:top w:type="dxa" w:w="140"/>
              <w:left w:type="dxa" w:w="200"/>
              <w:bottom w:type="dxa" w:w="140"/>
              <w:right w:type="dxa" w:w="180"/>
            </w:tcMar>
          </w:tcPr>
          <w:p>
            <w:pPr>
              <w:spacing w:after="60"/>
            </w:pPr>
            <w:r>
              <w:rPr>
                <w:b/>
                <w:bCs/>
                <w:color w:val="1F3864"/>
                <w:sz w:val="22"/>
                <w:szCs w:val="22"/>
              </w:rPr>
              <w:t xml:space="preserve">Position it around the real buyer</w:t>
            </w:r>
          </w:p>
          <w:p>
            <w:pPr>
              <w:spacing w:after="60" w:line="270"/>
            </w:pPr>
            <w:r>
              <w:rPr>
                <w:sz w:val="21"/>
                <w:szCs w:val="21"/>
              </w:rPr>
              <w:t xml:space="preserve">Your true client is often the adult child settling a parent’s home — emotional, time-pressed, and dreading the logistics. Your message becomes simple and human:</w:t>
            </w:r>
          </w:p>
          <w:p>
            <w:pPr>
              <w:spacing w:after="0" w:line="270"/>
            </w:pPr>
            <w:r>
              <w:rPr>
                <w:b/>
                <w:bCs/>
                <w:i/>
                <w:iCs/>
                <w:color w:val="1F3864"/>
                <w:sz w:val="22"/>
                <w:szCs w:val="22"/>
              </w:rPr>
              <w:t xml:space="preserve">“One trusted local expert to handle it all — from the contents to the closing. You don’t have to figure this out alone.”</w:t>
            </w:r>
          </w:p>
        </w:tc>
      </w:tr>
    </w:tbl>
    <w:p>
      <w:r>
        <w:br w:type="page"/>
      </w:r>
    </w:p>
    <w:p>
      <w:pPr>
        <w:pStyle w:val="Heading1"/>
      </w:pPr>
      <w:r>
        <w:t xml:space="preserve">8.  How We Build It — Number One Son Software Development</w:t>
      </w:r>
    </w:p>
    <w:p>
      <w:pPr>
        <w:pBdr>
          <w:bottom w:val="single" w:color="2E75B6" w:sz="8" w:space="1"/>
        </w:pBdr>
        <w:spacing w:after="120"/>
      </w:pPr>
      <w:r>
        <w:t xml:space="preserve"/>
      </w:r>
    </w:p>
    <w:p>
      <w:pPr>
        <w:spacing w:after="140" w:line="276"/>
      </w:pPr>
      <w:r>
        <w:t xml:space="preserve">This is where I come in, Debra. You focus on what only you can do — the homes, the families, the antiques. I build the engine that keeps the work coming and runs in the background. Proposed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Tool</w:t>
            </w:r>
          </w:p>
        </w:tc>
        <w:tc>
          <w:tcPr>
            <w:tcW w:type="dxa" w:w="636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What it does for you</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sz w:val="19"/>
                <w:szCs w:val="19"/>
              </w:rPr>
              <w:t xml:space="preserve">Brand website + “Full Estate” hub</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A clean, mobile-first site that tells your one-of-a-kind story, shows the three service tiers and a sold-home/estate gallery, and captures free-consultation requests. Built to rank for “estate liquidation + realtor” in your service area.</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b/>
                <w:bCs/>
                <w:sz w:val="19"/>
                <w:szCs w:val="19"/>
              </w:rPr>
              <w:t xml:space="preserve">Estate-sale marketing kit</w:t>
            </w:r>
          </w:p>
        </w:tc>
        <w:tc>
          <w:tcPr>
            <w:tcW w:type="dxa" w:w="636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Publish a sale once and auto-post it to EstateSales.NET, Facebook, Instagram, and your email list — with a built-in capture form so every shopper becomes a lead.</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sz w:val="19"/>
                <w:szCs w:val="19"/>
              </w:rPr>
              <w:t xml:space="preserve">Lead CRM + follow-up automation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Every lead captured in one place, nurtured automatically by text and email, with review requests fired off after each close so your reputation compounds on autopilot.</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b/>
                <w:bCs/>
                <w:sz w:val="19"/>
                <w:szCs w:val="19"/>
              </w:rPr>
              <w:t xml:space="preserve">Estate-value / net-sheet calculator</w:t>
            </w:r>
          </w:p>
        </w:tc>
        <w:tc>
          <w:tcPr>
            <w:tcW w:type="dxa" w:w="6360"/>
            <w:tcBorders>
              <w:top w:val="single" w:color="BFBFBF" w:sz="4"/>
              <w:left w:val="single" w:color="BFBFBF" w:sz="4"/>
              <w:bottom w:val="single" w:color="BFBFBF" w:sz="4"/>
              <w:right w:val="single" w:color="BFBFBF" w:sz="4"/>
            </w:tcBorders>
            <w:shd w:fill="F2F2F2" w:val="clear"/>
            <w:tcMar>
              <w:top w:type="dxa" w:w="90"/>
              <w:left w:type="dxa" w:w="130"/>
              <w:bottom w:type="dxa" w:w="90"/>
              <w:right w:type="dxa" w:w="130"/>
            </w:tcMar>
            <w:vAlign w:val="center"/>
          </w:tcPr>
          <w:p>
            <w:pPr>
              <w:spacing w:after="0" w:line="264"/>
            </w:pPr>
            <w:r>
              <w:rPr>
                <w:sz w:val="19"/>
                <w:szCs w:val="19"/>
              </w:rPr>
              <w:t xml:space="preserve">A simple online tool that gives a family a ballpark on contents value and home-sale proceeds in exchange for their contact info — a magnet for exactly the right leads.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color w:val="2E75B6"/>
                <w:sz w:val="19"/>
                <w:szCs w:val="19"/>
              </w:rPr>
              <w:t xml:space="preserve">AI contents-cataloguing tool (frontier build)</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Longer-term: photograph a room and have it identify, describe, and price-estimate items for the sale catalog in minutes instead of days. This doesn’t exist off-the-shelf for your workflow — and that’s exactly why building it would be a moat. It hasn’t been built yet, Debra, but I believe we can build it.</w:t>
            </w:r>
          </w:p>
        </w:tc>
      </w:tr>
    </w:tbl>
    <w:p>
      <w:pPr>
        <w:spacing w:after="60"/>
      </w:pPr>
      <w:r>
        <w:t xml:space="preserve"/>
      </w:r>
    </w:p>
    <w:p>
      <w:pPr>
        <w:spacing w:after="140" w:line="276"/>
      </w:pPr>
      <w:r>
        <w:rPr>
          <w:i/>
          <w:iCs/>
          <w:color w:val="595959"/>
          <w:sz w:val="21"/>
          <w:szCs w:val="21"/>
        </w:rPr>
        <w:t xml:space="preserve">We did this for Wilson Electric and for Helping Hands Kevin — same playbook: take a great operator who’s invisible online, build the engine, and let the leverage do the growing. You’re an even better fit, because your differentiator is rarer than either of theirs.</w:t>
      </w:r>
    </w:p>
    <w:p>
      <w:r>
        <w:br w:type="page"/>
      </w:r>
    </w:p>
    <w:p>
      <w:pPr>
        <w:pStyle w:val="Heading1"/>
      </w:pPr>
      <w:r>
        <w:t xml:space="preserve">9.  Projections — Where This Goes</w:t>
      </w:r>
    </w:p>
    <w:p>
      <w:pPr>
        <w:pBdr>
          <w:bottom w:val="single" w:color="2E75B6" w:sz="8" w:space="1"/>
        </w:pBdr>
        <w:spacing w:after="120"/>
      </w:pPr>
      <w:r>
        <w:t xml:space="preserve"/>
      </w:r>
    </w:p>
    <w:p>
      <w:pPr>
        <w:spacing w:after="140" w:line="276"/>
      </w:pPr>
      <w:r>
        <w:t xml:space="preserve">Illustrative trajectory comparing the current path to the path with this plan executed. These are directional targets to align around — not guarantees — based on your existing skill set, the market tailwind, and typical results from reactivating a dormant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30"/>
        <w:gridCol w:w="423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Horizon</w:t>
            </w:r>
          </w:p>
        </w:tc>
        <w:tc>
          <w:tcPr>
            <w:tcW w:type="dxa" w:w="343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If nothing changes</w:t>
            </w:r>
          </w:p>
        </w:tc>
        <w:tc>
          <w:tcPr>
            <w:tcW w:type="dxa" w:w="423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r>
              <w:rPr>
                <w:b/>
                <w:bCs/>
                <w:color w:val="FFFFFF"/>
                <w:sz w:val="20"/>
                <w:szCs w:val="20"/>
              </w:rPr>
              <w:t xml:space="preserve">With the plan</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sz w:val="19"/>
                <w:szCs w:val="19"/>
              </w:rPr>
              <w:t xml:space="preserve">1 week</w:t>
            </w:r>
          </w:p>
        </w:tc>
        <w:tc>
          <w:tcPr>
            <w:tcW w:type="dxa" w:w="343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Status quo; no new inbound.</w:t>
            </w:r>
          </w:p>
        </w:tc>
        <w:tc>
          <w:tcPr>
            <w:tcW w:type="dxa" w:w="423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Profiles rewritten around “Full Estate”; review + link fixes underway; first refreshed 5-star reviews landing.</w:t>
            </w:r>
          </w:p>
        </w:tc>
      </w:tr>
      <w:tr>
        <w:tc>
          <w:tcPr>
            <w:tcW w:type="dxa" w:w="1700"/>
            <w:tcBorders>
              <w:top w:val="single" w:color="BFBFBF" w:sz="4"/>
              <w:left w:val="single" w:color="BFBFBF" w:sz="4"/>
              <w:bottom w:val="single" w:color="BFBFBF" w:sz="4"/>
              <w:right w:val="single" w:color="BFBFBF" w:sz="4"/>
            </w:tcBorders>
            <w:shd w:fill="EFF4FB" w:val="clear"/>
            <w:tcMar>
              <w:top w:type="dxa" w:w="90"/>
              <w:left w:type="dxa" w:w="130"/>
              <w:bottom w:type="dxa" w:w="90"/>
              <w:right w:type="dxa" w:w="130"/>
            </w:tcMar>
            <w:vAlign w:val="center"/>
          </w:tcPr>
          <w:p>
            <w:pPr>
              <w:spacing w:after="0" w:line="264"/>
            </w:pPr>
            <w:r>
              <w:rPr>
                <w:b/>
                <w:bCs/>
                <w:sz w:val="19"/>
                <w:szCs w:val="19"/>
              </w:rPr>
              <w:t xml:space="preserve">1 month</w:t>
            </w:r>
          </w:p>
        </w:tc>
        <w:tc>
          <w:tcPr>
            <w:tcW w:type="dxa" w:w="3430"/>
            <w:tcBorders>
              <w:top w:val="single" w:color="BFBFBF" w:sz="4"/>
              <w:left w:val="single" w:color="BFBFBF" w:sz="4"/>
              <w:bottom w:val="single" w:color="BFBFBF" w:sz="4"/>
              <w:right w:val="single" w:color="BFBFBF" w:sz="4"/>
            </w:tcBorders>
            <w:shd w:fill="EFF4FB" w:val="clear"/>
            <w:tcMar>
              <w:top w:type="dxa" w:w="90"/>
              <w:left w:type="dxa" w:w="130"/>
              <w:bottom w:type="dxa" w:w="90"/>
              <w:right w:type="dxa" w:w="130"/>
            </w:tcMar>
            <w:vAlign w:val="center"/>
          </w:tcPr>
          <w:p>
            <w:pPr>
              <w:spacing w:after="0" w:line="264"/>
            </w:pPr>
            <w:r>
              <w:rPr>
                <w:sz w:val="19"/>
                <w:szCs w:val="19"/>
              </w:rPr>
              <w:t xml:space="preserve">Maybe one referral by luck.</w:t>
            </w:r>
          </w:p>
        </w:tc>
        <w:tc>
          <w:tcPr>
            <w:tcW w:type="dxa" w:w="4230"/>
            <w:tcBorders>
              <w:top w:val="single" w:color="BFBFBF" w:sz="4"/>
              <w:left w:val="single" w:color="BFBFBF" w:sz="4"/>
              <w:bottom w:val="single" w:color="BFBFBF" w:sz="4"/>
              <w:right w:val="single" w:color="BFBFBF" w:sz="4"/>
            </w:tcBorders>
            <w:shd w:fill="EFF4FB" w:val="clear"/>
            <w:tcMar>
              <w:top w:type="dxa" w:w="90"/>
              <w:left w:type="dxa" w:w="130"/>
              <w:bottom w:type="dxa" w:w="90"/>
              <w:right w:type="dxa" w:w="130"/>
            </w:tcMar>
            <w:vAlign w:val="center"/>
          </w:tcPr>
          <w:p>
            <w:pPr>
              <w:spacing w:after="0" w:line="264"/>
            </w:pPr>
            <w:r>
              <w:rPr>
                <w:sz w:val="19"/>
                <w:szCs w:val="19"/>
              </w:rPr>
              <w:t xml:space="preserve">Active, modern presence; broken links fixed; 5–10 fresh reviews; first new consultation requests from the funnel.</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b/>
                <w:bCs/>
                <w:sz w:val="19"/>
                <w:szCs w:val="19"/>
              </w:rPr>
              <w:t xml:space="preserve">1 quarter</w:t>
            </w:r>
          </w:p>
        </w:tc>
        <w:tc>
          <w:tcPr>
            <w:tcW w:type="dxa" w:w="343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Volume stays near ~2/yr pace.</w:t>
            </w:r>
          </w:p>
        </w:tc>
        <w:tc>
          <w:tcPr>
            <w:tcW w:type="dxa" w:w="423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line="264"/>
            </w:pPr>
            <w:r>
              <w:rPr>
                <w:sz w:val="19"/>
                <w:szCs w:val="19"/>
              </w:rPr>
              <w:t xml:space="preserve">Website live and ranking; productized tiers; estate-sale funnel feeding leads; targeting 1–2 estate engagements/month and 2–4 listings in the pipeline.</w:t>
            </w:r>
          </w:p>
        </w:tc>
      </w:tr>
      <w:tr>
        <w:tc>
          <w:tcPr>
            <w:tcW w:type="dxa" w:w="1700"/>
            <w:tcBorders>
              <w:top w:val="single" w:color="BFBFBF" w:sz="4"/>
              <w:left w:val="single" w:color="BFBFBF" w:sz="4"/>
              <w:bottom w:val="single" w:color="BFBFBF" w:sz="4"/>
              <w:right w:val="single" w:color="BFBFBF" w:sz="4"/>
            </w:tcBorders>
            <w:shd w:fill="EFF4FB" w:val="clear"/>
            <w:tcMar>
              <w:top w:type="dxa" w:w="90"/>
              <w:left w:type="dxa" w:w="130"/>
              <w:bottom w:type="dxa" w:w="90"/>
              <w:right w:type="dxa" w:w="130"/>
            </w:tcMar>
            <w:vAlign w:val="center"/>
          </w:tcPr>
          <w:p>
            <w:pPr>
              <w:spacing w:after="0" w:line="264"/>
            </w:pPr>
            <w:r>
              <w:rPr>
                <w:b/>
                <w:bCs/>
                <w:sz w:val="19"/>
                <w:szCs w:val="19"/>
              </w:rPr>
              <w:t xml:space="preserve">1 year</w:t>
            </w:r>
          </w:p>
        </w:tc>
        <w:tc>
          <w:tcPr>
            <w:tcW w:type="dxa" w:w="3430"/>
            <w:tcBorders>
              <w:top w:val="single" w:color="BFBFBF" w:sz="4"/>
              <w:left w:val="single" w:color="BFBFBF" w:sz="4"/>
              <w:bottom w:val="single" w:color="BFBFBF" w:sz="4"/>
              <w:right w:val="single" w:color="BFBFBF" w:sz="4"/>
            </w:tcBorders>
            <w:shd w:fill="EFF4FB" w:val="clear"/>
            <w:tcMar>
              <w:top w:type="dxa" w:w="90"/>
              <w:left w:type="dxa" w:w="130"/>
              <w:bottom w:type="dxa" w:w="90"/>
              <w:right w:type="dxa" w:w="130"/>
            </w:tcMar>
            <w:vAlign w:val="center"/>
          </w:tcPr>
          <w:p>
            <w:pPr>
              <w:spacing w:after="0" w:line="264"/>
            </w:pPr>
            <w:r>
              <w:rPr>
                <w:sz w:val="19"/>
                <w:szCs w:val="19"/>
              </w:rPr>
              <w:t xml:space="preserve">Continued slow drift; reputation ages further.</w:t>
            </w:r>
          </w:p>
        </w:tc>
        <w:tc>
          <w:tcPr>
            <w:tcW w:type="dxa" w:w="4230"/>
            <w:tcBorders>
              <w:top w:val="single" w:color="BFBFBF" w:sz="4"/>
              <w:left w:val="single" w:color="BFBFBF" w:sz="4"/>
              <w:bottom w:val="single" w:color="BFBFBF" w:sz="4"/>
              <w:right w:val="single" w:color="BFBFBF" w:sz="4"/>
            </w:tcBorders>
            <w:shd w:fill="EFF4FB" w:val="clear"/>
            <w:tcMar>
              <w:top w:type="dxa" w:w="90"/>
              <w:left w:type="dxa" w:w="130"/>
              <w:bottom w:type="dxa" w:w="90"/>
              <w:right w:type="dxa" w:w="130"/>
            </w:tcMar>
            <w:vAlign w:val="center"/>
          </w:tcPr>
          <w:p>
            <w:pPr>
              <w:spacing w:after="0" w:line="264"/>
            </w:pPr>
            <w:r>
              <w:rPr>
                <w:sz w:val="19"/>
                <w:szCs w:val="19"/>
              </w:rPr>
              <w:t xml:space="preserve">Recognized local Silver-Tsunami specialist; steady referral pipeline from attorneys/fiduciaries/senior centers; realistic path to 8–12+ transactions/yr plus recurring estate-sale revenue.</w:t>
            </w:r>
          </w:p>
        </w:tc>
      </w:tr>
    </w:tbl>
    <w:p>
      <w:pPr>
        <w:spacing w:after="60"/>
      </w:pPr>
      <w:r>
        <w:t xml:space="preserve"/>
      </w:r>
    </w:p>
    <w:p>
      <w:pPr>
        <w:spacing w:after="140" w:line="276"/>
      </w:pPr>
      <w:r>
        <w:rPr>
          <w:i/>
          <w:iCs/>
          <w:color w:val="595959"/>
          <w:sz w:val="21"/>
          <w:szCs w:val="21"/>
        </w:rPr>
        <w:t xml:space="preserve">The gap between the two columns is the entire point of this package — and almost all of it is leverage and systems, not extra hours from you.</w:t>
      </w:r>
    </w:p>
    <w:p>
      <w:r>
        <w:br w:type="page"/>
      </w:r>
    </w:p>
    <w:p>
      <w:pPr>
        <w:pStyle w:val="Heading1"/>
      </w:pPr>
      <w:r>
        <w:t xml:space="preserve">10.  Next Steps</w:t>
      </w:r>
    </w:p>
    <w:p>
      <w:pPr>
        <w:pBdr>
          <w:bottom w:val="single" w:color="2E75B6" w:sz="8" w:space="1"/>
        </w:pBdr>
        <w:spacing w:after="120"/>
      </w:pPr>
      <w:r>
        <w:t xml:space="preserve"/>
      </w:r>
    </w:p>
    <w:p>
      <w:pPr>
        <w:spacing w:after="140" w:line="276"/>
      </w:pPr>
      <w:r>
        <w:t xml:space="preserve">If this resonates, here’s the simplest way to start — small, fast, and low-risk:</w:t>
      </w:r>
    </w:p>
    <w:p>
      <w:pPr>
        <w:pStyle w:val="ListParagraph"/>
        <w:numPr>
          <w:ilvl w:val="0"/>
          <w:numId w:val="3"/>
        </w:numPr>
        <w:spacing w:after="80" w:line="270"/>
      </w:pPr>
      <w:r>
        <w:rPr>
          <w:b/>
          <w:bCs/>
        </w:rPr>
        <w:t xml:space="preserve">A 45-minute working session.</w:t>
      </w:r>
      <w:r>
        <w:t xml:space="preserve"> We lock the “Full Estate” message and confirm the three service tiers and pricing.</w:t>
      </w:r>
    </w:p>
    <w:p>
      <w:pPr>
        <w:pStyle w:val="ListParagraph"/>
        <w:numPr>
          <w:ilvl w:val="0"/>
          <w:numId w:val="3"/>
        </w:numPr>
        <w:spacing w:after="80" w:line="270"/>
      </w:pPr>
      <w:r>
        <w:rPr>
          <w:b/>
          <w:bCs/>
        </w:rPr>
        <w:t xml:space="preserve">I deliver the first wins inside two weeks.</w:t>
      </w:r>
      <w:r>
        <w:t xml:space="preserve"> The brand website draft and a one-page “Full Estate” leave-behind you can hand to every prospect, attorney, and fiduciary.</w:t>
      </w:r>
    </w:p>
    <w:p>
      <w:pPr>
        <w:pStyle w:val="ListParagraph"/>
        <w:numPr>
          <w:ilvl w:val="0"/>
          <w:numId w:val="3"/>
        </w:numPr>
        <w:spacing w:after="80" w:line="270"/>
      </w:pPr>
      <w:r>
        <w:rPr>
          <w:b/>
          <w:bCs/>
        </w:rPr>
        <w:t xml:space="preserve">We switch on the engine.</w:t>
      </w:r>
      <w:r>
        <w:t xml:space="preserve"> Estate-sale marketing kit, lead capture, and automated reviews go live — then we compound from there.</w:t>
      </w:r>
    </w:p>
    <w:p>
      <w:pPr>
        <w:spacing w:after="120"/>
      </w:pPr>
      <w:r>
        <w:t xml:space="preserve"/>
      </w:r>
    </w:p>
    <w:tbl>
      <w:tblPr>
        <w:tblW w:type="dxa" w:w="9360"/>
        <w:tblBorders>
          <w:top w:val="single" w:color="FBF3D6" w:sz="2"/>
          <w:left w:val="single" w:color="BF8F00" w:sz="24"/>
          <w:bottom w:val="single" w:color="FBF3D6" w:sz="2"/>
          <w:right w:val="single" w:color="FBF3D6" w:sz="2"/>
          <w:insideH w:val="single" w:color="auto" w:sz="4"/>
          <w:insideV w:val="single" w:color="auto" w:sz="4"/>
        </w:tblBorders>
      </w:tblPr>
      <w:tblGrid>
        <w:gridCol w:w="9360"/>
      </w:tblGrid>
      <w:tr>
        <w:tc>
          <w:tcPr>
            <w:tcW w:type="dxa" w:w="9360"/>
            <w:shd w:fill="FBF3D6" w:val="clear"/>
            <w:tcMar>
              <w:top w:type="dxa" w:w="140"/>
              <w:left w:type="dxa" w:w="200"/>
              <w:bottom w:type="dxa" w:w="140"/>
              <w:right w:type="dxa" w:w="180"/>
            </w:tcMar>
          </w:tcPr>
          <w:p>
            <w:pPr>
              <w:spacing w:after="60"/>
            </w:pPr>
            <w:r>
              <w:rPr>
                <w:b/>
                <w:bCs/>
                <w:color w:val="1F3864"/>
                <w:sz w:val="22"/>
                <w:szCs w:val="22"/>
              </w:rPr>
              <w:t xml:space="preserve">The one thing to take away</w:t>
            </w:r>
          </w:p>
          <w:p>
            <w:pPr>
              <w:spacing w:after="0" w:line="270"/>
            </w:pPr>
            <w:r>
              <w:rPr>
                <w:b/>
                <w:bCs/>
                <w:color w:val="1F3864"/>
                <w:sz w:val="22"/>
                <w:szCs w:val="22"/>
              </w:rPr>
              <w:t xml:space="preserve">You already own the hard-to-copy asset. </w:t>
            </w:r>
            <w:r>
              <w:rPr>
                <w:sz w:val="22"/>
                <w:szCs w:val="22"/>
              </w:rPr>
              <w:t xml:space="preserve">The market is finally moving toward exactly what you do. The only missing piece is the engine that makes you visible and keeps you full — and that’s the part I’ll build.</w:t>
            </w:r>
          </w:p>
        </w:tc>
      </w:tr>
    </w:tbl>
    <w:p>
      <w:pPr>
        <w:spacing w:after="120"/>
      </w:pPr>
      <w:r>
        <w:t xml:space="preserve"/>
      </w:r>
    </w:p>
    <w:p>
      <w:r>
        <w:rPr>
          <w:b/>
          <w:bCs/>
          <w:color w:val="1F3864"/>
          <w:sz w:val="22"/>
          <w:szCs w:val="22"/>
        </w:rPr>
        <w:t xml:space="preserve">Roger Grubb</w:t>
      </w:r>
    </w:p>
    <w:p>
      <w:r>
        <w:rPr>
          <w:color w:val="595959"/>
          <w:sz w:val="19"/>
          <w:szCs w:val="19"/>
        </w:rPr>
        <w:t xml:space="preserve">Number One Son Software Development  ·  roger@grubb.net</w:t>
      </w:r>
    </w:p>
    <w:p>
      <w:r>
        <w:br w:type="page"/>
      </w:r>
    </w:p>
    <w:p>
      <w:pPr>
        <w:pStyle w:val="Heading1"/>
      </w:pPr>
      <w:r>
        <w:t xml:space="preserve">Appendix — Sources &amp; Notes</w:t>
      </w:r>
    </w:p>
    <w:p>
      <w:pPr>
        <w:pBdr>
          <w:bottom w:val="single" w:color="2E75B6" w:sz="8" w:space="1"/>
        </w:pBdr>
        <w:spacing w:after="120"/>
      </w:pPr>
      <w:r>
        <w:t xml:space="preserve"/>
      </w:r>
    </w:p>
    <w:p>
      <w:pPr>
        <w:spacing w:after="140" w:line="276"/>
      </w:pPr>
      <w:r>
        <w:rPr>
          <w:sz w:val="20"/>
          <w:szCs w:val="20"/>
        </w:rPr>
        <w:t xml:space="preserve">Profile, credential, and track-record details are drawn from Debra Robinson’s public profiles: Security Pacific Real Estate (spre.com), Zillow, Realtor.com, LinkedIn, Nextdoor, and the “Great Estates by Debra Robinson” Facebook page (281 followers).</w:t>
      </w:r>
    </w:p>
    <w:p>
      <w:pPr>
        <w:spacing w:after="140" w:line="276"/>
      </w:pPr>
      <w:r>
        <w:rPr>
          <w:sz w:val="20"/>
          <w:szCs w:val="20"/>
        </w:rPr>
        <w:t xml:space="preserve">Market figures are spring-2026 public listing data: Redfin and Zillow (Pinole and Hercules), plus statewide California estimates. Silver-Tsunami context is from the National Association of REALTORS®, Zillow Research, and NAHB.</w:t>
      </w:r>
    </w:p>
    <w:p>
      <w:pPr>
        <w:spacing w:after="140" w:line="276"/>
      </w:pPr>
      <w:r>
        <w:rPr>
          <w:i/>
          <w:iCs/>
          <w:color w:val="595959"/>
          <w:sz w:val="20"/>
          <w:szCs w:val="20"/>
        </w:rPr>
        <w:t xml:space="preserve">All forward-looking figures in Section 9 are illustrative targets for planning, not guarantees of results. Real estate outcomes depend on market conditions and execution.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360"/>
      </w:tabs>
    </w:pPr>
    <w:r>
      <w:rPr>
        <w:color w:val="595959"/>
        <w:sz w:val="15"/>
        <w:szCs w:val="15"/>
      </w:rPr>
      <w:t xml:space="preserve">Prepared by Number One Son Software Development · Confidential</w:t>
    </w:r>
    <w:r>
      <w:rPr>
        <w:color w:val="595959"/>
        <w:sz w:val="15"/>
        <w:szCs w:val="15"/>
      </w:rPr>
      <w:t xml:space="preserve">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360"/>
      </w:tabs>
    </w:pPr>
    <w:r>
      <w:rPr>
        <w:color w:val="595959"/>
        <w:sz w:val="16"/>
        <w:szCs w:val="16"/>
      </w:rPr>
      <w:t xml:space="preserve">Growth Proposal</w:t>
    </w:r>
    <w:r>
      <w:rPr>
        <w:color w:val="595959"/>
        <w:sz w:val="16"/>
        <w:szCs w:val="16"/>
      </w:rPr>
      <w:t xml:space="preserve">	Debra Robinson · Real Estate &amp; Estate Liquidation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Proposal — Debra Robinson</dc:title>
  <dc:creator>Number One Son Software Development</dc:creator>
  <cp:lastModifiedBy>Un-named</cp:lastModifiedBy>
  <cp:revision>1</cp:revision>
  <dcterms:created xsi:type="dcterms:W3CDTF">2026-05-29T05:33:37.277Z</dcterms:created>
  <dcterms:modified xsi:type="dcterms:W3CDTF">2026-05-29T05:33:37.277Z</dcterms:modified>
</cp:coreProperties>
</file>

<file path=docProps/custom.xml><?xml version="1.0" encoding="utf-8"?>
<Properties xmlns="http://schemas.openxmlformats.org/officeDocument/2006/custom-properties" xmlns:vt="http://schemas.openxmlformats.org/officeDocument/2006/docPropsVTypes"/>
</file>