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595959"/>
          <w:sz w:val="20"/>
          <w:szCs w:val="20"/>
        </w:rPr>
        <w:t xml:space="preserve">EXECUTIVE WHITE PAPER</w:t>
      </w:r>
    </w:p>
    <w:p>
      <w:pPr>
        <w:spacing w:after="80"/>
      </w:pPr>
      <w:r>
        <w:rPr>
          <w:rFonts w:ascii="Arial" w:cs="Arial" w:eastAsia="Arial" w:hAnsi="Arial"/>
          <w:b/>
          <w:bCs/>
          <w:color w:val="1F4E78"/>
          <w:sz w:val="40"/>
          <w:szCs w:val="40"/>
        </w:rPr>
        <w:t xml:space="preserve">Next-Generation Hyperscale AI Data Center Infrastructure</w:t>
      </w:r>
    </w:p>
    <w:p>
      <w:pPr>
        <w:spacing w:after="160" w:before="0"/>
      </w:pPr>
      <w:r>
        <w:rPr>
          <w:rFonts w:ascii="Arial" w:cs="Arial" w:eastAsia="Arial" w:hAnsi="Arial"/>
          <w:color w:val="595959"/>
          <w:sz w:val="24"/>
          <w:szCs w:val="24"/>
        </w:rPr>
        <w:t xml:space="preserve">Architectural Frameworks for High-Density Liquid Cooling, Power Distribution Topologies, and Gigascale Expansion (2026–2031)</w:t>
      </w:r>
    </w:p>
    <w:p>
      <w:pPr>
        <w:spacing w:after="160" w:before="0"/>
      </w:pPr>
      <w:r>
        <w:rPr>
          <w:rFonts w:ascii="Arial" w:cs="Arial" w:eastAsia="Arial" w:hAnsi="Arial"/>
          <w:i/>
          <w:iCs/>
          <w:sz w:val="20"/>
          <w:szCs w:val="20"/>
        </w:rPr>
        <w:t xml:space="preserve">A generalized engineering and finance framework, applied throughout to a worked test fit: 32x NVIDIA Vera Rubin NVL72 racks in Abu Dhabi, UAE (ASHRAE Zone 1A). Every test-fit figure is drawn from the companion model AI_Factory_Model.xlsx and independently re-verified.</w:t>
      </w:r>
    </w:p>
    <w:p>
      <w:pPr>
        <w:spacing w:after="200" w:before="0"/>
      </w:pPr>
      <w:r>
        <w:rPr>
          <w:rFonts w:ascii="Arial" w:cs="Arial" w:eastAsia="Arial" w:hAnsi="Arial"/>
          <w:color w:val="595959"/>
          <w:sz w:val="18"/>
          <w:szCs w:val="18"/>
        </w:rPr>
        <w:t xml:space="preserve">Senior Infrastructure Architecture &amp; Chief Data/AI Engineering Group  |  July 2026  |  Version 5.0 (corrected &amp; model-linked)</w:t>
      </w:r>
    </w:p>
    <w:p>
      <w:pPr>
        <w:spacing w:after="100" w:before="120"/>
      </w:pPr>
      <w:r>
        <w:rPr>
          <w:rFonts w:ascii="Arial" w:cs="Arial" w:eastAsia="Arial" w:hAnsi="Arial"/>
          <w:b/>
          <w:bCs/>
          <w:color w:val="1F4E78"/>
          <w:sz w:val="21"/>
          <w:szCs w:val="21"/>
        </w:rPr>
        <w:t xml:space="preserve">Structural Roadmap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736"/>
        <w:gridCol w:w="4204"/>
        <w:gridCol w:w="736"/>
        <w:gridCol w:w="4204"/>
      </w:tblGrid>
      <w:tr>
        <w:trPr>
          <w:tblHeader/>
        </w:trPr>
        <w:tc>
          <w:tcPr>
            <w:tcW w:type="dxa" w:w="736"/>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Sec.</w:t>
            </w:r>
          </w:p>
        </w:tc>
        <w:tc>
          <w:tcPr>
            <w:tcW w:type="dxa" w:w="4204"/>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Title</w:t>
            </w:r>
          </w:p>
        </w:tc>
        <w:tc>
          <w:tcPr>
            <w:tcW w:type="dxa" w:w="736"/>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Sec.</w:t>
            </w:r>
          </w:p>
        </w:tc>
        <w:tc>
          <w:tcPr>
            <w:tcW w:type="dxa" w:w="4204"/>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Title</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01</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Executive Summary &amp; the Density Shift</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11</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Optical Infrastructure &amp; Co-Packaged Optics</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02</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Next-Gen Silicon Platforms</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Site Selection, Grid &amp; Substation Design</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03</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Thermal Dynamics of High-Density Racks</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Microgrid Integration: BESS &amp; SMRs</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04</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Facility Cooling Loop Architecture</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14</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Phased Capacity Deployment Roadmap</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05</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High-Temperature &amp; Low-Water Cooling</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15</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CapEx Breakdown &amp; Procurement</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06</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Power Topologies: MV to Chip</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16</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OpEx Optimization &amp; PUE Minimization</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07</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HVDC vs. Traditional AC Architecture</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Project Finance: FCFF, IRR, Valuation</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Transient Load Management</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Risk, Redundancy (N+1 vs 2N), Reliability</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Structural Engineering &amp; Floor Loading</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19</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Regulatory, Environmental &amp; ESG</w:t>
            </w:r>
          </w:p>
        </w:tc>
      </w:tr>
      <w:tr>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High-Speed Fabric &amp; Interconnects</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w:t>
            </w:r>
          </w:p>
        </w:tc>
        <w:tc>
          <w:tcPr>
            <w:tcW w:type="dxa" w:w="42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Synthesis &amp; Strategic Directives</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color w:val="595959"/>
          <w:sz w:val="18"/>
          <w:szCs w:val="18"/>
        </w:rPr>
        <w:t xml:space="preserve">Appendix A — Corrections &amp; Verification Log (changes vs. draft v4.2).  Appendix B — Sources &amp; Model Lineage.</w:t>
      </w:r>
    </w:p>
    <w:p>
      <w:pPr>
        <w:pStyle w:val="Heading1"/>
        <w:pageBreakBefore/>
        <w:spacing w:after="60"/>
      </w:pPr>
      <w:r>
        <w:rPr>
          <w:rFonts w:ascii="Arial" w:cs="Arial" w:eastAsia="Arial" w:hAnsi="Arial"/>
          <w:b/>
          <w:bCs/>
          <w:color w:val="1F4E78"/>
          <w:sz w:val="26"/>
          <w:szCs w:val="26"/>
        </w:rPr>
        <w:t xml:space="preserve">Section 01 — Executive Summary &amp; the Macro Shift in AI Compute Densities</w:t>
      </w:r>
    </w:p>
    <w:p>
      <w:pPr>
        <w:spacing w:after="200" w:before="0"/>
      </w:pPr>
      <w:r>
        <w:rPr>
          <w:rFonts w:ascii="Arial" w:cs="Arial" w:eastAsia="Arial" w:hAnsi="Arial"/>
          <w:i/>
          <w:iCs/>
          <w:color w:val="595959"/>
          <w:sz w:val="20"/>
          <w:szCs w:val="20"/>
        </w:rPr>
        <w:t xml:space="preserve">Rack power has risen an order of magnitude in five years; facilities that cannot deliver liquid cooling and stiff, high-density power will be stranded assets.</w:t>
      </w:r>
    </w:p>
    <w:p>
      <w:pPr>
        <w:spacing w:after="120" w:before="0"/>
      </w:pPr>
      <w:r>
        <w:rPr>
          <w:rFonts w:ascii="Arial" w:cs="Arial" w:eastAsia="Arial" w:hAnsi="Arial"/>
          <w:sz w:val="20"/>
          <w:szCs w:val="20"/>
        </w:rPr>
        <w:t xml:space="preserve">Large language models and agentic AI systems have broken the assumptions on which a generation of data centers was financed. Facilities engineered for 10–20 kW per rack cannot host rack-scale supercomputers drawing 120–230 kW: the constraint is not floor space but heat flux, power delivery stiffness, and structural loading. Power density per rack has increased roughly 10–15x since 2020 — an order-of-magnitude shift, not an increment.</w:t>
      </w:r>
    </w:p>
    <w:p>
      <w:pPr>
        <w:spacing w:after="120" w:before="0"/>
      </w:pPr>
      <w:r>
        <w:rPr>
          <w:rFonts w:ascii="Arial" w:cs="Arial" w:eastAsia="Arial" w:hAnsi="Arial"/>
          <w:sz w:val="20"/>
          <w:szCs w:val="20"/>
        </w:rPr>
        <w:t xml:space="preserve">Three engineering consequences follow. First, air is no longer a viable primary coolant above roughly 50 kW per rack; direct liquid cooling (DLC) with facility water at up to 45°C becomes the default. Second, power distribution must move to overhead busway, 415/480 V AC today with a defined migration path to 800 V DC. Third, AI workloads introduce grid-scale transients that demand rack-level energy storage and firmware power smoothing.</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Scope: 32 VR compute racks (227.0 kW each) + 6 network + 10 storage racks = 8.264 MW IT load, 2,304 GPUs.</w:t>
            </w:r>
          </w:p>
          <w:p>
            <w:pPr>
              <w:spacing w:after="40"/>
            </w:pPr>
            <w:r>
              <w:rPr>
                <w:rFonts w:ascii="Arial" w:cs="Arial" w:eastAsia="Arial" w:hAnsi="Arial"/>
                <w:sz w:val="18"/>
                <w:szCs w:val="18"/>
              </w:rPr>
              <w:t xml:space="preserve">•  Thermal compliance: peak MLC 0.078 vs. ASHRAE 90.4 Zone 1A limit 0.260 — a 70.1% design margin.</w:t>
            </w:r>
          </w:p>
          <w:p>
            <w:pPr>
              <w:spacing w:after="40"/>
            </w:pPr>
            <w:r>
              <w:rPr>
                <w:rFonts w:ascii="Arial" w:cs="Arial" w:eastAsia="Arial" w:hAnsi="Arial"/>
                <w:sz w:val="18"/>
                <w:szCs w:val="18"/>
              </w:rPr>
              <w:t xml:space="preserve">•  Year-1 economics (model): revenue $75.6M, EBITDA $60.8M (80.4% margin), levered equity IRR 126.5%.</w:t>
            </w:r>
          </w:p>
          <w:p>
            <w:pPr>
              <w:spacing w:after="40"/>
            </w:pPr>
            <w:r>
              <w:rPr>
                <w:rFonts w:ascii="Arial" w:cs="Arial" w:eastAsia="Arial" w:hAnsi="Arial"/>
                <w:sz w:val="18"/>
                <w:szCs w:val="18"/>
              </w:rPr>
              <w:t xml:space="preserve">•  Returns hinge on aggressive revenue and CapEx inputs — see the cross-checks in Sections 15 and 17 before treating them as investable.</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Key takeaway: future-proofed capacity means 100% liquid-ready white space, high-temperature heat rejection engineered against N=20-year climate extremes (not typical summer days), and a financing structure stress-tested against power tariffs and leverage — the workbook behind this paper does exactly that.</w:t>
      </w:r>
    </w:p>
    <w:p>
      <w:pPr>
        <w:pStyle w:val="Heading1"/>
        <w:pageBreakBefore/>
        <w:spacing w:after="60"/>
      </w:pPr>
      <w:r>
        <w:rPr>
          <w:rFonts w:ascii="Arial" w:cs="Arial" w:eastAsia="Arial" w:hAnsi="Arial"/>
          <w:b/>
          <w:bCs/>
          <w:color w:val="1F4E78"/>
          <w:sz w:val="26"/>
          <w:szCs w:val="26"/>
        </w:rPr>
        <w:t xml:space="preserve">Section 02 — Next-Gen Silicon Platforms (GB200, GB300 &amp; Vera Rubin)</w:t>
      </w:r>
    </w:p>
    <w:p>
      <w:pPr>
        <w:spacing w:after="200" w:before="0"/>
      </w:pPr>
      <w:r>
        <w:rPr>
          <w:rFonts w:ascii="Arial" w:cs="Arial" w:eastAsia="Arial" w:hAnsi="Arial"/>
          <w:i/>
          <w:iCs/>
          <w:color w:val="595959"/>
          <w:sz w:val="20"/>
          <w:szCs w:val="20"/>
        </w:rPr>
        <w:t xml:space="preserve">Design the facility for the platform after the one you are buying: the Vera Rubin generation sets the 2026–2031 power and cooling envelope.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937"/>
        <w:gridCol w:w="1647"/>
        <w:gridCol w:w="2131"/>
        <w:gridCol w:w="2228"/>
        <w:gridCol w:w="1937"/>
      </w:tblGrid>
      <w:tr>
        <w:trPr>
          <w:tblHeader/>
        </w:trPr>
        <w:tc>
          <w:tcPr>
            <w:tcW w:type="dxa" w:w="1937"/>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Platform</w:t>
            </w:r>
          </w:p>
        </w:tc>
        <w:tc>
          <w:tcPr>
            <w:tcW w:type="dxa" w:w="1647"/>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Rack topology</w:t>
            </w:r>
          </w:p>
        </w:tc>
        <w:tc>
          <w:tcPr>
            <w:tcW w:type="dxa" w:w="2131"/>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Rack power</w:t>
            </w:r>
          </w:p>
        </w:tc>
        <w:tc>
          <w:tcPr>
            <w:tcW w:type="dxa" w:w="2228"/>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Memory</w:t>
            </w:r>
          </w:p>
        </w:tc>
        <w:tc>
          <w:tcPr>
            <w:tcW w:type="dxa" w:w="1937"/>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Scale-up fabric</w:t>
            </w:r>
          </w:p>
        </w:tc>
      </w:tr>
      <w:t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Blackwell GB200 NVL72</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36 Grace CPU / 72 GPU</w:t>
            </w:r>
          </w:p>
        </w:tc>
        <w:tc>
          <w:tcPr>
            <w:tcW w:type="dxa" w:w="21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~120 kW nominal (130–132 kW observed)</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HBM3e, 13.5 TB/rack</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NVLink 5 — 1.8 TB/s per GPU</w:t>
            </w:r>
          </w:p>
        </w:tc>
      </w:tr>
      <w:t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Blackwell Ultra GB300 NVL72</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36 Grace CPU / 72 GPU</w:t>
            </w:r>
          </w:p>
        </w:tc>
        <w:tc>
          <w:tcPr>
            <w:tcW w:type="dxa" w:w="21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~132–142 kW (peaks ~155 kW)</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HBM3e, ~20 TB/rack</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NVLink 5 — 1.8 TB/s per GPU</w:t>
            </w:r>
          </w:p>
        </w:tc>
      </w:tr>
      <w:tr>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Vera Rubin NVL72 (NVL144 naming also used)</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36 Vera CPU / 72 Rubin GPU</w:t>
            </w:r>
          </w:p>
        </w:tc>
        <w:tc>
          <w:tcPr>
            <w:tcW w:type="dxa" w:w="21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Not final; reported 130–250 kW. Test fit designs to a 227 kW envelope.</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HBM4, 288 GB/GPU → 20.7 TB/rack, 1.6 PB/s aggregate (up to 22 TB/s per GPU)</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NVLink 6 — 3.6 TB/s per GPU, 260 TB/s per rack</w:t>
            </w:r>
          </w:p>
        </w:tc>
      </w:tr>
    </w:tbl>
    <w:p>
      <w:pPr>
        <w:spacing w:after="120" w:before="0"/>
      </w:pPr>
      <w:r>
        <w:rPr>
          <w:rFonts w:ascii="Arial" w:cs="Arial" w:eastAsia="Arial" w:hAnsi="Arial"/>
          <w:sz w:val="20"/>
          <w:szCs w:val="20"/>
        </w:rPr>
        <w:t xml:space="preserve"/>
      </w:r>
    </w:p>
    <w:p>
      <w:pPr>
        <w:spacing w:after="100" w:before="120"/>
      </w:pPr>
      <w:r>
        <w:rPr>
          <w:rFonts w:ascii="Arial" w:cs="Arial" w:eastAsia="Arial" w:hAnsi="Arial"/>
          <w:b/>
          <w:bCs/>
          <w:color w:val="1F4E78"/>
          <w:sz w:val="21"/>
          <w:szCs w:val="21"/>
        </w:rPr>
        <w:t xml:space="preserve">What is architecturally new in Vera Rubin</w:t>
      </w:r>
    </w:p>
    <w:p>
      <w:pPr>
        <w:pStyle w:val="ListParagraph"/>
        <w:numPr>
          <w:ilvl w:val="0"/>
          <w:numId w:val="2"/>
        </w:numPr>
        <w:spacing w:after="60"/>
      </w:pPr>
      <w:r>
        <w:rPr>
          <w:rFonts w:ascii="Arial" w:cs="Arial" w:eastAsia="Arial" w:hAnsi="Arial"/>
          <w:sz w:val="20"/>
          <w:szCs w:val="20"/>
        </w:rPr>
        <w:t xml:space="preserve">Integrated CPU: the Vera CPU (88 custom Arm v9.2 'Olympus' cores, 176 threads via spatial multithreading, 1.2 TB/s LPDDR5X) moves orchestration, KV-cache routing and agentic control planes into the rack domain.</w:t>
      </w:r>
    </w:p>
    <w:p>
      <w:pPr>
        <w:pStyle w:val="ListParagraph"/>
        <w:numPr>
          <w:ilvl w:val="0"/>
          <w:numId w:val="2"/>
        </w:numPr>
        <w:spacing w:after="60"/>
      </w:pPr>
      <w:r>
        <w:rPr>
          <w:rFonts w:ascii="Arial" w:cs="Arial" w:eastAsia="Arial" w:hAnsi="Arial"/>
          <w:sz w:val="20"/>
          <w:szCs w:val="20"/>
        </w:rPr>
        <w:t xml:space="preserve">NVLink 6 doubles scale-up bandwidth to 3.6 TB/s per GPU (260 TB/s per rack), collapsing MoE all-to-all latency that previously forced conservative parallelism choices.</w:t>
      </w:r>
    </w:p>
    <w:p>
      <w:pPr>
        <w:pStyle w:val="ListParagraph"/>
        <w:numPr>
          <w:ilvl w:val="0"/>
          <w:numId w:val="2"/>
        </w:numPr>
        <w:spacing w:after="60"/>
      </w:pPr>
      <w:r>
        <w:rPr>
          <w:rFonts w:ascii="Arial" w:cs="Arial" w:eastAsia="Arial" w:hAnsi="Arial"/>
          <w:sz w:val="20"/>
          <w:szCs w:val="20"/>
        </w:rPr>
        <w:t xml:space="preserve">Platform chips ship as a set: Rubin GPU, Vera CPU, NVLink 6 switch, ConnectX-9 SuperNIC (1.6 Tb/s), BlueField-4 DPU, and a Spectrum-X 102.4 Tb/s co-packaged-optics switch.</w:t>
      </w:r>
    </w:p>
    <w:p>
      <w:pPr>
        <w:pStyle w:val="ListParagraph"/>
        <w:numPr>
          <w:ilvl w:val="0"/>
          <w:numId w:val="2"/>
        </w:numPr>
        <w:spacing w:after="60"/>
      </w:pPr>
      <w:r>
        <w:rPr>
          <w:rFonts w:ascii="Arial" w:cs="Arial" w:eastAsia="Arial" w:hAnsi="Arial"/>
          <w:sz w:val="20"/>
          <w:szCs w:val="20"/>
        </w:rPr>
        <w:t xml:space="preserve">NVIDIA has confirmed 45°C liquid cooling and roughly 20x more in-rack energy storage for the Vera Rubin rack generation — validating the S45 facility design and the transient-management posture of Sections 5 and 8.</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FFF2CC"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SPEC CONFIDENCE NOTE</w:t>
            </w:r>
          </w:p>
          <w:p>
            <w:pPr>
              <w:spacing w:after="40"/>
            </w:pPr>
            <w:r>
              <w:rPr>
                <w:rFonts w:ascii="Arial" w:cs="Arial" w:eastAsia="Arial" w:hAnsi="Arial"/>
                <w:sz w:val="18"/>
                <w:szCs w:val="18"/>
              </w:rPr>
              <w:t xml:space="preserve">•  GB200 figures are shipping-product data. GB300 figures are vendor data sheets.</w:t>
            </w:r>
          </w:p>
          <w:p>
            <w:pPr>
              <w:spacing w:after="40"/>
            </w:pPr>
            <w:r>
              <w:rPr>
                <w:rFonts w:ascii="Arial" w:cs="Arial" w:eastAsia="Arial" w:hAnsi="Arial"/>
                <w:sz w:val="18"/>
                <w:szCs w:val="18"/>
              </w:rPr>
              <w:t xml:space="preserve">•  Vera Rubin rack power is NOT officially final: public reporting spans ~130 kW to ~250 kW depending on configuration and Max-Q/Max-P profile. This paper's test fit deliberately engineers to a 227 kW per-rack envelope so the facility is not the binding constraint if silicon lands at the high end.</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03 — Thermal Dynamics of High-Density Racks (100–230 kW)</w:t>
      </w:r>
    </w:p>
    <w:p>
      <w:pPr>
        <w:spacing w:after="200" w:before="0"/>
      </w:pPr>
      <w:r>
        <w:rPr>
          <w:rFonts w:ascii="Arial" w:cs="Arial" w:eastAsia="Arial" w:hAnsi="Arial"/>
          <w:i/>
          <w:iCs/>
          <w:color w:val="595959"/>
          <w:sz w:val="20"/>
          <w:szCs w:val="20"/>
        </w:rPr>
        <w:t xml:space="preserve">Above ~50 kW per rack, the physics of air fail; above 200 kW, even liquid loop design becomes a flow-rate and pressure-drop engineering problem.</w:t>
      </w:r>
    </w:p>
    <w:p>
      <w:pPr>
        <w:spacing w:after="120" w:before="0"/>
      </w:pPr>
      <w:r>
        <w:rPr>
          <w:rFonts w:ascii="Arial" w:cs="Arial" w:eastAsia="Arial" w:hAnsi="Arial"/>
          <w:sz w:val="20"/>
          <w:szCs w:val="20"/>
        </w:rPr>
        <w:t xml:space="preserve">At die-level heat fluxes exceeding 100 W/cm², air cooling fails on volumetric flow and thermal resistance grounds. Direct-to-chip cold plates capture heat from GPUs, CPUs, NVLink switches and memory; the remaining share (power shelves, misc. electronics) is captured by rear-door exchangers or room air. Practical liquid capture fractions are ~90–95% for current rack-scale systems — vendor claims of higher shares should be verified per SKU.</w:t>
      </w:r>
    </w:p>
    <w:p>
      <w:pPr>
        <w:spacing w:after="100" w:before="120"/>
      </w:pPr>
      <w:r>
        <w:rPr>
          <w:rFonts w:ascii="Arial" w:cs="Arial" w:eastAsia="Arial" w:hAnsi="Arial"/>
          <w:b/>
          <w:bCs/>
          <w:color w:val="1F4E78"/>
          <w:sz w:val="21"/>
          <w:szCs w:val="21"/>
        </w:rPr>
        <w:t xml:space="preserve">Governing equation and worked flow rates</w:t>
      </w:r>
    </w:p>
    <w:p>
      <w:pPr>
        <w:spacing w:after="120" w:before="0"/>
      </w:pPr>
      <w:r>
        <w:rPr>
          <w:rFonts w:ascii="Arial" w:cs="Arial" w:eastAsia="Arial" w:hAnsi="Arial"/>
          <w:sz w:val="20"/>
          <w:szCs w:val="20"/>
        </w:rPr>
        <w:t xml:space="preserve">Q = ṁ · Cp · ΔT, where Q is heat load (kW), ṁ mass flow (kg/s), Cp specific heat (kJ/kg·K) and ΔT the return-minus-supply temperature split. Flow therefore scales inversely with ΔT — halving ΔT doubles the required flow, pump power, and pipe diameter.</w:t>
      </w:r>
    </w:p>
    <w:p>
      <w:pPr>
        <w:pStyle w:val="ListParagraph"/>
        <w:numPr>
          <w:ilvl w:val="0"/>
          <w:numId w:val="2"/>
        </w:numPr>
        <w:spacing w:after="60"/>
      </w:pPr>
      <w:r>
        <w:rPr>
          <w:rFonts w:ascii="Arial" w:cs="Arial" w:eastAsia="Arial" w:hAnsi="Arial"/>
          <w:sz w:val="20"/>
          <w:szCs w:val="20"/>
        </w:rPr>
        <w:t xml:space="preserve">230 kW rack, water (Cp 4.18), ΔT 10 K → ~330 LPM per rack.</w:t>
      </w:r>
    </w:p>
    <w:p>
      <w:pPr>
        <w:pStyle w:val="ListParagraph"/>
        <w:numPr>
          <w:ilvl w:val="0"/>
          <w:numId w:val="2"/>
        </w:numPr>
        <w:spacing w:after="60"/>
      </w:pPr>
      <w:r>
        <w:rPr>
          <w:rFonts w:ascii="Arial" w:cs="Arial" w:eastAsia="Arial" w:hAnsi="Arial"/>
          <w:sz w:val="20"/>
          <w:szCs w:val="20"/>
        </w:rPr>
        <w:t xml:space="preserve">230 kW rack, PG25 glycol mix (Cp 3.85, ρ 1.03), ΔT 10 K → ~348 LPM per rack — glycol's lower heat capacity costs ~5% more flow.</w:t>
      </w:r>
    </w:p>
    <w:p>
      <w:pPr>
        <w:pStyle w:val="ListParagraph"/>
        <w:numPr>
          <w:ilvl w:val="0"/>
          <w:numId w:val="2"/>
        </w:numPr>
        <w:spacing w:after="60"/>
      </w:pPr>
      <w:r>
        <w:rPr>
          <w:rFonts w:ascii="Arial" w:cs="Arial" w:eastAsia="Arial" w:hAnsi="Arial"/>
          <w:sz w:val="20"/>
          <w:szCs w:val="20"/>
        </w:rPr>
        <w:t xml:space="preserve">A '195 LPM at ΔT 10 K' figure sometimes quoted for ~230 kW racks is physically impossible — it under-delivers heat removal by ~40%. At 195 LPM the same rack runs a ~17–18 K ΔT (i.e., 45°C supply / ~62°C return). Specify one, derive the other.</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Per-rack flow at 227.0 kW, ΔT 10.0 K, PG25: 343.5 LPM (physics-derived; the model computes this from Q/(ρ·Cp·ΔT), not from a vendor quote).</w:t>
            </w:r>
          </w:p>
          <w:p>
            <w:pPr>
              <w:spacing w:after="40"/>
            </w:pPr>
            <w:r>
              <w:rPr>
                <w:rFonts w:ascii="Arial" w:cs="Arial" w:eastAsia="Arial" w:hAnsi="Arial"/>
                <w:sz w:val="18"/>
                <w:szCs w:val="18"/>
              </w:rPr>
              <w:t xml:space="preserve">•  Cluster secondary-loop flow for 7.264 MW of liquid-cooled load: 10,991 LPM.</w:t>
            </w:r>
          </w:p>
          <w:p>
            <w:pPr>
              <w:spacing w:after="40"/>
            </w:pPr>
            <w:r>
              <w:rPr>
                <w:rFonts w:ascii="Arial" w:cs="Arial" w:eastAsia="Arial" w:hAnsi="Arial"/>
                <w:sz w:val="18"/>
                <w:szCs w:val="18"/>
              </w:rPr>
              <w:t xml:space="preserve">•  Loop temperatures: 45.0°C facility water supply / 55.0°C return (S45 class).</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04 — Facility Cooling Loop Architecture (CDUs, Primary &amp; Secondary Loops)</w:t>
      </w:r>
    </w:p>
    <w:p>
      <w:pPr>
        <w:spacing w:after="200" w:before="0"/>
      </w:pPr>
      <w:r>
        <w:rPr>
          <w:rFonts w:ascii="Arial" w:cs="Arial" w:eastAsia="Arial" w:hAnsi="Arial"/>
          <w:i/>
          <w:iCs/>
          <w:color w:val="595959"/>
          <w:sz w:val="20"/>
          <w:szCs w:val="20"/>
        </w:rPr>
        <w:t xml:space="preserve">The CDU is the hydraulic and chemical boundary of the facility: size it in blocks, filter aggressively, and make every pump N+1.</w:t>
      </w:r>
    </w:p>
    <w:p>
      <w:pPr>
        <w:spacing w:after="120" w:before="0"/>
      </w:pPr>
      <w:r>
        <w:rPr>
          <w:rFonts w:ascii="Arial" w:cs="Arial" w:eastAsia="Arial" w:hAnsi="Arial"/>
          <w:sz w:val="20"/>
          <w:szCs w:val="20"/>
        </w:rPr>
        <w:t xml:space="preserve">Coolant Distribution Units isolate the primary loop (facility water to heat rejection) from the secondary loop (treated PG25 water/glycol to cold plates) through a plate heat exchanger. This isolation contains chemistry, pressure class, and leak risk, and lets each side be maintained independently.</w:t>
      </w:r>
    </w:p>
    <w:p>
      <w:pPr>
        <w:pStyle w:val="ListParagraph"/>
        <w:numPr>
          <w:ilvl w:val="0"/>
          <w:numId w:val="2"/>
        </w:numPr>
        <w:spacing w:after="60"/>
      </w:pPr>
      <w:r>
        <w:rPr>
          <w:rFonts w:ascii="Arial" w:cs="Arial" w:eastAsia="Arial" w:hAnsi="Arial"/>
          <w:sz w:val="20"/>
          <w:szCs w:val="20"/>
        </w:rPr>
        <w:t xml:space="preserve">Sizing: 1.2–2.4 MW CDU blocks. At Blackwell-class densities that serves 8–16 racks; at a 227 kW Vera Rubin envelope, a 2.4 MW block serves ~8–10 racks.</w:t>
      </w:r>
    </w:p>
    <w:p>
      <w:pPr>
        <w:pStyle w:val="ListParagraph"/>
        <w:numPr>
          <w:ilvl w:val="0"/>
          <w:numId w:val="2"/>
        </w:numPr>
        <w:spacing w:after="60"/>
      </w:pPr>
      <w:r>
        <w:rPr>
          <w:rFonts w:ascii="Arial" w:cs="Arial" w:eastAsia="Arial" w:hAnsi="Arial"/>
          <w:sz w:val="20"/>
          <w:szCs w:val="20"/>
        </w:rPr>
        <w:t xml:space="preserve">Hydraulics: redundant inverter-driven centrifugal pumps in N+1 with automatic VFD failover; design secondary ΔP for the highest-restriction cold plate at end-of-row.</w:t>
      </w:r>
    </w:p>
    <w:p>
      <w:pPr>
        <w:pStyle w:val="ListParagraph"/>
        <w:numPr>
          <w:ilvl w:val="0"/>
          <w:numId w:val="2"/>
        </w:numPr>
        <w:spacing w:after="60"/>
      </w:pPr>
      <w:r>
        <w:rPr>
          <w:rFonts w:ascii="Arial" w:cs="Arial" w:eastAsia="Arial" w:hAnsi="Arial"/>
          <w:sz w:val="20"/>
          <w:szCs w:val="20"/>
        </w:rPr>
        <w:t xml:space="preserve">Filtration: 50 μm primary strainers plus 5 μm side-stream polishing on the secondary loop — micro-channel cold plates clog on debris that legacy chilled-water systems tolerate.</w:t>
      </w:r>
    </w:p>
    <w:p>
      <w:pPr>
        <w:pStyle w:val="ListParagraph"/>
        <w:numPr>
          <w:ilvl w:val="0"/>
          <w:numId w:val="2"/>
        </w:numPr>
        <w:spacing w:after="60"/>
      </w:pPr>
      <w:r>
        <w:rPr>
          <w:rFonts w:ascii="Arial" w:cs="Arial" w:eastAsia="Arial" w:hAnsi="Arial"/>
          <w:sz w:val="20"/>
          <w:szCs w:val="20"/>
        </w:rPr>
        <w:t xml:space="preserve">Temperatures: primary supply 35–45°C, primary return 45–55°C, matched to the secondary 45/55°C envelope of Section 3.</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Liquid-cooled load 7.264 MW → four 2.0 MW CDU blocks (8 VR racks each, ~1.8 MW per block) plus one spare block = N+1 at block level.</w:t>
            </w:r>
          </w:p>
          <w:p>
            <w:pPr>
              <w:spacing w:after="40"/>
            </w:pPr>
            <w:r>
              <w:rPr>
                <w:rFonts w:ascii="Arial" w:cs="Arial" w:eastAsia="Arial" w:hAnsi="Arial"/>
                <w:sz w:val="18"/>
                <w:szCs w:val="18"/>
              </w:rPr>
              <w:t xml:space="preserve">•  Aggregate secondary flow 10,991 LPM across 32 racks; per-block ~2,748 LPM.</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05 — High-Temperature &amp; Low-Water Cooling Strategies (45°C Inlet Design)</w:t>
      </w:r>
    </w:p>
    <w:p>
      <w:pPr>
        <w:spacing w:after="200" w:before="0"/>
      </w:pPr>
      <w:r>
        <w:rPr>
          <w:rFonts w:ascii="Arial" w:cs="Arial" w:eastAsia="Arial" w:hAnsi="Arial"/>
          <w:i/>
          <w:iCs/>
          <w:color w:val="595959"/>
          <w:sz w:val="20"/>
          <w:szCs w:val="20"/>
        </w:rPr>
        <w:t xml:space="preserve">45°C facility water eliminates chillers in most climates — but not in all of them, and pretending otherwise is how projects fail commissioning in August.</w:t>
      </w:r>
    </w:p>
    <w:p>
      <w:pPr>
        <w:spacing w:after="120" w:before="0"/>
      </w:pPr>
      <w:r>
        <w:rPr>
          <w:rFonts w:ascii="Arial" w:cs="Arial" w:eastAsia="Arial" w:hAnsi="Arial"/>
          <w:sz w:val="20"/>
          <w:szCs w:val="20"/>
        </w:rPr>
        <w:t xml:space="preserve">Raising facility water supply temperature to 45°C is the single most valuable thermal design decision available: it pushes heat rejection into dry coolers (no compressors, near-zero water) for most of the year in most geographies, and NVIDIA has confirmed 45°C liquid cooling for the Vera Rubin rack generation.</w:t>
      </w:r>
    </w:p>
    <w:p>
      <w:pPr>
        <w:spacing w:after="100" w:before="120"/>
      </w:pPr>
      <w:r>
        <w:rPr>
          <w:rFonts w:ascii="Arial" w:cs="Arial" w:eastAsia="Arial" w:hAnsi="Arial"/>
          <w:b/>
          <w:bCs/>
          <w:color w:val="1F4E78"/>
          <w:sz w:val="21"/>
          <w:szCs w:val="21"/>
        </w:rPr>
        <w:t xml:space="preserve">The honest physics of dry cooling at climate extremes</w:t>
      </w:r>
    </w:p>
    <w:p>
      <w:pPr>
        <w:spacing w:after="120" w:before="0"/>
      </w:pPr>
      <w:r>
        <w:rPr>
          <w:rFonts w:ascii="Arial" w:cs="Arial" w:eastAsia="Arial" w:hAnsi="Arial"/>
          <w:sz w:val="20"/>
          <w:szCs w:val="20"/>
        </w:rPr>
        <w:t xml:space="preserve">A dry cooler can only return water at ambient dry-bulb plus an approach (typically 3–7 K). Chiller-free operation at a 45°C supply setpoint therefore requires ambient dry-bulb below roughly 40°C. Against an N=20-year extreme of 50.0°C (Abu Dhabi, UAE), the minimum achievable water temperature is ~53–55°C — above the 45°C setpoint. A design claim that 45°C inlet 'eliminates chillers even at 48°C ambient' is wrong as stated; what is true is that with a 55.0°C return, a positive 5.0 K rejection gradient survives even at peak, so dry coolers keep rejecting — they just cannot hold setpoint alone.</w:t>
      </w:r>
    </w:p>
    <w:p>
      <w:pPr>
        <w:pStyle w:val="ListParagraph"/>
        <w:numPr>
          <w:ilvl w:val="0"/>
          <w:numId w:val="2"/>
        </w:numPr>
        <w:spacing w:after="60"/>
      </w:pPr>
      <w:r>
        <w:rPr>
          <w:rFonts w:ascii="Arial" w:cs="Arial" w:eastAsia="Arial" w:hAnsi="Arial"/>
          <w:sz w:val="20"/>
          <w:szCs w:val="20"/>
        </w:rPr>
        <w:t xml:space="preserve">Mitigation 1 — trim cooling: small chiller or adiabatic stage sized only for exceedance hours (tens to low hundreds of hours per year in the Gulf).</w:t>
      </w:r>
    </w:p>
    <w:p>
      <w:pPr>
        <w:pStyle w:val="ListParagraph"/>
        <w:numPr>
          <w:ilvl w:val="0"/>
          <w:numId w:val="2"/>
        </w:numPr>
        <w:spacing w:after="60"/>
      </w:pPr>
      <w:r>
        <w:rPr>
          <w:rFonts w:ascii="Arial" w:cs="Arial" w:eastAsia="Arial" w:hAnsi="Arial"/>
          <w:sz w:val="20"/>
          <w:szCs w:val="20"/>
        </w:rPr>
        <w:t xml:space="preserve">Mitigation 2 — setpoint float: allow FWS to ride up toward 50°C during extremes if the IT vendor's warm-water class permits it (verify per platform).</w:t>
      </w:r>
    </w:p>
    <w:p>
      <w:pPr>
        <w:pStyle w:val="ListParagraph"/>
        <w:numPr>
          <w:ilvl w:val="0"/>
          <w:numId w:val="2"/>
        </w:numPr>
        <w:spacing w:after="60"/>
      </w:pPr>
      <w:r>
        <w:rPr>
          <w:rFonts w:ascii="Arial" w:cs="Arial" w:eastAsia="Arial" w:hAnsi="Arial"/>
          <w:sz w:val="20"/>
          <w:szCs w:val="20"/>
        </w:rPr>
        <w:t xml:space="preserve">Mitigation 3 — adiabatic assist: accept a small, bounded water budget instead of a zero-water absolutism; a realistic target is WUE well under 0.2 L/kWh versus 1.0+ for evaporative designs.</w:t>
      </w:r>
    </w:p>
    <w:p>
      <w:pPr>
        <w:pStyle w:val="ListParagraph"/>
        <w:numPr>
          <w:ilvl w:val="0"/>
          <w:numId w:val="2"/>
        </w:numPr>
        <w:spacing w:after="60"/>
      </w:pPr>
      <w:r>
        <w:rPr>
          <w:rFonts w:ascii="Arial" w:cs="Arial" w:eastAsia="Arial" w:hAnsi="Arial"/>
          <w:sz w:val="20"/>
          <w:szCs w:val="20"/>
        </w:rPr>
        <w:t xml:space="preserve">Cool climates (e.g., Dublin, N=20yr dry-bulb 28.5°C) achieve genuine year-round chiller-less S45 operation with double-digit approach margins.</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Peak design conditions: 50.0°C dry-bulb / 30.0°C wet-bulb (N=20-year, ASHRAE-style extremes; location-linked in the model).</w:t>
            </w:r>
          </w:p>
          <w:p>
            <w:pPr>
              <w:spacing w:after="40"/>
            </w:pPr>
            <w:r>
              <w:rPr>
                <w:rFonts w:ascii="Arial" w:cs="Arial" w:eastAsia="Arial" w:hAnsi="Arial"/>
                <w:sz w:val="18"/>
                <w:szCs w:val="18"/>
              </w:rPr>
              <w:t xml:space="preserve">•  Rejection approach at peak: FWR 55.0°C − DB 50.0°C = +5.0 K — dry rejection continues at peak, with trim capacity carried in the 5% liquid-loop cooling overhead input.</w:t>
            </w:r>
          </w:p>
          <w:p>
            <w:pPr>
              <w:spacing w:after="40"/>
            </w:pPr>
            <w:r>
              <w:rPr>
                <w:rFonts w:ascii="Arial" w:cs="Arial" w:eastAsia="Arial" w:hAnsi="Arial"/>
                <w:sz w:val="18"/>
                <w:szCs w:val="18"/>
              </w:rPr>
              <w:t xml:space="preserve">•  Water budget: WUE 0.15 L/kWh → 9,919 m³/yr — near-zero versus ~4–8 million gallons per MW-year (est.) for evaporative designs, but deliberately not claimed as 0.00.</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06 — Power Topologies: Medium Voltage to Chip</w:t>
      </w:r>
    </w:p>
    <w:p>
      <w:pPr>
        <w:spacing w:after="200" w:before="0"/>
      </w:pPr>
      <w:r>
        <w:rPr>
          <w:rFonts w:ascii="Arial" w:cs="Arial" w:eastAsia="Arial" w:hAnsi="Arial"/>
          <w:i/>
          <w:iCs/>
          <w:color w:val="595959"/>
          <w:sz w:val="20"/>
          <w:szCs w:val="20"/>
        </w:rPr>
        <w:t xml:space="preserve">Every conversion step costs efficiency and capital; the winning topology is the one with the fewest transformations between the grid and the die.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415"/>
        <w:gridCol w:w="2854"/>
        <w:gridCol w:w="4611"/>
      </w:tblGrid>
      <w:tr>
        <w:trPr>
          <w:tblHeader/>
        </w:trPr>
        <w:tc>
          <w:tcPr>
            <w:tcW w:type="dxa" w:w="2415"/>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Stage</w:t>
            </w:r>
          </w:p>
        </w:tc>
        <w:tc>
          <w:tcPr>
            <w:tcW w:type="dxa" w:w="2854"/>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Voltage / medium</w:t>
            </w:r>
          </w:p>
        </w:tc>
        <w:tc>
          <w:tcPr>
            <w:tcW w:type="dxa" w:w="4611"/>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Notes</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Utility interconnect</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132 kV / 33 kV HV-MV</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Dual feeds, main-tie-main</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On-site substation</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33 kV / 11 kV MV bus</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GIS preferred for footprint &amp; dust</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Dry-type transformers</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415/480 V LV distribution</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Placed at white-space edge</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Overhead busway</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415 V 3-phase to rack</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No under-floor cabling at these densities</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In-rack power shelf</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48–54 V DC busbar</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PSU shelf with integrated energy storage</w:t>
            </w:r>
          </w:p>
        </w:tc>
      </w:tr>
      <w:tr>
        <w:tc>
          <w:tcPr>
            <w:tcW w:type="dxa" w:w="2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On-board VRMs</w:t>
            </w:r>
          </w:p>
        </w:tc>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0.8–1.2 V to silicon</w:t>
            </w:r>
          </w:p>
        </w:tc>
        <w:tc>
          <w:tcPr>
            <w:tcW w:type="dxa" w:w="46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Final regulation at the socket</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The forward path is 800 V DC: NVIDIA's published architecture moves facility-to-rack distribution to 800 VDC, which by vendor figures moves &gt;150% more power through the same copper cross-section and removes on the order of 200 kg of busbar per rack, while collapsing four AC/DC conversion steps to two (Section 7).</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IT load 8.264 MW at annualized PUE 1.080 → ~8.93 MW facility supply at full utilization; specify the utility application above this for ramp headroom.</w:t>
            </w:r>
          </w:p>
          <w:p>
            <w:pPr>
              <w:spacing w:after="40"/>
            </w:pPr>
            <w:r>
              <w:rPr>
                <w:rFonts w:ascii="Arial" w:cs="Arial" w:eastAsia="Arial" w:hAnsi="Arial"/>
                <w:sz w:val="18"/>
                <w:szCs w:val="18"/>
              </w:rPr>
              <w:t xml:space="preserve">•  Distribution: two 11 kV feeds, LV transformation in N+1 blocks aligned to the four CDU/compute blocks of Section 4 — electrical and thermal block boundaries should coincide.</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07 — High-Voltage DC (800 VDC) vs. Traditional AC Architecture</w:t>
      </w:r>
    </w:p>
    <w:p>
      <w:pPr>
        <w:spacing w:after="200" w:before="0"/>
      </w:pPr>
      <w:r>
        <w:rPr>
          <w:rFonts w:ascii="Arial" w:cs="Arial" w:eastAsia="Arial" w:hAnsi="Arial"/>
          <w:i/>
          <w:iCs/>
          <w:color w:val="595959"/>
          <w:sz w:val="20"/>
          <w:szCs w:val="20"/>
        </w:rPr>
        <w:t xml:space="preserve">HVDC wins on conversion count, copper, and BESS coupling; AC wins on today's supply chain maturity. Build AC now with HVDC-ready raceways.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854"/>
        <w:gridCol w:w="3293"/>
        <w:gridCol w:w="3732"/>
      </w:tblGrid>
      <w:tr>
        <w:trPr>
          <w:tblHeader/>
        </w:trPr>
        <w:tc>
          <w:tcPr>
            <w:tcW w:type="dxa" w:w="2854"/>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Metric</w:t>
            </w:r>
          </w:p>
        </w:tc>
        <w:tc>
          <w:tcPr>
            <w:tcW w:type="dxa" w:w="3293"/>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415/480 V AC (today)</w:t>
            </w:r>
          </w:p>
        </w:tc>
        <w:tc>
          <w:tcPr>
            <w:tcW w:type="dxa" w:w="3732"/>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380/800 V DC (roadmap)</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End-to-end efficiency (industry est.)</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91.5–93.0%</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95.5–97.0%</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Conversion steps</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AC-DC-AC-DC (4)</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AC-DC once, then DC-DC (2)</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Copper / busbar mass</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Baseline</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Up to ~40% less conductor; ~200 kg/rack busbar saved (vendor figure)</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Harmonics</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Active filtering at loads</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Centralized at the rectifier plant</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BESS / storage coupling</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Complex AC coupling</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Native DC-bus coupling</w:t>
            </w:r>
          </w:p>
        </w:tc>
      </w:tr>
      <w:tr>
        <w:tc>
          <w:tcPr>
            <w:tcW w:type="dxa" w:w="28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Maturity (2026)</w:t>
            </w:r>
          </w:p>
        </w:tc>
        <w:tc>
          <w:tcPr>
            <w:tcW w:type="dxa" w:w="32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Fully mature</w:t>
            </w:r>
          </w:p>
        </w:tc>
        <w:tc>
          <w:tcPr>
            <w:tcW w:type="dxa" w:w="37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Announced ecosystem (NVIDIA 800 VDC program; Kyber-class racks)</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Recommendation: deploy 415 V AC busway for current-generation racks, but dimension electrical rooms, raceways and heat rejection for an 800 VDC retrofit — the migration is announced vendor roadmap, not speculation, and Rubin-Ultra-class racks approaching 1 MW effectively require it.</w:t>
      </w:r>
    </w:p>
    <w:p>
      <w:pPr>
        <w:pStyle w:val="Heading1"/>
        <w:pageBreakBefore/>
        <w:spacing w:after="60"/>
      </w:pPr>
      <w:r>
        <w:rPr>
          <w:rFonts w:ascii="Arial" w:cs="Arial" w:eastAsia="Arial" w:hAnsi="Arial"/>
          <w:b/>
          <w:bCs/>
          <w:color w:val="1F4E78"/>
          <w:sz w:val="26"/>
          <w:szCs w:val="26"/>
        </w:rPr>
        <w:t xml:space="preserve">Section 08 — Transient Load Management &amp; AI Workload Power Smoothing</w:t>
      </w:r>
    </w:p>
    <w:p>
      <w:pPr>
        <w:spacing w:after="200" w:before="0"/>
      </w:pPr>
      <w:r>
        <w:rPr>
          <w:rFonts w:ascii="Arial" w:cs="Arial" w:eastAsia="Arial" w:hAnsi="Arial"/>
          <w:i/>
          <w:iCs/>
          <w:color w:val="595959"/>
          <w:sz w:val="20"/>
          <w:szCs w:val="20"/>
        </w:rPr>
        <w:t xml:space="preserve">Synchronized training steps turn a GPU cluster into a megawatt-scale square wave generator; the fix is energy storage at the rack and firmware ramp control.</w:t>
      </w:r>
    </w:p>
    <w:p>
      <w:pPr>
        <w:spacing w:after="120" w:before="0"/>
      </w:pPr>
      <w:r>
        <w:rPr>
          <w:rFonts w:ascii="Arial" w:cs="Arial" w:eastAsia="Arial" w:hAnsi="Arial"/>
          <w:sz w:val="20"/>
          <w:szCs w:val="20"/>
        </w:rPr>
        <w:t xml:space="preserve">AI training alternates compute-dense and communication phases across thousands of synchronized GPUs. The resulting load steps are microseconds at the die, milliseconds at the rack (idle to full power), and — the number that matters to the utility — multi-MW-per-second swings at cluster scale. Unmanaged, these trip protection relays, excite grid frequency response, and violate interconnection agreements.</w:t>
      </w:r>
    </w:p>
    <w:p>
      <w:pPr>
        <w:pStyle w:val="ListParagraph"/>
        <w:numPr>
          <w:ilvl w:val="0"/>
          <w:numId w:val="2"/>
        </w:numPr>
        <w:spacing w:after="60"/>
      </w:pPr>
      <w:r>
        <w:rPr>
          <w:rFonts w:ascii="Arial" w:cs="Arial" w:eastAsia="Arial" w:hAnsi="Arial"/>
          <w:sz w:val="20"/>
          <w:szCs w:val="20"/>
        </w:rPr>
        <w:t xml:space="preserve">Rack-level energy buffering: current GB300-class power shelves integrate capacitive energy storage with a charge-management controller expressly for per-rack power smoothing; the Vera Rubin generation carries roughly 20x more in-rack energy storage (vendor-confirmed direction).</w:t>
      </w:r>
    </w:p>
    <w:p>
      <w:pPr>
        <w:pStyle w:val="ListParagraph"/>
        <w:numPr>
          <w:ilvl w:val="0"/>
          <w:numId w:val="2"/>
        </w:numPr>
        <w:spacing w:after="60"/>
      </w:pPr>
      <w:r>
        <w:rPr>
          <w:rFonts w:ascii="Arial" w:cs="Arial" w:eastAsia="Arial" w:hAnsi="Arial"/>
          <w:sz w:val="20"/>
          <w:szCs w:val="20"/>
        </w:rPr>
        <w:t xml:space="preserve">Firmware smoothing: workload-aware power capping and clock ramp control bound di/dt at the rack bus so upstream breakers and grid-following inverters never see the raw step. (An earlier draft cited 'NVIDIA DSX MaxLPS' — no such product is verifiable; the capability is real, the name is not.)</w:t>
      </w:r>
    </w:p>
    <w:p>
      <w:pPr>
        <w:pStyle w:val="ListParagraph"/>
        <w:numPr>
          <w:ilvl w:val="0"/>
          <w:numId w:val="2"/>
        </w:numPr>
        <w:spacing w:after="60"/>
      </w:pPr>
      <w:r>
        <w:rPr>
          <w:rFonts w:ascii="Arial" w:cs="Arial" w:eastAsia="Arial" w:hAnsi="Arial"/>
          <w:sz w:val="20"/>
          <w:szCs w:val="20"/>
        </w:rPr>
        <w:t xml:space="preserve">Facility layer: LFP BESS blocks provide second-to-minute smoothing and peak shaving; hybrid supercapacitor + battery arrangements cover the full transient spectrum.</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Worst-case synchronized step for the 2,304-GPU cluster: roughly idle-to-peak of the compute load, ~7.3 MW — coordinate a ramp-rate limit with the utility rather than presenting it as an uncontrolled step.</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09 — Structural Engineering, Rack Density &amp; Weight Distribution</w:t>
      </w:r>
    </w:p>
    <w:p>
      <w:pPr>
        <w:spacing w:after="200" w:before="0"/>
      </w:pPr>
      <w:r>
        <w:rPr>
          <w:rFonts w:ascii="Arial" w:cs="Arial" w:eastAsia="Arial" w:hAnsi="Arial"/>
          <w:i/>
          <w:iCs/>
          <w:color w:val="595959"/>
          <w:sz w:val="20"/>
          <w:szCs w:val="20"/>
        </w:rPr>
        <w:t xml:space="preserve">A liquid-filled AI rack is industrial plant equipment, not IT furniture — design the slab, not the tile.</w:t>
      </w:r>
    </w:p>
    <w:p>
      <w:pPr>
        <w:pStyle w:val="ListParagraph"/>
        <w:numPr>
          <w:ilvl w:val="0"/>
          <w:numId w:val="2"/>
        </w:numPr>
        <w:spacing w:after="60"/>
      </w:pPr>
      <w:r>
        <w:rPr>
          <w:rFonts w:ascii="Arial" w:cs="Arial" w:eastAsia="Arial" w:hAnsi="Arial"/>
          <w:sz w:val="20"/>
          <w:szCs w:val="20"/>
        </w:rPr>
        <w:t xml:space="preserve">Verified baseline: a GB200 NVL72 rack weighs ~1.36 t wet. Vera Rubin racks — with added energy storage, liquid-cooled busbars and manifolds — are reasonably estimated at 1.5–2.0 t (vendor-final figures pending).</w:t>
      </w:r>
    </w:p>
    <w:p>
      <w:pPr>
        <w:pStyle w:val="ListParagraph"/>
        <w:numPr>
          <w:ilvl w:val="0"/>
          <w:numId w:val="2"/>
        </w:numPr>
        <w:spacing w:after="60"/>
      </w:pPr>
      <w:r>
        <w:rPr>
          <w:rFonts w:ascii="Arial" w:cs="Arial" w:eastAsia="Arial" w:hAnsi="Arial"/>
          <w:sz w:val="20"/>
          <w:szCs w:val="20"/>
        </w:rPr>
        <w:t xml:space="preserve">Loading math at 1.8 t over a 600 × 1200 mm footprint: ~2,500 kg/m² point loading — beyond most raised-floor systems. Slab-on-grade with ≥30 kN/m² design capacity and load-spreading plates under casters is the default.</w:t>
      </w:r>
    </w:p>
    <w:p>
      <w:pPr>
        <w:pStyle w:val="ListParagraph"/>
        <w:numPr>
          <w:ilvl w:val="0"/>
          <w:numId w:val="2"/>
        </w:numPr>
        <w:spacing w:after="60"/>
      </w:pPr>
      <w:r>
        <w:rPr>
          <w:rFonts w:ascii="Arial" w:cs="Arial" w:eastAsia="Arial" w:hAnsi="Arial"/>
          <w:sz w:val="20"/>
          <w:szCs w:val="20"/>
        </w:rPr>
        <w:t xml:space="preserve">Seismic: brace top-of-rack to structural ceiling steel; design to the site's code-derived seismic demand (e.g., ASCE 7 seismic design category — the legacy 'UBC Zone 4' terminology in older drafts is obsolete).</w:t>
      </w:r>
    </w:p>
    <w:p>
      <w:pPr>
        <w:pStyle w:val="ListParagraph"/>
        <w:numPr>
          <w:ilvl w:val="0"/>
          <w:numId w:val="2"/>
        </w:numPr>
        <w:spacing w:after="60"/>
      </w:pPr>
      <w:r>
        <w:rPr>
          <w:rFonts w:ascii="Arial" w:cs="Arial" w:eastAsia="Arial" w:hAnsi="Arial"/>
          <w:sz w:val="20"/>
          <w:szCs w:val="20"/>
        </w:rPr>
        <w:t xml:space="preserve">Piping dead load: overhead manifold headers carrying the Section 3 flow rates add several hundred kg per rack position — include in the ceiling steel budget, not as an afterthought.</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48 racks total (32 VR + 6 network + 10 storage); VR rows on slab-on-grade, ~343 LPM of coolant per VR rack position overhead.</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10 — High-Speed Fabric &amp; Interconnect Topologies (NVLink 6 &amp; Scale-Out)</w:t>
      </w:r>
    </w:p>
    <w:p>
      <w:pPr>
        <w:spacing w:after="200" w:before="0"/>
      </w:pPr>
      <w:r>
        <w:rPr>
          <w:rFonts w:ascii="Arial" w:cs="Arial" w:eastAsia="Arial" w:hAnsi="Arial"/>
          <w:i/>
          <w:iCs/>
          <w:color w:val="595959"/>
          <w:sz w:val="20"/>
          <w:szCs w:val="20"/>
        </w:rPr>
        <w:t xml:space="preserve">Scale-up handles tensor parallelism inside the rack; scale-out carries data and pipeline parallelism between racks — size each for its actual traffic.</w:t>
      </w:r>
    </w:p>
    <w:p>
      <w:pPr>
        <w:pStyle w:val="ListParagraph"/>
        <w:numPr>
          <w:ilvl w:val="0"/>
          <w:numId w:val="2"/>
        </w:numPr>
        <w:spacing w:after="60"/>
      </w:pPr>
      <w:r>
        <w:rPr>
          <w:rFonts w:ascii="Arial" w:cs="Arial" w:eastAsia="Arial" w:hAnsi="Arial"/>
          <w:sz w:val="20"/>
          <w:szCs w:val="20"/>
        </w:rPr>
        <w:t xml:space="preserve">Scale-up: NVLink 6 provides 3.6 TB/s per GPU, 260 TB/s aggregate per NVL72 rack, presenting 72 GPUs as one shared-memory domain (~75 TB fast memory per rack, 20.7 TB of it HBM4).</w:t>
      </w:r>
    </w:p>
    <w:p>
      <w:pPr>
        <w:pStyle w:val="ListParagraph"/>
        <w:numPr>
          <w:ilvl w:val="0"/>
          <w:numId w:val="2"/>
        </w:numPr>
        <w:spacing w:after="60"/>
      </w:pPr>
      <w:r>
        <w:rPr>
          <w:rFonts w:ascii="Arial" w:cs="Arial" w:eastAsia="Arial" w:hAnsi="Arial"/>
          <w:sz w:val="20"/>
          <w:szCs w:val="20"/>
        </w:rPr>
        <w:t xml:space="preserve">Scale-out: ConnectX-9 SuperNICs at 1.6 Tb/s per GPU into Quantum-X800 InfiniBand or Spectrum-X Ethernet fabrics; 102.4 Tb/s switch ASICs set the radix.</w:t>
      </w:r>
    </w:p>
    <w:p>
      <w:pPr>
        <w:pStyle w:val="ListParagraph"/>
        <w:numPr>
          <w:ilvl w:val="0"/>
          <w:numId w:val="2"/>
        </w:numPr>
        <w:spacing w:after="60"/>
      </w:pPr>
      <w:r>
        <w:rPr>
          <w:rFonts w:ascii="Arial" w:cs="Arial" w:eastAsia="Arial" w:hAnsi="Arial"/>
          <w:sz w:val="20"/>
          <w:szCs w:val="20"/>
        </w:rPr>
        <w:t xml:space="preserve">Topology: rail-optimized two-tier fat tree for clusters up to a few thousand GPUs; three tiers only when the GPU count forces it — every added tier costs latency and optics power.</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2,304 GPUs across 32 racks → a two-tier rail-optimized fabric; 6 network racks (600 kW) carry the leaf/spine switching for the scale-out domain.</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11 — Optical Infrastructure &amp; Co-Packaged Optics (CPO)</w:t>
      </w:r>
    </w:p>
    <w:p>
      <w:pPr>
        <w:spacing w:after="200" w:before="0"/>
      </w:pPr>
      <w:r>
        <w:rPr>
          <w:rFonts w:ascii="Arial" w:cs="Arial" w:eastAsia="Arial" w:hAnsi="Arial"/>
          <w:i/>
          <w:iCs/>
          <w:color w:val="595959"/>
          <w:sz w:val="20"/>
          <w:szCs w:val="20"/>
        </w:rPr>
        <w:t xml:space="preserve">Above 1.6 Tb/s per port, pluggable optics become the power and failure budget; CPO moves the laser problem into the switch package.</w:t>
      </w:r>
    </w:p>
    <w:p>
      <w:pPr>
        <w:pStyle w:val="ListParagraph"/>
        <w:numPr>
          <w:ilvl w:val="0"/>
          <w:numId w:val="2"/>
        </w:numPr>
        <w:spacing w:after="60"/>
      </w:pPr>
      <w:r>
        <w:rPr>
          <w:rFonts w:ascii="Arial" w:cs="Arial" w:eastAsia="Arial" w:hAnsi="Arial"/>
          <w:sz w:val="20"/>
          <w:szCs w:val="20"/>
        </w:rPr>
        <w:t xml:space="preserve">In-rack scale-up stays copper: NVLink cartridge backplanes over &lt;1 m reaches conserve power and cost — do not spend optics where copper works.</w:t>
      </w:r>
    </w:p>
    <w:p>
      <w:pPr>
        <w:pStyle w:val="ListParagraph"/>
        <w:numPr>
          <w:ilvl w:val="0"/>
          <w:numId w:val="2"/>
        </w:numPr>
        <w:spacing w:after="60"/>
      </w:pPr>
      <w:r>
        <w:rPr>
          <w:rFonts w:ascii="Arial" w:cs="Arial" w:eastAsia="Arial" w:hAnsi="Arial"/>
          <w:sz w:val="20"/>
          <w:szCs w:val="20"/>
        </w:rPr>
        <w:t xml:space="preserve">Scale-out transitions to CPO: the Vera Rubin platform includes a Spectrum-X 102.4 Tb/s co-packaged-optics switch; silicon photonics on-package eliminates pluggable transceivers on fabric links.</w:t>
      </w:r>
    </w:p>
    <w:p>
      <w:pPr>
        <w:pStyle w:val="ListParagraph"/>
        <w:numPr>
          <w:ilvl w:val="0"/>
          <w:numId w:val="2"/>
        </w:numPr>
        <w:spacing w:after="60"/>
      </w:pPr>
      <w:r>
        <w:rPr>
          <w:rFonts w:ascii="Arial" w:cs="Arial" w:eastAsia="Arial" w:hAnsi="Arial"/>
          <w:sz w:val="20"/>
          <w:szCs w:val="20"/>
        </w:rPr>
        <w:t xml:space="preserve">Power effect: industry estimates put CPO interconnect power savings around 30% versus pluggables — roughly 5–8 W per port at 1.6T — which at cluster scale is hundreds of kW of avoided load and cooling (estimates; verify per SKU).</w:t>
      </w:r>
    </w:p>
    <w:p>
      <w:pPr>
        <w:pStyle w:val="Heading1"/>
        <w:pageBreakBefore/>
        <w:spacing w:after="60"/>
      </w:pPr>
      <w:r>
        <w:rPr>
          <w:rFonts w:ascii="Arial" w:cs="Arial" w:eastAsia="Arial" w:hAnsi="Arial"/>
          <w:b/>
          <w:bCs/>
          <w:color w:val="1F4E78"/>
          <w:sz w:val="26"/>
          <w:szCs w:val="26"/>
        </w:rPr>
        <w:t xml:space="preserve">Section 12 — Site Selection, Grid Interconnection &amp; Substation Design</w:t>
      </w:r>
    </w:p>
    <w:p>
      <w:pPr>
        <w:spacing w:after="200" w:before="0"/>
      </w:pPr>
      <w:r>
        <w:rPr>
          <w:rFonts w:ascii="Arial" w:cs="Arial" w:eastAsia="Arial" w:hAnsi="Arial"/>
          <w:i/>
          <w:iCs/>
          <w:color w:val="595959"/>
          <w:sz w:val="20"/>
          <w:szCs w:val="20"/>
        </w:rPr>
        <w:t xml:space="preserve">Pick sites where firm power and heat rejection physics are favorable; everything else is negotiable, those two are not.</w:t>
      </w:r>
    </w:p>
    <w:p>
      <w:pPr>
        <w:pStyle w:val="ListParagraph"/>
        <w:numPr>
          <w:ilvl w:val="0"/>
          <w:numId w:val="2"/>
        </w:numPr>
        <w:spacing w:after="60"/>
      </w:pPr>
      <w:r>
        <w:rPr>
          <w:rFonts w:ascii="Arial" w:cs="Arial" w:eastAsia="Arial" w:hAnsi="Arial"/>
          <w:sz w:val="20"/>
          <w:szCs w:val="20"/>
        </w:rPr>
        <w:t xml:space="preserve">Grid: proximity to 132–400 kV transmission with firm capacity matching the full-buildout facility load; dual utility feeds in main-tie-main; GIS substations where dust, salt or footprint argue against AIS.</w:t>
      </w:r>
    </w:p>
    <w:p>
      <w:pPr>
        <w:pStyle w:val="ListParagraph"/>
        <w:numPr>
          <w:ilvl w:val="0"/>
          <w:numId w:val="2"/>
        </w:numPr>
        <w:spacing w:after="60"/>
      </w:pPr>
      <w:r>
        <w:rPr>
          <w:rFonts w:ascii="Arial" w:cs="Arial" w:eastAsia="Arial" w:hAnsi="Arial"/>
          <w:sz w:val="20"/>
          <w:szCs w:val="20"/>
        </w:rPr>
        <w:t xml:space="preserve">Climate: underwrite against ASHRAE N=20-year extremes, not typical conditions — the companion model links each candidate location to its climate zone, 90.4 MLC limit and N=20yr dry/wet-bulb (editable reference library).</w:t>
      </w:r>
    </w:p>
    <w:p>
      <w:pPr>
        <w:pStyle w:val="ListParagraph"/>
        <w:numPr>
          <w:ilvl w:val="0"/>
          <w:numId w:val="2"/>
        </w:numPr>
        <w:spacing w:after="60"/>
      </w:pPr>
      <w:r>
        <w:rPr>
          <w:rFonts w:ascii="Arial" w:cs="Arial" w:eastAsia="Arial" w:hAnsi="Arial"/>
          <w:sz w:val="20"/>
          <w:szCs w:val="20"/>
        </w:rPr>
        <w:t xml:space="preserve">Energy price and fiscal regime: power tariff, corporate tax and interest deductibility (e.g., UAE 9% + GIDLR) materially move levered returns — they are model inputs, not footnotes.</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Abu Dhabi, UAE: ASHRAE Zone 1A (project baseline; ASHRAE 169-2021 may reclassify as 0B), N=20yr 50.0°C DB / 30.0°C WB, 90.4 MLC limit 0.260.</w:t>
            </w:r>
          </w:p>
          <w:p>
            <w:pPr>
              <w:spacing w:after="40"/>
            </w:pPr>
            <w:r>
              <w:rPr>
                <w:rFonts w:ascii="Arial" w:cs="Arial" w:eastAsia="Arial" w:hAnsi="Arial"/>
                <w:sz w:val="18"/>
                <w:szCs w:val="18"/>
              </w:rPr>
              <w:t xml:space="preserve">•  Design MLC 0.078 → 70.1% compliance margin; industrial tariff baseline $0.06/kWh with escalation and sensitivity handled in the model.</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13 — Microgrid Integration: On-Site Generation, BESS &amp; SMRs</w:t>
      </w:r>
    </w:p>
    <w:p>
      <w:pPr>
        <w:spacing w:after="200" w:before="0"/>
      </w:pPr>
      <w:r>
        <w:rPr>
          <w:rFonts w:ascii="Arial" w:cs="Arial" w:eastAsia="Arial" w:hAnsi="Arial"/>
          <w:i/>
          <w:iCs/>
          <w:color w:val="595959"/>
          <w:sz w:val="20"/>
          <w:szCs w:val="20"/>
        </w:rPr>
        <w:t xml:space="preserve">With utility interconnection queues at 3–7 years, on-site energy is schedule insurance first and economics second.</w:t>
      </w:r>
    </w:p>
    <w:p>
      <w:pPr>
        <w:pStyle w:val="ListParagraph"/>
        <w:numPr>
          <w:ilvl w:val="0"/>
          <w:numId w:val="2"/>
        </w:numPr>
        <w:spacing w:after="60"/>
      </w:pPr>
      <w:r>
        <w:rPr>
          <w:rFonts w:ascii="Arial" w:cs="Arial" w:eastAsia="Arial" w:hAnsi="Arial"/>
          <w:sz w:val="20"/>
          <w:szCs w:val="20"/>
        </w:rPr>
        <w:t xml:space="preserve">BESS: multi-MW LFP blocks bridge utility events, shave peaks, and — under the HVDC topology of Section 7 — couple natively to the DC bus.</w:t>
      </w:r>
    </w:p>
    <w:p>
      <w:pPr>
        <w:pStyle w:val="ListParagraph"/>
        <w:numPr>
          <w:ilvl w:val="0"/>
          <w:numId w:val="2"/>
        </w:numPr>
        <w:spacing w:after="60"/>
      </w:pPr>
      <w:r>
        <w:rPr>
          <w:rFonts w:ascii="Arial" w:cs="Arial" w:eastAsia="Arial" w:hAnsi="Arial"/>
          <w:sz w:val="20"/>
          <w:szCs w:val="20"/>
        </w:rPr>
        <w:t xml:space="preserve">Gas / hydrogen-ready turbines: bridge firm capacity where the grid queue, not capital, is the binding constraint.</w:t>
      </w:r>
    </w:p>
    <w:p>
      <w:pPr>
        <w:pStyle w:val="ListParagraph"/>
        <w:numPr>
          <w:ilvl w:val="0"/>
          <w:numId w:val="2"/>
        </w:numPr>
        <w:spacing w:after="60"/>
      </w:pPr>
      <w:r>
        <w:rPr>
          <w:rFonts w:ascii="Arial" w:cs="Arial" w:eastAsia="Arial" w:hAnsi="Arial"/>
          <w:sz w:val="20"/>
          <w:szCs w:val="20"/>
        </w:rPr>
        <w:t xml:space="preserve">SMRs: credible for 2030s campus expansions (50–300 MW modules), but no SMR will bridge a 2026–2028 deployment — treat 'near-term SMR' claims as schedule risk, not schedule relief.</w:t>
      </w:r>
    </w:p>
    <w:p>
      <w:pPr>
        <w:pStyle w:val="ListParagraph"/>
        <w:numPr>
          <w:ilvl w:val="0"/>
          <w:numId w:val="2"/>
        </w:numPr>
        <w:spacing w:after="60"/>
      </w:pPr>
      <w:r>
        <w:rPr>
          <w:rFonts w:ascii="Arial" w:cs="Arial" w:eastAsia="Arial" w:hAnsi="Arial"/>
          <w:sz w:val="20"/>
          <w:szCs w:val="20"/>
        </w:rPr>
        <w:t xml:space="preserve">Grid carbon: siting on low-carbon grids (e.g., Abu Dhabi's nuclear + solar mix, modeled here at 0.39 kgCO2/kWh) does more for Scope 2 than any on-site gesture.</w:t>
      </w:r>
    </w:p>
    <w:p>
      <w:pPr>
        <w:pStyle w:val="Heading1"/>
        <w:pageBreakBefore/>
        <w:spacing w:after="60"/>
      </w:pPr>
      <w:r>
        <w:rPr>
          <w:rFonts w:ascii="Arial" w:cs="Arial" w:eastAsia="Arial" w:hAnsi="Arial"/>
          <w:b/>
          <w:bCs/>
          <w:color w:val="1F4E78"/>
          <w:sz w:val="26"/>
          <w:szCs w:val="26"/>
        </w:rPr>
        <w:t xml:space="preserve">Section 14 — Phased Capacity Deployment Roadmap (Modular 8 MW Blocks to 128 MW+)</w:t>
      </w:r>
    </w:p>
    <w:p>
      <w:pPr>
        <w:spacing w:after="200" w:before="0"/>
      </w:pPr>
      <w:r>
        <w:rPr>
          <w:rFonts w:ascii="Arial" w:cs="Arial" w:eastAsia="Arial" w:hAnsi="Arial"/>
          <w:i/>
          <w:iCs/>
          <w:color w:val="595959"/>
          <w:sz w:val="20"/>
          <w:szCs w:val="20"/>
        </w:rPr>
        <w:t xml:space="preserve">Deploy in repeatable blocks that commission independently — capital follows compute, not the other way around.</w:t>
      </w:r>
    </w:p>
    <w:p>
      <w:pPr>
        <w:spacing w:after="120" w:before="0"/>
      </w:pPr>
      <w:r>
        <w:rPr>
          <w:rFonts w:ascii="Arial" w:cs="Arial" w:eastAsia="Arial" w:hAnsi="Arial"/>
          <w:sz w:val="20"/>
          <w:szCs w:val="20"/>
        </w:rPr>
        <w:t xml:space="preserve">The generalized unit of expansion is the block this paper's test fit represents: ~8.264 MW of IT in 32 liquid-cooled racks with its own CDU quads, LV transformation and busway. A reference gigascale ramp then reads: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21"/>
        <w:gridCol w:w="2021"/>
        <w:gridCol w:w="5838"/>
      </w:tblGrid>
      <w:tr>
        <w:trPr>
          <w:tblHeader/>
        </w:trPr>
        <w:tc>
          <w:tcPr>
            <w:tcW w:type="dxa" w:w="2021"/>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Phase</w:t>
            </w:r>
          </w:p>
        </w:tc>
        <w:tc>
          <w:tcPr>
            <w:tcW w:type="dxa" w:w="2021"/>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Cumulative IT</w:t>
            </w:r>
          </w:p>
        </w:tc>
        <w:tc>
          <w:tcPr>
            <w:tcW w:type="dxa" w:w="5838"/>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Milestones</w:t>
            </w:r>
          </w:p>
        </w:tc>
      </w:tr>
      <w:tr>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2026 — Phase 1</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16 MW (2 blocks)</w:t>
            </w:r>
          </w:p>
        </w:tc>
        <w:tc>
          <w:tcPr>
            <w:tcW w:type="dxa" w:w="58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Substation energization; dry-cooler yard; first GB300/VR blocks</w:t>
            </w:r>
          </w:p>
        </w:tc>
      </w:tr>
      <w:tr>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2028 — Phase 2</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48 MW (6 blocks)</w:t>
            </w:r>
          </w:p>
        </w:tc>
        <w:tc>
          <w:tcPr>
            <w:tcW w:type="dxa" w:w="58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Substation expansion; full S45 CDU integration; VR scale-out</w:t>
            </w:r>
          </w:p>
        </w:tc>
      </w:tr>
      <w:tr>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2030 — Phase 3</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96 MW (12 blocks)</w:t>
            </w:r>
          </w:p>
        </w:tc>
        <w:tc>
          <w:tcPr>
            <w:tcW w:type="dxa" w:w="58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BESS integration; CPO fabrics; 800 VDC pilot rows</w:t>
            </w:r>
          </w:p>
        </w:tc>
      </w:tr>
      <w:tr>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2031 — Phase 4</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128 MW (16 blocks)</w:t>
            </w:r>
          </w:p>
        </w:tc>
        <w:tc>
          <w:tcPr>
            <w:tcW w:type="dxa" w:w="58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Campus maturity; microgrid/SMR optionality; zero-water optimization</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Each block closes its own commissioning (L1–L5) before the next starts, so revenue begins at block one and the financing structure of Section 17 can be replicated per phase rather than underwritten once at campus scale.</w:t>
      </w:r>
    </w:p>
    <w:p>
      <w:pPr>
        <w:pStyle w:val="Heading1"/>
        <w:pageBreakBefore/>
        <w:spacing w:after="60"/>
      </w:pPr>
      <w:r>
        <w:rPr>
          <w:rFonts w:ascii="Arial" w:cs="Arial" w:eastAsia="Arial" w:hAnsi="Arial"/>
          <w:b/>
          <w:bCs/>
          <w:color w:val="1F4E78"/>
          <w:sz w:val="26"/>
          <w:szCs w:val="26"/>
        </w:rPr>
        <w:t xml:space="preserve">Section 15 — Capital Expenditure Breakdown &amp; Procurement Strategy</w:t>
      </w:r>
    </w:p>
    <w:p>
      <w:pPr>
        <w:spacing w:after="200" w:before="0"/>
      </w:pPr>
      <w:r>
        <w:rPr>
          <w:rFonts w:ascii="Arial" w:cs="Arial" w:eastAsia="Arial" w:hAnsi="Arial"/>
          <w:i/>
          <w:iCs/>
          <w:color w:val="595959"/>
          <w:sz w:val="20"/>
          <w:szCs w:val="20"/>
        </w:rPr>
        <w:t xml:space="preserve">MEP now dominates facility CapEx — and IT silicon dwarfs the facility itself. Never present one without the other.</w:t>
      </w:r>
    </w:p>
    <w:p>
      <w:pPr>
        <w:spacing w:after="100" w:before="120"/>
      </w:pPr>
      <w:r>
        <w:rPr>
          <w:rFonts w:ascii="Arial" w:cs="Arial" w:eastAsia="Arial" w:hAnsi="Arial"/>
          <w:b/>
          <w:bCs/>
          <w:color w:val="1F4E78"/>
          <w:sz w:val="21"/>
          <w:szCs w:val="21"/>
        </w:rPr>
        <w:t xml:space="preserve">Facility CapEx benchmark (per MW of IT, excluding compute hardware)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245"/>
        <w:gridCol w:w="1347"/>
        <w:gridCol w:w="898"/>
        <w:gridCol w:w="5389"/>
      </w:tblGrid>
      <w:tr>
        <w:trPr>
          <w:tblHeader/>
        </w:trPr>
        <w:tc>
          <w:tcPr>
            <w:tcW w:type="dxa" w:w="2245"/>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Segment</w:t>
            </w:r>
          </w:p>
        </w:tc>
        <w:tc>
          <w:tcPr>
            <w:tcW w:type="dxa" w:w="1347"/>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 per MW</w:t>
            </w:r>
          </w:p>
        </w:tc>
        <w:tc>
          <w:tcPr>
            <w:tcW w:type="dxa" w:w="898"/>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Share</w:t>
            </w:r>
          </w:p>
        </w:tc>
        <w:tc>
          <w:tcPr>
            <w:tcW w:type="dxa" w:w="5389"/>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Includes</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Electrical systems</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3.8–4.5</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38%</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Substation, transformers, switchgear, busway, BESS</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Mechanical &amp; DLC</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2.5–3.2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26%</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CDUs, loops, dry coolers, piping, leak detection</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Civil &amp; structural</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1.8–2.2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Slab-on-grade, frame, security</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Fit-out &amp; containment</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1.0–1.3</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Enclosures, manifolds, fiber trunking</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Engineering &amp; mgmt</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0.8–1.0</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Permitting, commissioning L1–L5, supervision</w:t>
            </w:r>
          </w:p>
        </w:tc>
      </w:tr>
      <w:tr>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Total (facility only)</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9.9–12.2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100%</w:t>
            </w:r>
          </w:p>
        </w:tc>
        <w:tc>
          <w:tcPr>
            <w:tcW w:type="dxa" w:w="53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Excludes IT compute silicon</w:t>
            </w:r>
          </w:p>
        </w:tc>
      </w:tr>
    </w:tbl>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FFF2CC"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TEST-FIT CAPEX CROSS-CHECK — READ BEFORE USING THE MODEL'S RETURNS</w:t>
            </w:r>
          </w:p>
          <w:p>
            <w:pPr>
              <w:spacing w:after="40"/>
            </w:pPr>
            <w:r>
              <w:rPr>
                <w:rFonts w:ascii="Arial" w:cs="Arial" w:eastAsia="Arial" w:hAnsi="Arial"/>
                <w:sz w:val="18"/>
                <w:szCs w:val="18"/>
              </w:rPr>
              <w:t xml:space="preserve">•  Model input: $139.5M total 'turnkey' CapEx for the 8.264 MW test fit ($16,880,445 per MW).</w:t>
            </w:r>
          </w:p>
          <w:p>
            <w:pPr>
              <w:spacing w:after="40"/>
            </w:pPr>
            <w:r>
              <w:rPr>
                <w:rFonts w:ascii="Arial" w:cs="Arial" w:eastAsia="Arial" w:hAnsi="Arial"/>
                <w:sz w:val="18"/>
                <w:szCs w:val="18"/>
              </w:rPr>
              <w:t xml:space="preserve">•  Benchmark facility-only cost at 8.264 MW: $82M–$101M.</w:t>
            </w:r>
          </w:p>
          <w:p>
            <w:pPr>
              <w:spacing w:after="40"/>
            </w:pPr>
            <w:r>
              <w:rPr>
                <w:rFonts w:ascii="Arial" w:cs="Arial" w:eastAsia="Arial" w:hAnsi="Arial"/>
                <w:sz w:val="18"/>
                <w:szCs w:val="18"/>
              </w:rPr>
              <w:t xml:space="preserve">•  IT hardware cross-check: 32 Vera Rubin NVL72 racks at reported $6.0–8.8M per rack = $192M–$282M; (GB200-class racks run $3.1–3.9M all-in).</w:t>
            </w:r>
          </w:p>
          <w:p>
            <w:pPr>
              <w:spacing w:after="40"/>
            </w:pPr>
            <w:r>
              <w:rPr>
                <w:rFonts w:ascii="Arial" w:cs="Arial" w:eastAsia="Arial" w:hAnsi="Arial"/>
                <w:sz w:val="18"/>
                <w:szCs w:val="18"/>
              </w:rPr>
              <w:t xml:space="preserve">•  Benchmark all-in (facility + owned VR IT): $274M–$382M — several times the model input.</w:t>
            </w:r>
          </w:p>
          <w:p>
            <w:pPr>
              <w:spacing w:after="40"/>
            </w:pPr>
            <w:r>
              <w:rPr>
                <w:rFonts w:ascii="Arial" w:cs="Arial" w:eastAsia="Arial" w:hAnsi="Arial"/>
                <w:sz w:val="18"/>
                <w:szCs w:val="18"/>
              </w:rPr>
              <w:t xml:space="preserve">•  Conclusion: $139.5M is credible only as facility + fit-out with IT hardware leased, vendor-financed, or customer-owned. If the operator owns the silicon, CapEx_Initial must be restated upward and every return in Section 17 falls accordingly. The model makes this a one-cell change.</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16 — OpEx Optimization &amp; PUE Minimization</w:t>
      </w:r>
    </w:p>
    <w:p>
      <w:pPr>
        <w:spacing w:after="200" w:before="0"/>
      </w:pPr>
      <w:r>
        <w:rPr>
          <w:rFonts w:ascii="Arial" w:cs="Arial" w:eastAsia="Arial" w:hAnsi="Arial"/>
          <w:i/>
          <w:iCs/>
          <w:color w:val="595959"/>
          <w:sz w:val="20"/>
          <w:szCs w:val="20"/>
        </w:rPr>
        <w:t xml:space="preserve">Electricity is the OpEx; PUE is the lever; high-temperature liquid cooling is how you pull it.</w:t>
      </w:r>
    </w:p>
    <w:p>
      <w:pPr>
        <w:spacing w:after="120" w:before="0"/>
      </w:pPr>
      <w:r>
        <w:rPr>
          <w:rFonts w:ascii="Arial" w:cs="Arial" w:eastAsia="Arial" w:hAnsi="Arial"/>
          <w:sz w:val="20"/>
          <w:szCs w:val="20"/>
        </w:rPr>
        <w:t xml:space="preserve">PUE = total facility energy / IT energy. Legacy air-cooled estates run 1.35–1.5; high-temperature liquid-cooled AI facilities achieve 1.05–1.10 annualized (compressor-free rejection most hours), with 1.03 attainable only in cool climates — quote one number consistently and state whether it is design-peak or annualized.</w:t>
      </w:r>
    </w:p>
    <w:p>
      <w:pPr>
        <w:pStyle w:val="ListParagraph"/>
        <w:numPr>
          <w:ilvl w:val="0"/>
          <w:numId w:val="2"/>
        </w:numPr>
        <w:spacing w:after="60"/>
      </w:pPr>
      <w:r>
        <w:rPr>
          <w:rFonts w:ascii="Arial" w:cs="Arial" w:eastAsia="Arial" w:hAnsi="Arial"/>
          <w:sz w:val="20"/>
          <w:szCs w:val="20"/>
        </w:rPr>
        <w:t xml:space="preserve">Reference case (verified arithmetic): a 128 MW IT campus improving from PUE 1.35 to 1.06 avoids 325,171 MWh per year — $26M/yr at $0.08/kWh.</w:t>
      </w:r>
    </w:p>
    <w:p>
      <w:pPr>
        <w:pStyle w:val="ListParagraph"/>
        <w:numPr>
          <w:ilvl w:val="0"/>
          <w:numId w:val="2"/>
        </w:numPr>
        <w:spacing w:after="60"/>
      </w:pPr>
      <w:r>
        <w:rPr>
          <w:rFonts w:ascii="Arial" w:cs="Arial" w:eastAsia="Arial" w:hAnsi="Arial"/>
          <w:sz w:val="20"/>
          <w:szCs w:val="20"/>
        </w:rPr>
        <w:t xml:space="preserve">Predictive maintenance on CDU pumps and dry-cooler fans (vibration, ΔP trend) protects both PUE and availability; a fouled heat exchanger is a silent PUE tax.</w:t>
      </w:r>
    </w:p>
    <w:p>
      <w:pPr>
        <w:pStyle w:val="ListParagraph"/>
        <w:numPr>
          <w:ilvl w:val="0"/>
          <w:numId w:val="2"/>
        </w:numPr>
        <w:spacing w:after="60"/>
      </w:pPr>
      <w:r>
        <w:rPr>
          <w:rFonts w:ascii="Arial" w:cs="Arial" w:eastAsia="Arial" w:hAnsi="Arial"/>
          <w:sz w:val="20"/>
          <w:szCs w:val="20"/>
        </w:rPr>
        <w:t xml:space="preserve">Utilization is an OpEx lever too: energy scales with served load, revenue with sold capacity — the model carries utilization and uptime as explicit inputs.</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Annualized PUE 1.080 (input) → facility energy 66,124 MWh/yr at 85% utilization / 99.5% uptime.</w:t>
            </w:r>
          </w:p>
          <w:p>
            <w:pPr>
              <w:spacing w:after="40"/>
            </w:pPr>
            <w:r>
              <w:rPr>
                <w:rFonts w:ascii="Arial" w:cs="Arial" w:eastAsia="Arial" w:hAnsi="Arial"/>
                <w:sz w:val="18"/>
                <w:szCs w:val="18"/>
              </w:rPr>
              <w:t xml:space="preserve">•  Year-1 electricity $4.0M at $0.06/kWh — 4.7% of revenue. Breakeven tariff (EBITDA = 0) is $1.12/kWh, ~19x the baseline: in this fiscal setting the project's economics are revenue-driven, not power-price-driven.</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17 — Enterprise Project Finance: FCFF, IRR &amp; Valuation</w:t>
      </w:r>
    </w:p>
    <w:p>
      <w:pPr>
        <w:spacing w:after="200" w:before="0"/>
      </w:pPr>
      <w:r>
        <w:rPr>
          <w:rFonts w:ascii="Arial" w:cs="Arial" w:eastAsia="Arial" w:hAnsi="Arial"/>
          <w:i/>
          <w:iCs/>
          <w:color w:val="595959"/>
          <w:sz w:val="20"/>
          <w:szCs w:val="20"/>
        </w:rPr>
        <w:t xml:space="preserve">Model levered and unlevered returns separately, cap the interest deduction where the tax code does, and disclose which inputs carry the result.</w:t>
      </w:r>
    </w:p>
    <w:p>
      <w:pPr>
        <w:spacing w:after="100" w:before="120"/>
      </w:pPr>
      <w:r>
        <w:rPr>
          <w:rFonts w:ascii="Arial" w:cs="Arial" w:eastAsia="Arial" w:hAnsi="Arial"/>
          <w:b/>
          <w:bCs/>
          <w:color w:val="1F4E78"/>
          <w:sz w:val="21"/>
          <w:szCs w:val="21"/>
        </w:rPr>
        <w:t xml:space="preserve">Market reference frame (128 MW campus, industry figures)</w:t>
      </w:r>
    </w:p>
    <w:p>
      <w:pPr>
        <w:pStyle w:val="ListParagraph"/>
        <w:numPr>
          <w:ilvl w:val="0"/>
          <w:numId w:val="2"/>
        </w:numPr>
        <w:spacing w:after="60"/>
      </w:pPr>
      <w:r>
        <w:rPr>
          <w:rFonts w:ascii="Arial" w:cs="Arial" w:eastAsia="Arial" w:hAnsi="Arial"/>
          <w:sz w:val="20"/>
          <w:szCs w:val="20"/>
        </w:rPr>
        <w:t xml:space="preserve">CapEx ~$1.42B facility (≈$11.1M/MW — consistent with Section 15's benchmark); NNN lease at $125/kW/month → ~$192M annual base revenue (verified: 128,000 kW × $125 × 12).</w:t>
      </w:r>
    </w:p>
    <w:p>
      <w:pPr>
        <w:pStyle w:val="ListParagraph"/>
        <w:numPr>
          <w:ilvl w:val="0"/>
          <w:numId w:val="2"/>
        </w:numPr>
        <w:spacing w:after="60"/>
      </w:pPr>
      <w:r>
        <w:rPr>
          <w:rFonts w:ascii="Arial" w:cs="Arial" w:eastAsia="Arial" w:hAnsi="Arial"/>
          <w:sz w:val="20"/>
          <w:szCs w:val="20"/>
        </w:rPr>
        <w:t xml:space="preserve">Reported market returns: unlevered IRR 13.5–15.2% over 15-year lives; levered (65/35) 21.8–24.5% on hyperscaler take-or-pay leases; exit multiples 20–25x EV/EBITDA (all market estimates, not this model's outputs).</w:t>
      </w:r>
    </w:p>
    <w:p>
      <w:pPr>
        <w:spacing w:after="100" w:before="120"/>
      </w:pPr>
      <w:r>
        <w:rPr>
          <w:rFonts w:ascii="Arial" w:cs="Arial" w:eastAsia="Arial" w:hAnsi="Arial"/>
          <w:b/>
          <w:bCs/>
          <w:color w:val="1F4E78"/>
          <w:sz w:val="21"/>
          <w:szCs w:val="21"/>
        </w:rPr>
        <w:t xml:space="preserve">Test-fit model outputs (5-year horizon, from AI_Factory_Model.xlsx)</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2016"/>
        <w:gridCol w:w="3327"/>
      </w:tblGrid>
      <w:tr>
        <w:trPr>
          <w:tblHeader/>
        </w:trPr>
        <w:tc>
          <w:tcPr>
            <w:tcW w:type="dxa" w:w="2016"/>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Metric</w:t>
            </w:r>
          </w:p>
        </w:tc>
        <w:tc>
          <w:tcPr>
            <w:tcW w:type="dxa" w:w="2520"/>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Value</w:t>
            </w:r>
          </w:p>
        </w:tc>
        <w:tc>
          <w:tcPr>
            <w:tcW w:type="dxa" w:w="2016"/>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Metric</w:t>
            </w:r>
          </w:p>
        </w:tc>
        <w:tc>
          <w:tcPr>
            <w:tcW w:type="dxa" w:w="3327"/>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Value</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CapEx (input)</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$139.5M</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Debt / equity</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$111.6M / $27.9M (80% debt @ 6.5%, 5-yr)</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Year-1 revenue</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$75.6M</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Year-1 EBITDA</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$60.8M (80.4%)</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Annual debt service</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$26.9M</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DSCR (min / avg)</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2.26x / 2.61x</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Levered equity IRR</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126.5%</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Unlevered project IRR</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37.5%</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Equity NPV @ 15%</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$109.8M</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MOIC / payback</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7.63x / 0.88 years</w:t>
            </w:r>
          </w:p>
        </w:tc>
      </w:tr>
      <w:tr>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UAE tax</w:t>
            </w:r>
          </w:p>
        </w:tc>
        <w:tc>
          <w:tcPr>
            <w:tcW w:type="dxa" w:w="2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 with GIDLR 30%-of-EBITDA interest cap (applied via MIN in the model)</w:t>
            </w:r>
          </w:p>
        </w:tc>
        <w:tc>
          <w:tcPr>
            <w:tcW w:type="dxa" w:w="201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Unit economics</w:t>
            </w:r>
          </w:p>
        </w:tc>
        <w:tc>
          <w:tcPr>
            <w:tcW w:type="dxa" w:w="33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$60,547/GPU CapEx; $5.01/GPU-hr revenue vs $0.89 cash cost; $0.14/M tokens cash cost</w:t>
            </w:r>
          </w:p>
        </w:tc>
      </w:tr>
    </w:tbl>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FFF2CC"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WHY THESE RETURNS ARE NOT COMPARABLE TO THE 128 MW REFERENCE</w:t>
            </w:r>
          </w:p>
          <w:p>
            <w:pPr>
              <w:spacing w:after="40"/>
            </w:pPr>
            <w:r>
              <w:rPr>
                <w:rFonts w:ascii="Arial" w:cs="Arial" w:eastAsia="Arial" w:hAnsi="Arial"/>
                <w:sz w:val="18"/>
                <w:szCs w:val="18"/>
              </w:rPr>
              <w:t xml:space="preserve">•  The test-fit equity IRR (126.5%) is an order above market because two inputs are aggressive: revenue of $85.6M/yr against $139.5M CapEx, and the CapEx basis itself (Section 15 cross-check).</w:t>
            </w:r>
          </w:p>
          <w:p>
            <w:pPr>
              <w:spacing w:after="40"/>
            </w:pPr>
            <w:r>
              <w:rPr>
                <w:rFonts w:ascii="Arial" w:cs="Arial" w:eastAsia="Arial" w:hAnsi="Arial"/>
                <w:sz w:val="18"/>
                <w:szCs w:val="18"/>
              </w:rPr>
              <w:t xml:space="preserve">•  Restating CapEx to the benchmark all-in range ($274M–$382M) or marking revenue to conservative $/GPU-hr pricing moves returns toward the market frame — the sensitivity engine in the workbook quantifies both in one edit.</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18 — Risk Management, Redundancy Topologies (N+1 vs 2N) &amp; Reliability</w:t>
      </w:r>
    </w:p>
    <w:p>
      <w:pPr>
        <w:spacing w:after="200" w:before="0"/>
      </w:pPr>
      <w:r>
        <w:rPr>
          <w:rFonts w:ascii="Arial" w:cs="Arial" w:eastAsia="Arial" w:hAnsi="Arial"/>
          <w:i/>
          <w:iCs/>
          <w:color w:val="595959"/>
          <w:sz w:val="20"/>
          <w:szCs w:val="20"/>
        </w:rPr>
        <w:t xml:space="preserve">Training jobs are checkpoint-fragile: seconds of power loss can burn hours of cluster time — buy redundancy where the workload actually needs it.</w:t>
      </w:r>
    </w:p>
    <w:p>
      <w:pPr>
        <w:pStyle w:val="ListParagraph"/>
        <w:numPr>
          <w:ilvl w:val="0"/>
          <w:numId w:val="2"/>
        </w:numPr>
        <w:spacing w:after="60"/>
      </w:pPr>
      <w:r>
        <w:rPr>
          <w:rFonts w:ascii="Arial" w:cs="Arial" w:eastAsia="Arial" w:hAnsi="Arial"/>
          <w:sz w:val="20"/>
          <w:szCs w:val="20"/>
        </w:rPr>
        <w:t xml:space="preserve">Electrical: distributed-redundant (block-matched N+1 with dual bus) covers AI training economics; full 2N is justified for inference estates carrying revenue SLAs, not for interruptible training capacity.</w:t>
      </w:r>
    </w:p>
    <w:p>
      <w:pPr>
        <w:pStyle w:val="ListParagraph"/>
        <w:numPr>
          <w:ilvl w:val="0"/>
          <w:numId w:val="2"/>
        </w:numPr>
        <w:spacing w:after="60"/>
      </w:pPr>
      <w:r>
        <w:rPr>
          <w:rFonts w:ascii="Arial" w:cs="Arial" w:eastAsia="Arial" w:hAnsi="Arial"/>
          <w:sz w:val="20"/>
          <w:szCs w:val="20"/>
        </w:rPr>
        <w:t xml:space="preserve">Cooling: N+1 at pump, CDU and dry-cooler level; dual-header secondary manifolds with quick-disconnects allow live tray swaps without draining rows.</w:t>
      </w:r>
    </w:p>
    <w:p>
      <w:pPr>
        <w:pStyle w:val="ListParagraph"/>
        <w:numPr>
          <w:ilvl w:val="0"/>
          <w:numId w:val="2"/>
        </w:numPr>
        <w:spacing w:after="60"/>
      </w:pPr>
      <w:r>
        <w:rPr>
          <w:rFonts w:ascii="Arial" w:cs="Arial" w:eastAsia="Arial" w:hAnsi="Arial"/>
          <w:sz w:val="20"/>
          <w:szCs w:val="20"/>
        </w:rPr>
        <w:t xml:space="preserve">Thermal ride-through: at 200+ kW per rack, loop thermal inertia is tens of seconds — pumps and controls belong on the UPS bus even where compute is not.</w:t>
      </w:r>
    </w:p>
    <w:p>
      <w:pPr>
        <w:pStyle w:val="ListParagraph"/>
        <w:numPr>
          <w:ilvl w:val="0"/>
          <w:numId w:val="2"/>
        </w:numPr>
        <w:spacing w:after="60"/>
      </w:pPr>
      <w:r>
        <w:rPr>
          <w:rFonts w:ascii="Arial" w:cs="Arial" w:eastAsia="Arial" w:hAnsi="Arial"/>
          <w:sz w:val="20"/>
          <w:szCs w:val="20"/>
        </w:rPr>
        <w:t xml:space="preserve">Checkpoint economics: at the test fit's $5.01/GPU-hr blended revenue, a one-hour cluster outage forgoes ~$11,551 of sold capacity — redundancy premiums should be priced against exactly this number.</w:t>
      </w:r>
    </w:p>
    <w:p>
      <w:pPr>
        <w:pStyle w:val="Heading1"/>
        <w:pageBreakBefore/>
        <w:spacing w:after="60"/>
      </w:pPr>
      <w:r>
        <w:rPr>
          <w:rFonts w:ascii="Arial" w:cs="Arial" w:eastAsia="Arial" w:hAnsi="Arial"/>
          <w:b/>
          <w:bCs/>
          <w:color w:val="1F4E78"/>
          <w:sz w:val="26"/>
          <w:szCs w:val="26"/>
        </w:rPr>
        <w:t xml:space="preserve">Section 19 — Regulatory, Environmental &amp; ESG Compliance</w:t>
      </w:r>
    </w:p>
    <w:p>
      <w:pPr>
        <w:spacing w:after="200" w:before="0"/>
      </w:pPr>
      <w:r>
        <w:rPr>
          <w:rFonts w:ascii="Arial" w:cs="Arial" w:eastAsia="Arial" w:hAnsi="Arial"/>
          <w:i/>
          <w:iCs/>
          <w:color w:val="595959"/>
          <w:sz w:val="20"/>
          <w:szCs w:val="20"/>
        </w:rPr>
        <w:t xml:space="preserve">Water, carbon and grid impact are now licensing gates, not reporting afterthoughts — engineer them as design inputs.</w:t>
      </w:r>
    </w:p>
    <w:p>
      <w:pPr>
        <w:pStyle w:val="ListParagraph"/>
        <w:numPr>
          <w:ilvl w:val="0"/>
          <w:numId w:val="2"/>
        </w:numPr>
        <w:spacing w:after="60"/>
      </w:pPr>
      <w:r>
        <w:rPr>
          <w:rFonts w:ascii="Arial" w:cs="Arial" w:eastAsia="Arial" w:hAnsi="Arial"/>
          <w:sz w:val="20"/>
          <w:szCs w:val="20"/>
        </w:rPr>
        <w:t xml:space="preserve">Water: target near-zero WUE with a bounded adiabatic budget (&lt;0.2 L/kWh); claiming absolute zero while running adiabatic assist hours is an audit finding waiting to happen.</w:t>
      </w:r>
    </w:p>
    <w:p>
      <w:pPr>
        <w:pStyle w:val="ListParagraph"/>
        <w:numPr>
          <w:ilvl w:val="0"/>
          <w:numId w:val="2"/>
        </w:numPr>
        <w:spacing w:after="60"/>
      </w:pPr>
      <w:r>
        <w:rPr>
          <w:rFonts w:ascii="Arial" w:cs="Arial" w:eastAsia="Arial" w:hAnsi="Arial"/>
          <w:sz w:val="20"/>
          <w:szCs w:val="20"/>
        </w:rPr>
        <w:t xml:space="preserve">Energy reporting: EU EED-style disclosure (PUE, WUE, heat-reuse readiness) is spreading beyond Europe; instrument for it from day one.</w:t>
      </w:r>
    </w:p>
    <w:p>
      <w:pPr>
        <w:pStyle w:val="ListParagraph"/>
        <w:numPr>
          <w:ilvl w:val="0"/>
          <w:numId w:val="2"/>
        </w:numPr>
        <w:spacing w:after="60"/>
      </w:pPr>
      <w:r>
        <w:rPr>
          <w:rFonts w:ascii="Arial" w:cs="Arial" w:eastAsia="Arial" w:hAnsi="Arial"/>
          <w:sz w:val="20"/>
          <w:szCs w:val="20"/>
        </w:rPr>
        <w:t xml:space="preserve">Refrigerants: high-temperature loops shrink or eliminate compressor plant — the remaining trim stages should use low-GWP refrigerants.</w:t>
      </w:r>
    </w:p>
    <w:p>
      <w:pPr>
        <w:pStyle w:val="ListParagraph"/>
        <w:numPr>
          <w:ilvl w:val="0"/>
          <w:numId w:val="2"/>
        </w:numPr>
        <w:spacing w:after="60"/>
      </w:pPr>
      <w:r>
        <w:rPr>
          <w:rFonts w:ascii="Arial" w:cs="Arial" w:eastAsia="Arial" w:hAnsi="Arial"/>
          <w:sz w:val="20"/>
          <w:szCs w:val="20"/>
        </w:rPr>
        <w:t xml:space="preserve">Embodied carbon: green steel and low-carbon concrete on the civil scope; grid-carbon siting (Section 13) dominates operational Scope 2.</w:t>
      </w:r>
    </w:p>
    <w:p>
      <w:pPr>
        <w:spacing w:after="120" w:before="0"/>
      </w:pPr>
      <w:r>
        <w:rPr>
          <w:rFonts w:ascii="Arial" w:cs="Arial" w:eastAsia="Arial" w:hAnsi="Arial"/>
          <w:sz w:val="20"/>
          <w:szCs w:val="20"/>
        </w:rP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FBFBF" w:sz="4"/>
              <w:left w:val="single" w:color="BFBFBF" w:sz="4"/>
              <w:bottom w:val="single" w:color="BFBFBF" w:sz="4"/>
              <w:right w:val="single" w:color="BFBFBF" w:sz="4"/>
            </w:tcBorders>
            <w:shd w:fill="E2EFDA" w:val="clear"/>
            <w:tcMar>
              <w:top w:type="dxa" w:w="80"/>
              <w:left w:type="dxa" w:w="140"/>
              <w:bottom w:type="dxa" w:w="80"/>
              <w:right w:type="dxa" w:w="140"/>
            </w:tcMar>
          </w:tcPr>
          <w:p>
            <w:pPr>
              <w:spacing w:after="80"/>
            </w:pPr>
            <w:r>
              <w:rPr>
                <w:rFonts w:ascii="Arial" w:cs="Arial" w:eastAsia="Arial" w:hAnsi="Arial"/>
                <w:b/>
                <w:bCs/>
                <w:color w:val="1F4E78"/>
                <w:sz w:val="19"/>
                <w:szCs w:val="19"/>
              </w:rPr>
              <w:t xml:space="preserve">ABU DHABI TEST FIT — 32x Vera Rubin NVL72 (from AI_Factory_Model.xlsx)</w:t>
            </w:r>
          </w:p>
          <w:p>
            <w:pPr>
              <w:spacing w:after="40"/>
            </w:pPr>
            <w:r>
              <w:rPr>
                <w:rFonts w:ascii="Arial" w:cs="Arial" w:eastAsia="Arial" w:hAnsi="Arial"/>
                <w:sz w:val="18"/>
                <w:szCs w:val="18"/>
              </w:rPr>
              <w:t xml:space="preserve">•  Water: 9,919 m³/yr (WUE 0.15 L/kWh) — a bounded, disclosed budget rather than a zero claim.</w:t>
            </w:r>
          </w:p>
          <w:p>
            <w:pPr>
              <w:spacing w:after="40"/>
            </w:pPr>
            <w:r>
              <w:rPr>
                <w:rFonts w:ascii="Arial" w:cs="Arial" w:eastAsia="Arial" w:hAnsi="Arial"/>
                <w:sz w:val="18"/>
                <w:szCs w:val="18"/>
              </w:rPr>
              <w:t xml:space="preserve">•  Scope 2: 25,788 tCO2/yr at 0.39 kgCO2/kWh grid intensity (Abu Dhabi nuclear + gas + solar mix, editable in the model).</w:t>
            </w:r>
          </w:p>
        </w:tc>
      </w:tr>
    </w:tbl>
    <w:p>
      <w:pPr>
        <w:spacing w:after="120" w:before="0"/>
      </w:pPr>
      <w:r>
        <w:rPr>
          <w:rFonts w:ascii="Arial" w:cs="Arial" w:eastAsia="Arial" w:hAnsi="Arial"/>
          <w:sz w:val="20"/>
          <w:szCs w:val="20"/>
        </w:rPr>
        <w:t xml:space="preserve"/>
      </w:r>
    </w:p>
    <w:p>
      <w:pPr>
        <w:pStyle w:val="Heading1"/>
        <w:pageBreakBefore/>
        <w:spacing w:after="60"/>
      </w:pPr>
      <w:r>
        <w:rPr>
          <w:rFonts w:ascii="Arial" w:cs="Arial" w:eastAsia="Arial" w:hAnsi="Arial"/>
          <w:b/>
          <w:bCs/>
          <w:color w:val="1F4E78"/>
          <w:sz w:val="26"/>
          <w:szCs w:val="26"/>
        </w:rPr>
        <w:t xml:space="preserve">Section 20 — Synthesis &amp; Strategic Directives</w:t>
      </w:r>
    </w:p>
    <w:p>
      <w:pPr>
        <w:spacing w:after="200" w:before="0"/>
      </w:pPr>
      <w:r>
        <w:rPr>
          <w:rFonts w:ascii="Arial" w:cs="Arial" w:eastAsia="Arial" w:hAnsi="Arial"/>
          <w:i/>
          <w:iCs/>
          <w:color w:val="595959"/>
          <w:sz w:val="20"/>
          <w:szCs w:val="20"/>
        </w:rPr>
        <w:t xml:space="preserve">Four directives, each carried by the numbers in this paper and executable through the companion model.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04"/>
        <w:gridCol w:w="2621"/>
        <w:gridCol w:w="6755"/>
      </w:tblGrid>
      <w:tr>
        <w:trPr>
          <w:tblHeader/>
        </w:trPr>
        <w:tc>
          <w:tcPr>
            <w:tcW w:type="dxa" w:w="504"/>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w:t>
            </w:r>
          </w:p>
        </w:tc>
        <w:tc>
          <w:tcPr>
            <w:tcW w:type="dxa" w:w="2621"/>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Directive</w:t>
            </w:r>
          </w:p>
        </w:tc>
        <w:tc>
          <w:tcPr>
            <w:tcW w:type="dxa" w:w="6755"/>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Substance</w:t>
            </w:r>
          </w:p>
        </w:tc>
      </w:tr>
      <w:tr>
        <w:tc>
          <w:tcPr>
            <w:tcW w:type="dxa" w:w="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w:t>
            </w:r>
          </w:p>
        </w:tc>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Standardize on S45 direct liquid cooling — honestly</w:t>
            </w:r>
          </w:p>
        </w:tc>
        <w:tc>
          <w:tcPr>
            <w:tcW w:type="dxa" w:w="6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45°C facility water, dry-first heat rejection, and explicitly engineered trim capacity for N=20yr extremes. Target annualized PUE 1.05–1.10 and a bounded, disclosed water budget.</w:t>
            </w:r>
          </w:p>
        </w:tc>
      </w:tr>
      <w:tr>
        <w:tc>
          <w:tcPr>
            <w:tcW w:type="dxa" w:w="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w:t>
            </w:r>
          </w:p>
        </w:tc>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Architect power for the next platform, not this one</w:t>
            </w:r>
          </w:p>
        </w:tc>
        <w:tc>
          <w:tcPr>
            <w:tcW w:type="dxa" w:w="6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415 V AC busway today with 800 VDC-ready raceways and electrical rooms; rack-level energy storage and firmware power smoothing as standard equipment.</w:t>
            </w:r>
          </w:p>
        </w:tc>
      </w:tr>
      <w:tr>
        <w:tc>
          <w:tcPr>
            <w:tcW w:type="dxa" w:w="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w:t>
            </w:r>
          </w:p>
        </w:tc>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Deploy in self-commissioning ~8 MW blocks</w:t>
            </w:r>
          </w:p>
        </w:tc>
        <w:tc>
          <w:tcPr>
            <w:tcW w:type="dxa" w:w="6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The 32-rack test-fit block (8.264 MW, 2,304 GPUs) is the repeatable unit: own CDU quads, own LV transformation, own commissioning close-out — 16 such blocks reach the 128 MW reference campus.</w:t>
            </w:r>
          </w:p>
        </w:tc>
      </w:tr>
      <w:tr>
        <w:tc>
          <w:tcPr>
            <w:tcW w:type="dxa" w:w="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w:t>
            </w:r>
          </w:p>
        </w:tc>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Underwrite with a live model, not a static deck</w:t>
            </w:r>
          </w:p>
        </w:tc>
        <w:tc>
          <w:tcPr>
            <w:tcW w:type="dxa" w:w="67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Every figure here traces to AI_Factory_Model.xlsx: location-linked ASHRAE compliance, physics-derived flow rates, GIDLR-capped tax, and 16-scenario tariff x leverage sensitivity. Challenge the two aggressive inputs (revenue, CapEx basis) before investment committee.</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Bottom line: gigascale AI infrastructure is won at the intersection of thermal physics, electrical architecture and disciplined project finance. The operators who engineer to verified numbers — and re-verify when vendors finalize silicon — will own the capacity the market is short of.</w:t>
      </w:r>
    </w:p>
    <w:p>
      <w:pPr>
        <w:pStyle w:val="Heading1"/>
        <w:pageBreakBefore/>
        <w:spacing w:after="60"/>
      </w:pPr>
      <w:r>
        <w:rPr>
          <w:rFonts w:ascii="Arial" w:cs="Arial" w:eastAsia="Arial" w:hAnsi="Arial"/>
          <w:b/>
          <w:bCs/>
          <w:color w:val="1F4E78"/>
          <w:sz w:val="26"/>
          <w:szCs w:val="26"/>
        </w:rPr>
        <w:t xml:space="preserve">Section A — Appendix — Corrections &amp; Verification Log (vs. draft v4.2)</w:t>
      </w:r>
    </w:p>
    <w:p>
      <w:pPr>
        <w:spacing w:after="200" w:before="0"/>
      </w:pPr>
      <w:r>
        <w:rPr>
          <w:rFonts w:ascii="Arial" w:cs="Arial" w:eastAsia="Arial" w:hAnsi="Arial"/>
          <w:i/>
          <w:iCs/>
          <w:color w:val="595959"/>
          <w:sz w:val="20"/>
          <w:szCs w:val="20"/>
        </w:rPr>
        <w:t xml:space="preserve">Every material change from the source draft, with the basis for the change.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03"/>
        <w:gridCol w:w="2823"/>
        <w:gridCol w:w="4335"/>
        <w:gridCol w:w="2319"/>
      </w:tblGrid>
      <w:tr>
        <w:trPr>
          <w:tblHeader/>
        </w:trPr>
        <w:tc>
          <w:tcPr>
            <w:tcW w:type="dxa" w:w="403"/>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w:t>
            </w:r>
          </w:p>
        </w:tc>
        <w:tc>
          <w:tcPr>
            <w:tcW w:type="dxa" w:w="2823"/>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Draft v4.2 claim</w:t>
            </w:r>
          </w:p>
        </w:tc>
        <w:tc>
          <w:tcPr>
            <w:tcW w:type="dxa" w:w="4335"/>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Corrected treatment</w:t>
            </w:r>
          </w:p>
        </w:tc>
        <w:tc>
          <w:tcPr>
            <w:tcW w:type="dxa" w:w="2319"/>
            <w:tcBorders>
              <w:top w:val="single" w:color="BFBFBF" w:sz="4"/>
              <w:left w:val="single" w:color="BFBFBF" w:sz="4"/>
              <w:bottom w:val="single" w:color="BFBFBF" w:sz="4"/>
              <w:right w:val="single" w:color="BFBFBF" w:sz="4"/>
            </w:tcBorders>
            <w:shd w:fill="1F4E78"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Basis</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Vera Rubin NVL72 rack power '190–230 kW'</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Not final; public reports span ~130–250 kW. Test fit designs to a 227 kW envelope.</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Vendor/press review, Jul 2026</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'45°C inlet eliminates chillers even at 48°C ambient'</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Physically wrong: dry coolers cannot cool below ambient + approach. Trim/adiabatic/setpoint-float required where N=20yr DB &gt; ~40°C.</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Heat-transfer physics</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330 LPM per 230 kW rack (ΔT 10K)</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Correct for water; PG25 needs ~348 LPM. Companion model previously carried 195 LPM (impossible at ΔT 10K) — now physics-derived (343.5 LPM at 227 kW).</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Q = ṁ·Cp·ΔT</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'&gt;98% heat captured by liquid'</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~90–95% typical; remainder to RDHx/room air. Verify per SKU.</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Industry deployment data</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5</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WUE = 0.00 (S5) vs WUE &lt; 0.05 (S19)</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Unified: near-zero target, test fit discloses 0.15 L/kWh adiabatic budget.</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Internal consistency</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6</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'NVIDIA DSX MaxLPS' power smoothing</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No such product verifiable. Replaced with GB300 PSU energy storage + power-smoothing firmware (real, vendor-documented).</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Vendor documentation</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dP/dt &gt; 100 kW/ms framing</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Restated by scale: μs (die), ms (rack), MW/s (cluster-to-grid).</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Engineering review</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Rack weight 1,800–2,000 kg stated as fact</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GB200 verified at ~1.36 t; VR 1.5–2.0 t is an estimate pending vendor data.</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Vendor spec</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9</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'Z=4' seismic compliance</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Obsolete UBC term; replaced with ASCE 7 seismic design category language.</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Code currency</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'1000% density increase in 36 months'</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Restated: ~10–15x per-rack increase since 2020.</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10–20 kW → 120–230 kW</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11</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HBM '22 TB/s' per rack</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22 TB/s is per-GPU HBM4 bandwidth; rack aggregate is ~1.6 PB/s.</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Vendor platform brief</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5–8M gal/MW-yr water savings</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Restated 4–8M gal/MW-yr, flagged as climate-dependent estimate.</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Industry ranges</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SMRs 'near-term'</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Restated: 2030s optionality; not credible for 2026–2028 bridging.</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Deployment timelines</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14</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128 MW finance matrix ($1.42B, $192M revenue)</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Arithmetic verified and retained as market reference; explicitly separated from test-fit model outputs.</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Recomputation</w:t>
            </w:r>
          </w:p>
        </w:tc>
      </w:tr>
      <w:t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15</w:t>
            </w:r>
          </w:p>
        </w:tc>
        <w:tc>
          <w:tcPr>
            <w:tcW w:type="dxa" w:w="2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No CapEx/IT reconciliation</w:t>
            </w:r>
          </w:p>
        </w:tc>
        <w:tc>
          <w:tcPr>
            <w:tcW w:type="dxa" w:w="43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Added: facility $82M–$101M + VR IT $192M–$282M vs model input $139.5M — flagged (Sections 15/17).</w:t>
            </w:r>
          </w:p>
        </w:tc>
        <w:tc>
          <w:tcPr>
            <w:tcW w:type="dxa" w:w="23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Rack pricing reports</w:t>
            </w:r>
          </w:p>
        </w:tc>
      </w:tr>
    </w:tbl>
    <w:p>
      <w:pPr>
        <w:pStyle w:val="Heading1"/>
        <w:pageBreakBefore/>
        <w:spacing w:after="60"/>
      </w:pPr>
      <w:r>
        <w:rPr>
          <w:rFonts w:ascii="Arial" w:cs="Arial" w:eastAsia="Arial" w:hAnsi="Arial"/>
          <w:b/>
          <w:bCs/>
          <w:color w:val="1F4E78"/>
          <w:sz w:val="26"/>
          <w:szCs w:val="26"/>
        </w:rPr>
        <w:t xml:space="preserve">Section B — Appendix — Sources &amp; Model Lineage</w:t>
      </w:r>
    </w:p>
    <w:p>
      <w:pPr>
        <w:spacing w:after="100" w:before="120"/>
      </w:pPr>
      <w:r>
        <w:rPr>
          <w:rFonts w:ascii="Arial" w:cs="Arial" w:eastAsia="Arial" w:hAnsi="Arial"/>
          <w:b/>
          <w:bCs/>
          <w:color w:val="1F4E78"/>
          <w:sz w:val="21"/>
          <w:szCs w:val="21"/>
        </w:rPr>
        <w:t xml:space="preserve">Model lineage</w:t>
      </w:r>
    </w:p>
    <w:p>
      <w:pPr>
        <w:pStyle w:val="ListParagraph"/>
        <w:numPr>
          <w:ilvl w:val="0"/>
          <w:numId w:val="2"/>
        </w:numPr>
        <w:spacing w:after="60"/>
      </w:pPr>
      <w:r>
        <w:rPr>
          <w:rFonts w:ascii="Arial" w:cs="Arial" w:eastAsia="Arial" w:hAnsi="Arial"/>
          <w:sz w:val="20"/>
          <w:szCs w:val="20"/>
        </w:rPr>
        <w:t xml:space="preserve">AI_Factory_Model.xlsx — companion workbook; all test-fit figures. 95/95 independent verification checks passed on the build used for this paper.</w:t>
      </w:r>
    </w:p>
    <w:p>
      <w:pPr>
        <w:pStyle w:val="ListParagraph"/>
        <w:numPr>
          <w:ilvl w:val="0"/>
          <w:numId w:val="2"/>
        </w:numPr>
        <w:spacing w:after="60"/>
      </w:pPr>
      <w:r>
        <w:rPr>
          <w:rFonts w:ascii="Arial" w:cs="Arial" w:eastAsia="Arial" w:hAnsi="Arial"/>
          <w:sz w:val="20"/>
          <w:szCs w:val="20"/>
        </w:rPr>
        <w:t xml:space="preserve">scripts/build_whitepaper_manifest.py — extracts every quantitative claim from the recalculated workbook into whitepaper_manifest.json.</w:t>
      </w:r>
    </w:p>
    <w:p>
      <w:pPr>
        <w:pStyle w:val="ListParagraph"/>
        <w:numPr>
          <w:ilvl w:val="0"/>
          <w:numId w:val="2"/>
        </w:numPr>
        <w:spacing w:after="60"/>
      </w:pPr>
      <w:r>
        <w:rPr>
          <w:rFonts w:ascii="Arial" w:cs="Arial" w:eastAsia="Arial" w:hAnsi="Arial"/>
          <w:sz w:val="20"/>
          <w:szCs w:val="20"/>
        </w:rPr>
        <w:t xml:space="preserve">scripts/test_whitepaper.py — fact-check harness: re-derives the manifest and asserts this document's numbers against it.</w:t>
      </w:r>
    </w:p>
    <w:p>
      <w:pPr>
        <w:spacing w:after="100" w:before="120"/>
      </w:pPr>
      <w:r>
        <w:rPr>
          <w:rFonts w:ascii="Arial" w:cs="Arial" w:eastAsia="Arial" w:hAnsi="Arial"/>
          <w:b/>
          <w:bCs/>
          <w:color w:val="1F4E78"/>
          <w:sz w:val="21"/>
          <w:szCs w:val="21"/>
        </w:rPr>
        <w:t xml:space="preserve">External sources (accessed July 2026)</w:t>
      </w:r>
    </w:p>
    <w:p>
      <w:pPr>
        <w:pStyle w:val="ListParagraph"/>
        <w:numPr>
          <w:ilvl w:val="0"/>
          <w:numId w:val="2"/>
        </w:numPr>
        <w:spacing w:after="60"/>
      </w:pPr>
      <w:r>
        <w:rPr>
          <w:rFonts w:ascii="Arial" w:cs="Arial" w:eastAsia="Arial" w:hAnsi="Arial"/>
          <w:sz w:val="20"/>
          <w:szCs w:val="20"/>
        </w:rPr>
        <w:t xml:space="preserve">NVIDIA Technical Blog — 'Inside the NVIDIA Vera Rubin Platform: Six New Chips, One AI Supercomputer' (platform specs, 45°C liquid cooling, energy storage).</w:t>
      </w:r>
    </w:p>
    <w:p>
      <w:pPr>
        <w:pStyle w:val="ListParagraph"/>
        <w:numPr>
          <w:ilvl w:val="0"/>
          <w:numId w:val="2"/>
        </w:numPr>
        <w:spacing w:after="60"/>
      </w:pPr>
      <w:r>
        <w:rPr>
          <w:rFonts w:ascii="Arial" w:cs="Arial" w:eastAsia="Arial" w:hAnsi="Arial"/>
          <w:sz w:val="20"/>
          <w:szCs w:val="20"/>
        </w:rPr>
        <w:t xml:space="preserve">NVIDIA Technical Blog — 'NVIDIA 800 VDC Architecture Will Power the Next Generation of AI Factories' (HVDC copper/busbar figures).</w:t>
      </w:r>
    </w:p>
    <w:p>
      <w:pPr>
        <w:pStyle w:val="ListParagraph"/>
        <w:numPr>
          <w:ilvl w:val="0"/>
          <w:numId w:val="2"/>
        </w:numPr>
        <w:spacing w:after="60"/>
      </w:pPr>
      <w:r>
        <w:rPr>
          <w:rFonts w:ascii="Arial" w:cs="Arial" w:eastAsia="Arial" w:hAnsi="Arial"/>
          <w:sz w:val="20"/>
          <w:szCs w:val="20"/>
        </w:rPr>
        <w:t xml:space="preserve">NVIDIA — Vera CPU product page; VideoCardz — Vera CPU detail (88 Olympus cores, 176 threads, 1.2 TB/s).</w:t>
      </w:r>
    </w:p>
    <w:p>
      <w:pPr>
        <w:pStyle w:val="ListParagraph"/>
        <w:numPr>
          <w:ilvl w:val="0"/>
          <w:numId w:val="2"/>
        </w:numPr>
        <w:spacing w:after="60"/>
      </w:pPr>
      <w:r>
        <w:rPr>
          <w:rFonts w:ascii="Arial" w:cs="Arial" w:eastAsia="Arial" w:hAnsi="Arial"/>
          <w:sz w:val="20"/>
          <w:szCs w:val="20"/>
        </w:rPr>
        <w:t xml:space="preserve">Lenovo Press LP2357; Sunbird DCIM — GB300 NVL72 power (132–142 kW, ~155 kW peak).</w:t>
      </w:r>
    </w:p>
    <w:p>
      <w:pPr>
        <w:pStyle w:val="ListParagraph"/>
        <w:numPr>
          <w:ilvl w:val="0"/>
          <w:numId w:val="2"/>
        </w:numPr>
        <w:spacing w:after="60"/>
      </w:pPr>
      <w:r>
        <w:rPr>
          <w:rFonts w:ascii="Arial" w:cs="Arial" w:eastAsia="Arial" w:hAnsi="Arial"/>
          <w:sz w:val="20"/>
          <w:szCs w:val="20"/>
        </w:rPr>
        <w:t xml:space="preserve">SemiAnalysis — GB200 NVL72 pricing/TCO ($3.1M rack, ~$3.9M all-in); Tom's Hardware — Vera Rubin NVL72 rack pricing up to $8.8M.</w:t>
      </w:r>
    </w:p>
    <w:p>
      <w:pPr>
        <w:pStyle w:val="ListParagraph"/>
        <w:numPr>
          <w:ilvl w:val="0"/>
          <w:numId w:val="2"/>
        </w:numPr>
        <w:spacing w:after="60"/>
      </w:pPr>
      <w:r>
        <w:rPr>
          <w:rFonts w:ascii="Arial" w:cs="Arial" w:eastAsia="Arial" w:hAnsi="Arial"/>
          <w:sz w:val="20"/>
          <w:szCs w:val="20"/>
        </w:rPr>
        <w:t xml:space="preserve">Spheron / Introl deployment guides — GB200 NVL72 ~120 kW nominal, 1.36 t rack weight.</w:t>
      </w:r>
    </w:p>
    <w:p>
      <w:pPr>
        <w:pStyle w:val="ListParagraph"/>
        <w:numPr>
          <w:ilvl w:val="0"/>
          <w:numId w:val="2"/>
        </w:numPr>
        <w:spacing w:after="60"/>
      </w:pPr>
      <w:r>
        <w:rPr>
          <w:rFonts w:ascii="Arial" w:cs="Arial" w:eastAsia="Arial" w:hAnsi="Arial"/>
          <w:sz w:val="20"/>
          <w:szCs w:val="20"/>
        </w:rPr>
        <w:t xml:space="preserve">ASHRAE 90.4-2019 and ASHRAE Fundamentals climatic data — cited as the verification source for the model's editable climate library (values in the library are reference estimates pending standard lookup).</w:t>
      </w:r>
    </w:p>
    <w:p>
      <w:pPr>
        <w:spacing w:after="120" w:before="0"/>
      </w:pPr>
      <w:r>
        <w:rPr>
          <w:rFonts w:ascii="Arial" w:cs="Arial" w:eastAsia="Arial" w:hAnsi="Arial"/>
          <w:sz w:val="20"/>
          <w:szCs w:val="20"/>
        </w:rPr>
        <w:t xml:space="preserve"/>
      </w:r>
    </w:p>
    <w:p>
      <w:pPr>
        <w:spacing w:after="120" w:before="0"/>
      </w:pPr>
      <w:r>
        <w:rPr>
          <w:rFonts w:ascii="Arial" w:cs="Arial" w:eastAsia="Arial" w:hAnsi="Arial"/>
          <w:i/>
          <w:iCs/>
          <w:color w:val="595959"/>
          <w:sz w:val="18"/>
          <w:szCs w:val="18"/>
        </w:rPr>
        <w:t xml:space="preserve">Prepared with AI assistance (Claude Code). All numeric claims tied to the manifest are machine-verified; vendor-roadmap items are flagged inline as estimates.</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Hyperscale AI Infrastructure White Paper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2026-07-24T11:47:20.737Z</dcterms:created>
  <dcterms:modified xsi:type="dcterms:W3CDTF">2026-07-24T11:47:20.737Z</dcterms:modified>
</cp:coreProperties>
</file>

<file path=docProps/custom.xml><?xml version="1.0" encoding="utf-8"?>
<Properties xmlns="http://schemas.openxmlformats.org/officeDocument/2006/custom-properties" xmlns:vt="http://schemas.openxmlformats.org/officeDocument/2006/docPropsVTypes"/>
</file>