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D" w:rsidRPr="0076149D" w:rsidRDefault="007F7A39" w:rsidP="0076149D">
      <w:pPr>
        <w:pStyle w:val="QAHeadingH11NotinTOC"/>
      </w:pPr>
      <w:r>
        <w:t>Module 8 Lab A</w:t>
      </w:r>
    </w:p>
    <w:p w:rsidR="007F7A39" w:rsidRDefault="007F7A39" w:rsidP="007C5630">
      <w:pPr>
        <w:pStyle w:val="QAHeadingH3MajorSub-heading"/>
      </w:pPr>
      <w:r>
        <w:t>Creating a SiteMap</w:t>
      </w:r>
    </w:p>
    <w:p w:rsidR="007C5630" w:rsidRPr="00FB371C" w:rsidRDefault="007C5630" w:rsidP="007C5630">
      <w:pPr>
        <w:pStyle w:val="QAHeadingH3MajorSub-heading"/>
        <w:rPr>
          <w:rStyle w:val="QABlueWords"/>
        </w:rPr>
      </w:pPr>
      <w:r w:rsidRPr="00FB371C">
        <w:rPr>
          <w:rStyle w:val="QABlueWords"/>
        </w:rPr>
        <w:t>Objective</w:t>
      </w:r>
    </w:p>
    <w:p w:rsidR="007C5630" w:rsidRPr="00FB371C" w:rsidRDefault="00AA19D1" w:rsidP="007C5630">
      <w:pPr>
        <w:pStyle w:val="QAHeadingH3MajorSub-heading"/>
        <w:rPr>
          <w:rStyle w:val="QABlueWords"/>
        </w:rPr>
      </w:pPr>
      <w:r>
        <w:rPr>
          <w:rStyle w:val="QABlueWords"/>
        </w:rPr>
        <w:t>Create a new App and SiteMap in Dynamics 365</w:t>
      </w:r>
    </w:p>
    <w:p w:rsidR="007C5630" w:rsidRPr="00FB371C" w:rsidRDefault="007C5630" w:rsidP="007C5630"/>
    <w:p w:rsidR="007C5630" w:rsidRDefault="007C5630" w:rsidP="007C5630">
      <w:pPr>
        <w:rPr>
          <w:rStyle w:val="QABlueWords"/>
        </w:rPr>
      </w:pPr>
      <w:r w:rsidRPr="00FB371C">
        <w:rPr>
          <w:rStyle w:val="QABlueWords"/>
        </w:rPr>
        <w:t>Scenario</w:t>
      </w:r>
    </w:p>
    <w:p w:rsidR="007C5630" w:rsidRPr="00FB371C" w:rsidRDefault="007C5630" w:rsidP="007C5630">
      <w:pPr>
        <w:rPr>
          <w:rStyle w:val="QABlueWords"/>
        </w:rPr>
      </w:pPr>
      <w:r>
        <w:rPr>
          <w:rStyle w:val="QABlueWords"/>
        </w:rPr>
        <w:t xml:space="preserve">We would like users to be </w:t>
      </w:r>
      <w:r w:rsidR="00AA19D1">
        <w:rPr>
          <w:rStyle w:val="QABlueWords"/>
        </w:rPr>
        <w:t>navigate to a custom app and then select to views BankAccount information from a custom Area within the App</w:t>
      </w:r>
      <w:r>
        <w:rPr>
          <w:rStyle w:val="QABlueWords"/>
        </w:rPr>
        <w:t>.</w:t>
      </w:r>
    </w:p>
    <w:p w:rsidR="005E438A" w:rsidRDefault="005E438A" w:rsidP="005E438A"/>
    <w:p w:rsidR="005E438A" w:rsidRDefault="005E438A" w:rsidP="005E438A"/>
    <w:p w:rsidR="007C5630" w:rsidRDefault="00BE4493" w:rsidP="007C5630">
      <w:pPr>
        <w:rPr>
          <w:rStyle w:val="QABlueWords"/>
        </w:rPr>
      </w:pPr>
      <w:r>
        <w:rPr>
          <w:rStyle w:val="QABlueWords"/>
        </w:rPr>
        <w:t>Step</w:t>
      </w:r>
      <w:r w:rsidR="00EE41F5">
        <w:rPr>
          <w:rStyle w:val="QABlueWords"/>
        </w:rPr>
        <w:t xml:space="preserve"> </w:t>
      </w:r>
      <w:r w:rsidR="00DA0CD1">
        <w:rPr>
          <w:rStyle w:val="QABlueWords"/>
        </w:rPr>
        <w:t>1</w:t>
      </w:r>
      <w:r w:rsidR="00F47DB8">
        <w:rPr>
          <w:rStyle w:val="QABlueWords"/>
        </w:rPr>
        <w:t>: Adding</w:t>
      </w:r>
      <w:r w:rsidR="00F270C0">
        <w:rPr>
          <w:rStyle w:val="QABlueWords"/>
        </w:rPr>
        <w:t xml:space="preserve"> the Webresources</w:t>
      </w:r>
      <w:r>
        <w:rPr>
          <w:rStyle w:val="QABlueWords"/>
        </w:rPr>
        <w:t xml:space="preserve"> (Custom icon</w:t>
      </w:r>
      <w:r w:rsidR="00F70F7F">
        <w:rPr>
          <w:rStyle w:val="QABlueWords"/>
        </w:rPr>
        <w:t>s for the UI)</w:t>
      </w:r>
    </w:p>
    <w:p w:rsidR="00F70F7F" w:rsidRDefault="00F70F7F" w:rsidP="00F70F7F">
      <w:pPr>
        <w:pStyle w:val="QANumbers"/>
        <w:numPr>
          <w:ilvl w:val="0"/>
          <w:numId w:val="0"/>
        </w:numPr>
        <w:ind w:left="28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964"/>
      </w:tblGrid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Pr="00BE4493" w:rsidRDefault="00BE4493" w:rsidP="00BE4493">
            <w:r>
              <w:t>1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284"/>
            </w:pPr>
            <w:r>
              <w:t>Create a new solution in Dynamics 365 named Module 8 and upload the icons located in the LAB A &gt; START &gt; Icons folder as follows</w:t>
            </w:r>
          </w:p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284"/>
            </w:pPr>
            <w:r w:rsidRPr="00BE4493">
              <w:rPr>
                <w:noProof/>
              </w:rPr>
              <w:drawing>
                <wp:inline distT="0" distB="0" distL="0" distR="0" wp14:anchorId="42AD7E90" wp14:editId="14DD3820">
                  <wp:extent cx="5035711" cy="35477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153" cy="355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284"/>
            </w:pPr>
          </w:p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284"/>
            </w:pPr>
            <w:r w:rsidRPr="00BE4493">
              <w:rPr>
                <w:noProof/>
              </w:rPr>
              <w:lastRenderedPageBreak/>
              <w:drawing>
                <wp:inline distT="0" distB="0" distL="0" distR="0" wp14:anchorId="7B0D4DD4" wp14:editId="486FB60D">
                  <wp:extent cx="5326112" cy="410019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240" cy="410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493" w:rsidRDefault="00BE4493" w:rsidP="00BE4493"/>
          <w:p w:rsidR="00BE4493" w:rsidRPr="00BE4493" w:rsidRDefault="004753C6" w:rsidP="00BE4493">
            <w:r>
              <w:t>Publish these customisations.</w:t>
            </w:r>
          </w:p>
        </w:tc>
      </w:tr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r>
              <w:lastRenderedPageBreak/>
              <w:t>2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284"/>
            </w:pPr>
            <w:r w:rsidRPr="00BE4493">
              <w:t>These webresources will be used to provide custom icons for our area and subarea</w:t>
            </w:r>
          </w:p>
        </w:tc>
      </w:tr>
    </w:tbl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F70F7F" w:rsidRPr="00F70F7F" w:rsidRDefault="00F70F7F" w:rsidP="00F70F7F">
      <w:pPr>
        <w:pStyle w:val="QANumbers"/>
        <w:numPr>
          <w:ilvl w:val="0"/>
          <w:numId w:val="0"/>
        </w:numPr>
        <w:ind w:left="568" w:hanging="284"/>
      </w:pPr>
    </w:p>
    <w:p w:rsidR="00EE41F5" w:rsidRDefault="00EE41F5" w:rsidP="00AF4430">
      <w:pPr>
        <w:pStyle w:val="QANumbers"/>
        <w:numPr>
          <w:ilvl w:val="0"/>
          <w:numId w:val="0"/>
        </w:numPr>
        <w:ind w:left="568" w:hanging="284"/>
      </w:pPr>
    </w:p>
    <w:p w:rsidR="00EE41F5" w:rsidRDefault="00EE41F5" w:rsidP="00AF4430">
      <w:pPr>
        <w:pStyle w:val="QANumbers"/>
        <w:numPr>
          <w:ilvl w:val="0"/>
          <w:numId w:val="0"/>
        </w:numPr>
        <w:ind w:left="568" w:hanging="284"/>
      </w:pPr>
    </w:p>
    <w:p w:rsidR="004570B4" w:rsidRDefault="004570B4" w:rsidP="00AF4430">
      <w:pPr>
        <w:pStyle w:val="QANumbers"/>
        <w:numPr>
          <w:ilvl w:val="0"/>
          <w:numId w:val="0"/>
        </w:numPr>
        <w:ind w:left="568" w:hanging="284"/>
      </w:pPr>
    </w:p>
    <w:p w:rsidR="00F270C0" w:rsidRDefault="00BE4493" w:rsidP="00EE41F5">
      <w:pPr>
        <w:pStyle w:val="QANumbers"/>
        <w:numPr>
          <w:ilvl w:val="0"/>
          <w:numId w:val="0"/>
        </w:numPr>
        <w:ind w:left="568" w:hanging="284"/>
        <w:rPr>
          <w:rStyle w:val="QABlueWords"/>
        </w:rPr>
      </w:pPr>
      <w:r>
        <w:rPr>
          <w:rStyle w:val="QABlueWords"/>
        </w:rPr>
        <w:t>Step</w:t>
      </w:r>
      <w:r w:rsidR="00EE41F5">
        <w:rPr>
          <w:rStyle w:val="QABlueWords"/>
        </w:rPr>
        <w:t xml:space="preserve"> 2</w:t>
      </w:r>
      <w:r w:rsidR="00EE41F5" w:rsidRPr="00EE41F5">
        <w:rPr>
          <w:rStyle w:val="QABlueWords"/>
        </w:rPr>
        <w:t>:</w:t>
      </w:r>
      <w:r w:rsidR="00EE41F5">
        <w:rPr>
          <w:rStyle w:val="QABlueWords"/>
        </w:rPr>
        <w:t xml:space="preserve"> Creating the App and editing the sitemap</w:t>
      </w:r>
    </w:p>
    <w:p w:rsidR="00EE41F5" w:rsidRPr="00EE41F5" w:rsidRDefault="00EE41F5" w:rsidP="00EE41F5">
      <w:pPr>
        <w:pStyle w:val="QANumbers"/>
        <w:numPr>
          <w:ilvl w:val="0"/>
          <w:numId w:val="0"/>
        </w:numPr>
        <w:ind w:left="568" w:hanging="284"/>
      </w:pPr>
    </w:p>
    <w:p w:rsidR="004570B4" w:rsidRDefault="004570B4" w:rsidP="00F270C0">
      <w:pPr>
        <w:pStyle w:val="QANumbers"/>
        <w:numPr>
          <w:ilvl w:val="0"/>
          <w:numId w:val="0"/>
        </w:numPr>
        <w:ind w:left="56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964"/>
      </w:tblGrid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t>1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</w:pPr>
            <w:r w:rsidRPr="00BE4493">
              <w:t>Edit the module 8 solution to add a new App</w:t>
            </w:r>
          </w:p>
          <w:p w:rsidR="004753C6" w:rsidRDefault="004753C6" w:rsidP="00BE4493">
            <w:pPr>
              <w:pStyle w:val="QANumbers"/>
              <w:numPr>
                <w:ilvl w:val="0"/>
                <w:numId w:val="0"/>
              </w:numPr>
            </w:pPr>
          </w:p>
          <w:p w:rsidR="004753C6" w:rsidRDefault="004753C6" w:rsidP="00BE4493">
            <w:pPr>
              <w:pStyle w:val="QANumbers"/>
              <w:numPr>
                <w:ilvl w:val="0"/>
                <w:numId w:val="0"/>
              </w:numPr>
            </w:pPr>
            <w:r w:rsidRPr="004753C6">
              <w:object w:dxaOrig="4275" w:dyaOrig="8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75pt;height:405pt" o:ole="">
                  <v:imagedata r:id="rId16" o:title=""/>
                </v:shape>
                <o:OLEObject Type="Embed" ProgID="PBrush" ShapeID="_x0000_i1025" DrawAspect="Content" ObjectID="_1569909658" r:id="rId17"/>
              </w:object>
            </w:r>
          </w:p>
          <w:p w:rsidR="004753C6" w:rsidRPr="00BE4493" w:rsidRDefault="004753C6" w:rsidP="00BE4493">
            <w:pPr>
              <w:pStyle w:val="QANumbers"/>
              <w:numPr>
                <w:ilvl w:val="0"/>
                <w:numId w:val="0"/>
              </w:numPr>
            </w:pPr>
          </w:p>
          <w:p w:rsidR="004753C6" w:rsidRDefault="004753C6" w:rsidP="004753C6">
            <w:pPr>
              <w:pStyle w:val="QANumbers"/>
              <w:numPr>
                <w:ilvl w:val="0"/>
                <w:numId w:val="0"/>
              </w:numPr>
              <w:ind w:left="284"/>
            </w:pPr>
            <w:r>
              <w:t xml:space="preserve">For the client </w:t>
            </w:r>
            <w:r w:rsidRPr="004753C6">
              <w:t>Select the Web Option and</w:t>
            </w:r>
            <w:r>
              <w:t xml:space="preserve"> deselect use default Image, instead select the Money32 Webresource Uploaded earlier.</w:t>
            </w:r>
          </w:p>
          <w:p w:rsidR="004753C6" w:rsidRDefault="004753C6" w:rsidP="004753C6">
            <w:pPr>
              <w:pStyle w:val="QANumbers"/>
              <w:numPr>
                <w:ilvl w:val="0"/>
                <w:numId w:val="0"/>
              </w:numPr>
              <w:ind w:left="284"/>
            </w:pPr>
          </w:p>
          <w:p w:rsidR="00BE4493" w:rsidRDefault="004753C6" w:rsidP="004753C6">
            <w:pPr>
              <w:pStyle w:val="QANumbers"/>
              <w:numPr>
                <w:ilvl w:val="0"/>
                <w:numId w:val="0"/>
              </w:numPr>
              <w:ind w:left="284"/>
            </w:pPr>
            <w:r w:rsidRPr="004753C6">
              <w:object w:dxaOrig="6180" w:dyaOrig="6885">
                <v:shape id="_x0000_i1027" type="#_x0000_t75" style="width:309pt;height:344.25pt" o:ole="">
                  <v:imagedata r:id="rId18" o:title=""/>
                </v:shape>
                <o:OLEObject Type="Embed" ProgID="PBrush" ShapeID="_x0000_i1027" DrawAspect="Content" ObjectID="_1569909659" r:id="rId19"/>
              </w:object>
            </w:r>
          </w:p>
          <w:p w:rsidR="004753C6" w:rsidRDefault="004753C6" w:rsidP="004753C6">
            <w:pPr>
              <w:pStyle w:val="QANumbers"/>
              <w:numPr>
                <w:ilvl w:val="0"/>
                <w:numId w:val="0"/>
              </w:numPr>
              <w:ind w:left="284"/>
            </w:pPr>
          </w:p>
          <w:p w:rsidR="004753C6" w:rsidRPr="00BE4493" w:rsidRDefault="004753C6" w:rsidP="004753C6">
            <w:pPr>
              <w:pStyle w:val="QANumbers"/>
              <w:numPr>
                <w:ilvl w:val="0"/>
                <w:numId w:val="0"/>
              </w:numPr>
              <w:ind w:left="284"/>
            </w:pPr>
            <w:r>
              <w:t>When complete click on the done button.</w:t>
            </w:r>
          </w:p>
        </w:tc>
      </w:tr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lastRenderedPageBreak/>
              <w:t>2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  <w:ind w:left="568" w:hanging="284"/>
            </w:pPr>
            <w:r w:rsidRPr="00BE4493">
              <w:t>From the components tab on the right, under artifacts select entities. Ensure that the checkbox associated with the bank account entity is selected.</w:t>
            </w:r>
          </w:p>
          <w:p w:rsidR="00EF3557" w:rsidRDefault="00EF3557" w:rsidP="00BE4493">
            <w:pPr>
              <w:pStyle w:val="QANumbers"/>
              <w:numPr>
                <w:ilvl w:val="0"/>
                <w:numId w:val="0"/>
              </w:numPr>
              <w:ind w:left="568" w:hanging="284"/>
            </w:pPr>
            <w:r>
              <w:t>Make sure to add All assets associated with this entity i.e. All forms views etc</w:t>
            </w:r>
          </w:p>
          <w:p w:rsidR="00EF3557" w:rsidRPr="00BE4493" w:rsidRDefault="00EF3557" w:rsidP="00BE4493">
            <w:pPr>
              <w:pStyle w:val="QANumbers"/>
              <w:numPr>
                <w:ilvl w:val="0"/>
                <w:numId w:val="0"/>
              </w:numPr>
              <w:ind w:left="568" w:hanging="284"/>
            </w:pPr>
            <w:r w:rsidRPr="00EF3557">
              <w:object w:dxaOrig="3060" w:dyaOrig="3510">
                <v:shape id="_x0000_i1035" type="#_x0000_t75" style="width:153pt;height:175.5pt" o:ole="">
                  <v:imagedata r:id="rId20" o:title=""/>
                </v:shape>
                <o:OLEObject Type="Embed" ProgID="PBrush" ShapeID="_x0000_i1035" DrawAspect="Content" ObjectID="_1569909660" r:id="rId21"/>
              </w:object>
            </w:r>
          </w:p>
        </w:tc>
      </w:tr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t>3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 w:rsidRPr="00BE4493">
              <w:t>Below this in the Entity Assests &gt; Forms area select all the forms associated with the Bank Account entity</w:t>
            </w:r>
            <w:r w:rsidR="00EF3557">
              <w:t xml:space="preserve"> </w:t>
            </w:r>
          </w:p>
          <w:p w:rsidR="00BE4493" w:rsidRPr="00BE4493" w:rsidRDefault="00BE4493" w:rsidP="00A80E3B"/>
        </w:tc>
      </w:tr>
      <w:tr w:rsidR="00BE4493" w:rsidRPr="001B6A6F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t>4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Pr="00BE4493" w:rsidRDefault="00BE4493" w:rsidP="00BE4493">
            <w:pPr>
              <w:pStyle w:val="QANumbers"/>
              <w:numPr>
                <w:ilvl w:val="0"/>
                <w:numId w:val="0"/>
              </w:numPr>
            </w:pPr>
            <w:r w:rsidRPr="00BE4493">
              <w:t>Save your changes.</w:t>
            </w:r>
          </w:p>
        </w:tc>
      </w:tr>
    </w:tbl>
    <w:p w:rsidR="00BE4493" w:rsidRDefault="00BE4493" w:rsidP="00BE4493">
      <w:pPr>
        <w:pStyle w:val="QANumbers"/>
        <w:numPr>
          <w:ilvl w:val="0"/>
          <w:numId w:val="0"/>
        </w:numPr>
        <w:ind w:left="568"/>
      </w:pPr>
    </w:p>
    <w:p w:rsidR="00A40E9A" w:rsidRDefault="00A40E9A" w:rsidP="00A40E9A">
      <w:pPr>
        <w:pStyle w:val="QANumbers"/>
        <w:numPr>
          <w:ilvl w:val="0"/>
          <w:numId w:val="0"/>
        </w:numPr>
        <w:ind w:left="568"/>
      </w:pPr>
    </w:p>
    <w:p w:rsidR="00EE41F5" w:rsidRDefault="00EE41F5" w:rsidP="00A40E9A">
      <w:pPr>
        <w:pStyle w:val="QANumbers"/>
        <w:numPr>
          <w:ilvl w:val="0"/>
          <w:numId w:val="0"/>
        </w:numPr>
        <w:ind w:left="56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964"/>
      </w:tblGrid>
      <w:tr w:rsidR="00BE4493" w:rsidRPr="00BE4493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t>5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</w:pPr>
            <w:r w:rsidRPr="00BE4493">
              <w:t>Now open the sitemap designer</w:t>
            </w:r>
          </w:p>
          <w:p w:rsidR="00BE4493" w:rsidRPr="00BE4493" w:rsidRDefault="00BE4493" w:rsidP="00BE4493">
            <w:pPr>
              <w:pStyle w:val="QANumbers"/>
              <w:numPr>
                <w:ilvl w:val="0"/>
                <w:numId w:val="0"/>
              </w:numPr>
            </w:pPr>
          </w:p>
          <w:p w:rsidR="00BE4493" w:rsidRPr="00BE4493" w:rsidRDefault="00BE4493" w:rsidP="00BE4493">
            <w:pPr>
              <w:pStyle w:val="QANumbers"/>
              <w:numPr>
                <w:ilvl w:val="0"/>
                <w:numId w:val="0"/>
              </w:numPr>
              <w:ind w:left="568"/>
            </w:pPr>
            <w:r w:rsidRPr="00BE4493">
              <w:rPr>
                <w:noProof/>
              </w:rPr>
              <w:drawing>
                <wp:inline distT="0" distB="0" distL="0" distR="0" wp14:anchorId="23830FB7" wp14:editId="75FEA071">
                  <wp:extent cx="4389120" cy="1097280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493" w:rsidRPr="00BE4493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t>6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</w:pPr>
            <w:r w:rsidRPr="00BE4493">
              <w:t>Modify the properties of the Area and Subarea  as shown below</w:t>
            </w:r>
            <w:r w:rsidR="00350F42">
              <w:t xml:space="preserve"> Use the png webresourses uploaded before. If the Money16.png does not appear to be available select Currency_16.png instead as shown below.</w:t>
            </w:r>
          </w:p>
          <w:p w:rsidR="00350F42" w:rsidRDefault="00350F42" w:rsidP="00BE4493">
            <w:pPr>
              <w:pStyle w:val="QANumbers"/>
              <w:numPr>
                <w:ilvl w:val="0"/>
                <w:numId w:val="0"/>
              </w:numPr>
            </w:pPr>
          </w:p>
          <w:p w:rsidR="00350F42" w:rsidRDefault="00350F42" w:rsidP="00BE4493">
            <w:pPr>
              <w:pStyle w:val="QANumbers"/>
              <w:numPr>
                <w:ilvl w:val="0"/>
                <w:numId w:val="0"/>
              </w:numPr>
            </w:pPr>
            <w:r w:rsidRPr="00350F42">
              <w:object w:dxaOrig="4230" w:dyaOrig="5670">
                <v:shape id="_x0000_i1089" type="#_x0000_t75" style="width:211.5pt;height:283.5pt" o:ole="">
                  <v:imagedata r:id="rId23" o:title=""/>
                </v:shape>
                <o:OLEObject Type="Embed" ProgID="PBrush" ShapeID="_x0000_i1089" DrawAspect="Content" ObjectID="_1569909661" r:id="rId24"/>
              </w:object>
            </w:r>
          </w:p>
          <w:p w:rsidR="00350F42" w:rsidRDefault="00350F42" w:rsidP="00BE4493">
            <w:pPr>
              <w:pStyle w:val="QANumbers"/>
              <w:numPr>
                <w:ilvl w:val="0"/>
                <w:numId w:val="0"/>
              </w:numPr>
            </w:pPr>
          </w:p>
          <w:p w:rsidR="00350F42" w:rsidRDefault="00350F42" w:rsidP="00BE4493">
            <w:pPr>
              <w:pStyle w:val="QANumbers"/>
              <w:numPr>
                <w:ilvl w:val="0"/>
                <w:numId w:val="0"/>
              </w:numPr>
            </w:pPr>
          </w:p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</w:pPr>
          </w:p>
          <w:p w:rsidR="00BE4493" w:rsidRDefault="00BE4493" w:rsidP="00BE4493">
            <w:pPr>
              <w:pStyle w:val="QANumbers"/>
              <w:numPr>
                <w:ilvl w:val="0"/>
                <w:numId w:val="0"/>
              </w:numPr>
            </w:pPr>
          </w:p>
          <w:p w:rsidR="00BE4493" w:rsidRDefault="00350F42" w:rsidP="00BE4493">
            <w:pPr>
              <w:pStyle w:val="QANumbers"/>
              <w:numPr>
                <w:ilvl w:val="0"/>
                <w:numId w:val="0"/>
              </w:numPr>
            </w:pPr>
            <w:r w:rsidRPr="00350F42">
              <w:object w:dxaOrig="3885" w:dyaOrig="9465">
                <v:shape id="_x0000_i1090" type="#_x0000_t75" style="width:194.25pt;height:473.25pt" o:ole="">
                  <v:imagedata r:id="rId25" o:title=""/>
                </v:shape>
                <o:OLEObject Type="Embed" ProgID="PBrush" ShapeID="_x0000_i1090" DrawAspect="Content" ObjectID="_1569909662" r:id="rId26"/>
              </w:object>
            </w:r>
          </w:p>
          <w:p w:rsidR="00BE4493" w:rsidRPr="00BE4493" w:rsidRDefault="00BE4493" w:rsidP="00BE4493">
            <w:pPr>
              <w:pStyle w:val="QANumbers"/>
              <w:numPr>
                <w:ilvl w:val="0"/>
                <w:numId w:val="0"/>
              </w:numPr>
            </w:pPr>
          </w:p>
        </w:tc>
      </w:tr>
      <w:tr w:rsidR="00BE4493" w:rsidRPr="00BE4493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>
            <w:r>
              <w:lastRenderedPageBreak/>
              <w:t>7</w:t>
            </w:r>
          </w:p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1CB" w:rsidRDefault="00BE4493" w:rsidP="00BE4493">
            <w:pPr>
              <w:pStyle w:val="QANumbers"/>
              <w:numPr>
                <w:ilvl w:val="0"/>
                <w:numId w:val="0"/>
              </w:numPr>
            </w:pPr>
            <w:r w:rsidRPr="00BE4493">
              <w:t xml:space="preserve">Save and publish your work </w:t>
            </w:r>
            <w:r w:rsidR="002841CB">
              <w:t xml:space="preserve">in the site map designer AND the Dynamics 365 solution </w:t>
            </w: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  <w:r w:rsidRPr="002841CB">
              <w:object w:dxaOrig="8370" w:dyaOrig="6180">
                <v:shape id="_x0000_i1091" type="#_x0000_t75" style="width:418.5pt;height:309pt" o:ole="">
                  <v:imagedata r:id="rId27" o:title=""/>
                </v:shape>
                <o:OLEObject Type="Embed" ProgID="PBrush" ShapeID="_x0000_i1091" DrawAspect="Content" ObjectID="_1569909663" r:id="rId28"/>
              </w:object>
            </w:r>
          </w:p>
          <w:p w:rsidR="00BE4493" w:rsidRDefault="002841CB" w:rsidP="00BE4493">
            <w:pPr>
              <w:pStyle w:val="QANumbers"/>
              <w:numPr>
                <w:ilvl w:val="0"/>
                <w:numId w:val="0"/>
              </w:numPr>
            </w:pPr>
            <w:r>
              <w:t xml:space="preserve"> T</w:t>
            </w:r>
            <w:r w:rsidR="00BE4493" w:rsidRPr="00BE4493">
              <w:t>hen navigate to the app via your browser and test that it appears in the list of available apps.</w:t>
            </w:r>
          </w:p>
          <w:p w:rsidR="00BE4493" w:rsidRDefault="002841CB" w:rsidP="00BE4493">
            <w:pPr>
              <w:pStyle w:val="QANumbers"/>
              <w:numPr>
                <w:ilvl w:val="0"/>
                <w:numId w:val="0"/>
              </w:numPr>
            </w:pPr>
            <w:r w:rsidRPr="002841CB">
              <w:object w:dxaOrig="4125" w:dyaOrig="4050">
                <v:shape id="_x0000_i1092" type="#_x0000_t75" style="width:206.25pt;height:202.5pt" o:ole="">
                  <v:imagedata r:id="rId29" o:title=""/>
                </v:shape>
                <o:OLEObject Type="Embed" ProgID="PBrush" ShapeID="_x0000_i1092" DrawAspect="Content" ObjectID="_1569909664" r:id="rId30"/>
              </w:object>
            </w: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  <w:r>
              <w:t>Click on the Tile to launch the App</w:t>
            </w: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</w:p>
          <w:p w:rsidR="002841CB" w:rsidRDefault="002841CB" w:rsidP="00BE4493">
            <w:pPr>
              <w:pStyle w:val="QANumbers"/>
              <w:numPr>
                <w:ilvl w:val="0"/>
                <w:numId w:val="0"/>
              </w:numPr>
            </w:pPr>
            <w:r w:rsidRPr="002841CB">
              <w:object w:dxaOrig="8070" w:dyaOrig="5355">
                <v:shape id="_x0000_i1094" type="#_x0000_t75" style="width:403.5pt;height:267.75pt" o:ole="">
                  <v:imagedata r:id="rId31" o:title=""/>
                </v:shape>
                <o:OLEObject Type="Embed" ProgID="PBrush" ShapeID="_x0000_i1094" DrawAspect="Content" ObjectID="_1569909665" r:id="rId32"/>
              </w:object>
            </w:r>
            <w:bookmarkStart w:id="0" w:name="_GoBack"/>
            <w:bookmarkEnd w:id="0"/>
          </w:p>
          <w:p w:rsidR="002841CB" w:rsidRPr="00BE4493" w:rsidRDefault="002841CB" w:rsidP="00BE4493">
            <w:pPr>
              <w:pStyle w:val="QANumbers"/>
              <w:numPr>
                <w:ilvl w:val="0"/>
                <w:numId w:val="0"/>
              </w:numPr>
            </w:pPr>
          </w:p>
        </w:tc>
      </w:tr>
      <w:tr w:rsidR="00BE4493" w:rsidRPr="00BE4493" w:rsidTr="00A80E3B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Default="00BE4493" w:rsidP="00A80E3B"/>
        </w:tc>
        <w:tc>
          <w:tcPr>
            <w:tcW w:w="8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93" w:rsidRPr="00BE4493" w:rsidRDefault="00BE4493" w:rsidP="00BE4493">
            <w:pPr>
              <w:pStyle w:val="QANumbers"/>
              <w:numPr>
                <w:ilvl w:val="0"/>
                <w:numId w:val="0"/>
              </w:numPr>
            </w:pPr>
          </w:p>
        </w:tc>
      </w:tr>
    </w:tbl>
    <w:p w:rsidR="00EE41F5" w:rsidRDefault="00EE41F5" w:rsidP="00A40E9A">
      <w:pPr>
        <w:pStyle w:val="QANumbers"/>
        <w:numPr>
          <w:ilvl w:val="0"/>
          <w:numId w:val="0"/>
        </w:numPr>
        <w:ind w:left="568"/>
      </w:pPr>
    </w:p>
    <w:p w:rsidR="00EE41F5" w:rsidRDefault="00EE41F5" w:rsidP="00A40E9A">
      <w:pPr>
        <w:pStyle w:val="QANumbers"/>
        <w:numPr>
          <w:ilvl w:val="0"/>
          <w:numId w:val="0"/>
        </w:numPr>
        <w:ind w:left="568"/>
      </w:pPr>
    </w:p>
    <w:p w:rsidR="00EE41F5" w:rsidRDefault="00EE41F5" w:rsidP="00A40E9A">
      <w:pPr>
        <w:pStyle w:val="QANumbers"/>
        <w:numPr>
          <w:ilvl w:val="0"/>
          <w:numId w:val="0"/>
        </w:numPr>
        <w:ind w:left="568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</w:pPr>
    </w:p>
    <w:p w:rsidR="001274E4" w:rsidRDefault="001274E4" w:rsidP="001274E4">
      <w:pPr>
        <w:pStyle w:val="QANumbers"/>
        <w:numPr>
          <w:ilvl w:val="0"/>
          <w:numId w:val="0"/>
        </w:numPr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1274E4" w:rsidRDefault="001274E4" w:rsidP="001274E4">
      <w:pPr>
        <w:pStyle w:val="QANumbers"/>
        <w:numPr>
          <w:ilvl w:val="0"/>
          <w:numId w:val="0"/>
        </w:numPr>
        <w:ind w:left="568" w:hanging="284"/>
      </w:pPr>
    </w:p>
    <w:p w:rsidR="008D04AB" w:rsidRDefault="008D04AB" w:rsidP="008D04AB">
      <w:pPr>
        <w:pStyle w:val="QANumbers"/>
        <w:numPr>
          <w:ilvl w:val="0"/>
          <w:numId w:val="0"/>
        </w:numPr>
        <w:ind w:left="284"/>
      </w:pPr>
    </w:p>
    <w:p w:rsidR="004728D1" w:rsidRDefault="004728D1">
      <w:pPr>
        <w:spacing w:before="0"/>
      </w:pPr>
      <w:r>
        <w:lastRenderedPageBreak/>
        <w:br w:type="page"/>
      </w:r>
    </w:p>
    <w:p w:rsidR="0000592A" w:rsidRDefault="0000592A" w:rsidP="0000592A"/>
    <w:sectPr w:rsidR="0000592A" w:rsidSect="0088181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8BE" w:rsidRDefault="004E28BE" w:rsidP="00350DF2">
      <w:r>
        <w:separator/>
      </w:r>
    </w:p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</w:endnote>
  <w:endnote w:type="continuationSeparator" w:id="0">
    <w:p w:rsidR="004E28BE" w:rsidRDefault="004E28BE" w:rsidP="00350DF2">
      <w:r>
        <w:continuationSeparator/>
      </w:r>
    </w:p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93" w:rsidRDefault="00BE4493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205619"/>
      <w:docPartObj>
        <w:docPartGallery w:val="Page Numbers (Bottom of Page)"/>
        <w:docPartUnique/>
      </w:docPartObj>
    </w:sdtPr>
    <w:sdtEndPr/>
    <w:sdtContent>
      <w:p w:rsidR="00881813" w:rsidRDefault="00881813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841CB"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93" w:rsidRDefault="00BE4493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8BE" w:rsidRDefault="004E28BE" w:rsidP="00350DF2">
      <w:r>
        <w:separator/>
      </w:r>
    </w:p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</w:footnote>
  <w:footnote w:type="continuationSeparator" w:id="0">
    <w:p w:rsidR="004E28BE" w:rsidRDefault="004E28BE" w:rsidP="00350DF2">
      <w:r>
        <w:continuationSeparator/>
      </w:r>
    </w:p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  <w:p w:rsidR="004E28BE" w:rsidRDefault="004E28BE" w:rsidP="00350D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93" w:rsidRDefault="00BE4493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93" w:rsidRPr="00F8262A" w:rsidRDefault="00BE4493" w:rsidP="00BE4493">
    <w:r w:rsidRPr="00F8262A">
      <w:t>Dynamics CRM and Dynamics 365 Fast Track for Developers</w:t>
    </w:r>
  </w:p>
  <w:p w:rsidR="00BE4493" w:rsidRDefault="00BE4493">
    <w:pPr>
      <w:spacing w:before="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93" w:rsidRDefault="00BE4493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62076EEB"/>
    <w:multiLevelType w:val="hybridMultilevel"/>
    <w:tmpl w:val="E4AAC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D"/>
    <w:rsid w:val="00002A60"/>
    <w:rsid w:val="0000472B"/>
    <w:rsid w:val="0000592A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6477"/>
    <w:rsid w:val="00016D6F"/>
    <w:rsid w:val="00017069"/>
    <w:rsid w:val="0002052B"/>
    <w:rsid w:val="00020F3B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454A"/>
    <w:rsid w:val="00065BD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453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274E4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3AB2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0AE8"/>
    <w:rsid w:val="00201298"/>
    <w:rsid w:val="002012F5"/>
    <w:rsid w:val="0020197C"/>
    <w:rsid w:val="00203B71"/>
    <w:rsid w:val="00203C1D"/>
    <w:rsid w:val="00206C1B"/>
    <w:rsid w:val="00206FF8"/>
    <w:rsid w:val="0020721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AD"/>
    <w:rsid w:val="00280923"/>
    <w:rsid w:val="00281558"/>
    <w:rsid w:val="00281B91"/>
    <w:rsid w:val="002829EB"/>
    <w:rsid w:val="002841C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1AC9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8E9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674"/>
    <w:rsid w:val="00350A56"/>
    <w:rsid w:val="00350DF2"/>
    <w:rsid w:val="00350F42"/>
    <w:rsid w:val="00351B16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6E05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5B9E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0B4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28D1"/>
    <w:rsid w:val="004753C6"/>
    <w:rsid w:val="0047713A"/>
    <w:rsid w:val="00482438"/>
    <w:rsid w:val="00483261"/>
    <w:rsid w:val="00487839"/>
    <w:rsid w:val="004909F4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28BE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4A3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1BEB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A70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B6FD9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E11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438A"/>
    <w:rsid w:val="005E6F8E"/>
    <w:rsid w:val="005F0AC3"/>
    <w:rsid w:val="005F0D56"/>
    <w:rsid w:val="005F2DEF"/>
    <w:rsid w:val="005F38AD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741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2FBD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3EF0"/>
    <w:rsid w:val="006C4421"/>
    <w:rsid w:val="006C4902"/>
    <w:rsid w:val="006C698C"/>
    <w:rsid w:val="006C7954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53"/>
    <w:rsid w:val="00700B84"/>
    <w:rsid w:val="0070116C"/>
    <w:rsid w:val="00701B4D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149D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3BD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630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7F7A39"/>
    <w:rsid w:val="00800B8B"/>
    <w:rsid w:val="008011BC"/>
    <w:rsid w:val="00801738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76B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3961"/>
    <w:rsid w:val="008C4BC4"/>
    <w:rsid w:val="008C4CE3"/>
    <w:rsid w:val="008C4F51"/>
    <w:rsid w:val="008D034E"/>
    <w:rsid w:val="008D04AB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0776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2A4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0E9A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53FC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66BEA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19D1"/>
    <w:rsid w:val="00AA2272"/>
    <w:rsid w:val="00AA2BC9"/>
    <w:rsid w:val="00AA2EC5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430"/>
    <w:rsid w:val="00AF4580"/>
    <w:rsid w:val="00AF4998"/>
    <w:rsid w:val="00AF4B89"/>
    <w:rsid w:val="00AF6F0B"/>
    <w:rsid w:val="00B005B7"/>
    <w:rsid w:val="00B00D5A"/>
    <w:rsid w:val="00B01C29"/>
    <w:rsid w:val="00B0407E"/>
    <w:rsid w:val="00B05B8D"/>
    <w:rsid w:val="00B0776C"/>
    <w:rsid w:val="00B119A3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5F97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4493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54A2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784"/>
    <w:rsid w:val="00C25B3D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31"/>
    <w:rsid w:val="00CC16E5"/>
    <w:rsid w:val="00CC3B26"/>
    <w:rsid w:val="00CC4132"/>
    <w:rsid w:val="00CC576B"/>
    <w:rsid w:val="00CC766C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5611"/>
    <w:rsid w:val="00D06771"/>
    <w:rsid w:val="00D06F8E"/>
    <w:rsid w:val="00D071E0"/>
    <w:rsid w:val="00D10BD0"/>
    <w:rsid w:val="00D11015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3AAF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E33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0CD1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148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15605"/>
    <w:rsid w:val="00E229C8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8C3"/>
    <w:rsid w:val="00E919E7"/>
    <w:rsid w:val="00E92A66"/>
    <w:rsid w:val="00E93DDB"/>
    <w:rsid w:val="00E955A8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0FD"/>
    <w:rsid w:val="00EE0308"/>
    <w:rsid w:val="00EE157E"/>
    <w:rsid w:val="00EE1BD1"/>
    <w:rsid w:val="00EE1DFD"/>
    <w:rsid w:val="00EE1F9B"/>
    <w:rsid w:val="00EE2341"/>
    <w:rsid w:val="00EE346E"/>
    <w:rsid w:val="00EE41F5"/>
    <w:rsid w:val="00EE4C45"/>
    <w:rsid w:val="00EE6620"/>
    <w:rsid w:val="00EE667F"/>
    <w:rsid w:val="00EE6937"/>
    <w:rsid w:val="00EF11F2"/>
    <w:rsid w:val="00EF1BCF"/>
    <w:rsid w:val="00EF3557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05ED3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17DE8"/>
    <w:rsid w:val="00F216C5"/>
    <w:rsid w:val="00F21FED"/>
    <w:rsid w:val="00F226FA"/>
    <w:rsid w:val="00F2472F"/>
    <w:rsid w:val="00F24A9C"/>
    <w:rsid w:val="00F24B35"/>
    <w:rsid w:val="00F24F8E"/>
    <w:rsid w:val="00F270C0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8B3"/>
    <w:rsid w:val="00F4603E"/>
    <w:rsid w:val="00F47DB8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0F7F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3E0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4810"/>
    <w:rsid w:val="00FE521B"/>
    <w:rsid w:val="00FE79B3"/>
    <w:rsid w:val="00FF0070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1EB963B3"/>
  <w15:docId w15:val="{A479D83E-B36F-4D0A-948E-A40C0C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91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Borders>
        <w:top w:val="single" w:sz="8" w:space="0" w:color="CA1E17" w:themeColor="accent2"/>
        <w:bottom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Borders>
        <w:top w:val="single" w:sz="8" w:space="0" w:color="7713B2" w:themeColor="accent4"/>
        <w:bottom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Borders>
        <w:top w:val="single" w:sz="8" w:space="0" w:color="18BF2B" w:themeColor="accent3"/>
        <w:bottom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989593" w:themeColor="text1" w:themeTint="80"/>
        <w:bottom w:val="single" w:sz="4" w:space="0" w:color="9895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Borders>
        <w:insideH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/>
  </w:style>
  <w:style w:type="table" w:customStyle="1" w:styleId="QATableActionPlan">
    <w:name w:val="QA Table Action Plan"/>
    <w:basedOn w:val="QATable2"/>
    <w:uiPriority w:val="99"/>
    <w:rsid w:val="006F3EEC"/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4.png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oleObject" Target="embeddings/oleObject3.bin"/><Relationship Id="rId34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oleObject" Target="embeddings/oleObject1.bin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oleObject" Target="embeddings/oleObject6.bin"/><Relationship Id="rId36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oleObject" Target="embeddings/oleObject7.bin"/><Relationship Id="rId35" Type="http://schemas.openxmlformats.org/officeDocument/2006/relationships/footer" Target="footer1.xml"/><Relationship Id="rId8" Type="http://schemas.openxmlformats.org/officeDocument/2006/relationships/numbering" Target="numbering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ul\IT_templates\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2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7.xml><?xml version="1.0" encoding="utf-8"?>
<ds:datastoreItem xmlns:ds="http://schemas.openxmlformats.org/officeDocument/2006/customXml" ds:itemID="{474E945F-9D36-4F28-9194-9EEB4DFE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0</TotalTime>
  <Pages>10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Admin</dc:creator>
  <cp:lastModifiedBy>Admin</cp:lastModifiedBy>
  <cp:revision>2</cp:revision>
  <cp:lastPrinted>2016-11-24T14:17:00Z</cp:lastPrinted>
  <dcterms:created xsi:type="dcterms:W3CDTF">2017-10-19T08:14:00Z</dcterms:created>
  <dcterms:modified xsi:type="dcterms:W3CDTF">2017-10-19T08:14:00Z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