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zab1a5ee1jf" w:id="0"/>
      <w:bookmarkEnd w:id="0"/>
      <w:r w:rsidDel="00000000" w:rsidR="00000000" w:rsidRPr="00000000">
        <w:rPr/>
        <w:drawing>
          <wp:inline distB="114300" distT="114300" distL="114300" distR="114300">
            <wp:extent cx="1395413" cy="516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bzbvzyvxq04" w:id="1"/>
      <w:bookmarkEnd w:id="1"/>
      <w:r w:rsidDel="00000000" w:rsidR="00000000" w:rsidRPr="00000000">
        <w:rPr>
          <w:rtl w:val="0"/>
        </w:rPr>
        <w:t xml:space="preserve">Template "soft", feito para ser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khtwjykdess" w:id="2"/>
      <w:bookmarkEnd w:id="2"/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45"/>
        <w:tblGridChange w:id="0">
          <w:tblGrid>
            <w:gridCol w:w="1560"/>
            <w:gridCol w:w="1560"/>
            <w:gridCol w:w="1560"/>
            <w:gridCol w:w="1560"/>
            <w:gridCol w:w="156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color w:val="cc0000"/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color w:val="1155cc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Informational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Access controls that are misconfigured or insufficient lead to unauthorized access to systems and data.</w:t>
        <w:br w:type="textWrapping"/>
        <w:t xml:space="preserve">Severity: Critical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Weak encryption algorithms or mismanaged cryptographic keys expose sensitive data to unauthorized access.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Flaws in input validation allow attackers to send malicious data to an interpreter, leading to data loss or corruption.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Deficiencies in software design or architecture that lead to significant vulnerabilities exploitable by attackers.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Improper implementation or maintenance of security settings leads to vulnerabilities that can be easily exploited.</w:t>
        <w:br w:type="textWrapping"/>
        <w:t xml:space="preserve">Severity: Medium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