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Ranking Institucional Simplificado — Microcaps</w:t>
      </w:r>
    </w:p>
    <w:p>
      <w:pPr>
        <w:jc w:val="center"/>
      </w:pPr>
      <w:r>
        <w:rPr>
          <w:b/>
          <w:sz w:val="28"/>
        </w:rPr>
        <w:t>Metodologia — Draft 0.1</w:t>
      </w:r>
    </w:p>
    <w:p>
      <w:pPr>
        <w:jc w:val="center"/>
      </w:pPr>
      <w:r>
        <w:t>CRYPTO PRO SUITE  |  Componente 23 — Ranking Institucional Simplificado</w:t>
        <w:br/>
      </w:r>
      <w:r>
        <w:t>Submetodologia: Microcaps  |  Status: Draft 0.1  |  22 de setembro de 2026</w:t>
      </w:r>
    </w:p>
    <w:p>
      <w:pPr>
        <w:pStyle w:val="Quote"/>
      </w:pPr>
      <w:r>
        <w:rPr>
          <w:i/>
        </w:rPr>
        <w:t>Este documento é normativo apenas para o escopo Microcaps. Não define, por extensão, a metodologia integral do Ranking Institucional Simplificado.</w:t>
      </w:r>
    </w:p>
    <w:p>
      <w:pPr>
        <w:pStyle w:val="Heading1"/>
      </w:pPr>
      <w:r>
        <w:t>1. Objetivo e constructo</w:t>
      </w:r>
    </w:p>
    <w:p>
      <w:r>
        <w:t>A submetodologia Microcaps avalia, de forma relativa e baseada em evidências, a qualidade e a evolução de oportunidades microcap dentro de narrativas previamente definidas.</w:t>
      </w:r>
    </w:p>
    <w:p>
      <w:r>
        <w:rPr>
          <w:b/>
        </w:rPr>
        <w:t>Constructo:</w:t>
      </w:r>
      <w:r>
        <w:t xml:space="preserve"> o Ranking mede a qualidade relativa e a evolução da evidência de uma oportunidade microcap dentro de uma narrativa.</w:t>
      </w:r>
    </w:p>
    <w:p>
      <w:r>
        <w:t>Não é um motor de previsão de preço, retorno, MFE, market timing ou alpha.</w:t>
      </w:r>
    </w:p>
    <w:p>
      <w:r>
        <w:rPr>
          <w:b/>
        </w:rPr>
        <w:t>Princípio metodológico:</w:t>
      </w:r>
      <w:r>
        <w:t xml:space="preserve"> Price = outcome, não Fundamental Ground Truth.</w:t>
      </w:r>
    </w:p>
    <w:p>
      <w:pPr>
        <w:pStyle w:val="Heading1"/>
      </w:pPr>
      <w:r>
        <w:t>2. Dependência de narrativa</w:t>
      </w:r>
    </w:p>
    <w:p>
      <w:r>
        <w:t>A seleção e avaliação de Narrative Opportunity ocorrem upstream, fora do cálculo do Potential. O Ranking recebe a narrativa como contexto de entrada e avalia o Asset–Narrative Fit.</w:t>
      </w:r>
    </w:p>
    <w:p>
      <w:pPr>
        <w:pStyle w:val="Heading1"/>
      </w:pPr>
      <w:r>
        <w:t>3. Universo e elegibilidade</w:t>
      </w:r>
    </w:p>
    <w:p>
      <w:r>
        <w:t>O universo Microcaps utiliza como referência market cap inferior a US$100 milhões no checkpoint de elegibilidade.</w:t>
      </w:r>
    </w:p>
    <w:p>
      <w:r>
        <w:rPr>
          <w:b/>
        </w:rPr>
        <w:t>Princípio de seleção:</w:t>
      </w:r>
      <w:r>
        <w:t xml:space="preserve"> elegibilidade permissiva; scoring seletivo.</w:t>
      </w:r>
    </w:p>
    <w:p>
      <w:r>
        <w:t>Ordem preferencial de prova PIT:</w:t>
      </w:r>
    </w:p>
    <w:p>
      <w:pPr>
        <w:pStyle w:val="ListNumber"/>
      </w:pPr>
      <w:r>
        <w:t>Direct PIT Snapshot</w:t>
      </w:r>
    </w:p>
    <w:p>
      <w:pPr>
        <w:pStyle w:val="ListNumber"/>
      </w:pPr>
      <w:r>
        <w:t>Circulating Supply Reconstruction</w:t>
      </w:r>
    </w:p>
    <w:p>
      <w:pPr>
        <w:pStyle w:val="ListNumber"/>
      </w:pPr>
      <w:r>
        <w:t>Conservative Upper Bound</w:t>
      </w:r>
    </w:p>
    <w:p>
      <w:pPr>
        <w:pStyle w:val="ListNumber"/>
      </w:pPr>
      <w:r>
        <w:t>Inference somente quando o ativo estiver materialmente distante do cutoff</w:t>
      </w:r>
    </w:p>
    <w:p>
      <w:r>
        <w:t>Ativos na zona de aproximadamente US$90–110 milhões exigem reconstrução reforçada. Eligibility Confidence é registrada separadamente de Scoring Confidence.</w:t>
      </w:r>
    </w:p>
    <w:p>
      <w:r>
        <w:t>Futuros/perpétuos não são filtro de elegibilidade.</w:t>
      </w:r>
    </w:p>
    <w:p>
      <w:r>
        <w:t>A identidade canônica do ativo deve ser resolvida antes de reconstruções históricas. Ticker collision, contract migration, redenomination, merger, chain migration, token replacement e discontinuation devem ser registrados.</w:t>
      </w:r>
    </w:p>
    <w:p>
      <w:pPr>
        <w:pStyle w:val="Heading1"/>
      </w:pPr>
      <w:r>
        <w:t>4. Potential Score</w:t>
      </w:r>
    </w:p>
    <w:p>
      <w:r>
        <w:t>Cada dimensão recebe nota de 0 a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Dimensão</w:t>
            </w:r>
          </w:p>
        </w:tc>
        <w:tc>
          <w:tcPr>
            <w:tcW w:type="dxa" w:w="4896"/>
          </w:tcPr>
          <w:p>
            <w:r>
              <w:rPr>
                <w:b/>
              </w:rPr>
              <w:t>Peso</w:t>
            </w:r>
          </w:p>
        </w:tc>
      </w:tr>
      <w:tr>
        <w:tc>
          <w:tcPr>
            <w:tcW w:type="dxa" w:w="4896"/>
          </w:tcPr>
          <w:p>
            <w:r>
              <w:t>Asset–Narrative Fit</w:t>
            </w:r>
          </w:p>
        </w:tc>
        <w:tc>
          <w:tcPr>
            <w:tcW w:type="dxa" w:w="4896"/>
          </w:tcPr>
          <w:p>
            <w:r>
              <w:t>25%</w:t>
            </w:r>
          </w:p>
        </w:tc>
      </w:tr>
      <w:tr>
        <w:tc>
          <w:tcPr>
            <w:tcW w:type="dxa" w:w="4896"/>
          </w:tcPr>
          <w:p>
            <w:r>
              <w:t>Project Quality / Differentiation</w:t>
            </w:r>
          </w:p>
        </w:tc>
        <w:tc>
          <w:tcPr>
            <w:tcW w:type="dxa" w:w="4896"/>
          </w:tcPr>
          <w:p>
            <w:r>
              <w:t>25%</w:t>
            </w:r>
          </w:p>
        </w:tc>
      </w:tr>
      <w:tr>
        <w:tc>
          <w:tcPr>
            <w:tcW w:type="dxa" w:w="4896"/>
          </w:tcPr>
          <w:p>
            <w:r>
              <w:t>Emerging Attention</w:t>
            </w:r>
          </w:p>
        </w:tc>
        <w:tc>
          <w:tcPr>
            <w:tcW w:type="dxa" w:w="4896"/>
          </w:tcPr>
          <w:p>
            <w:r>
              <w:t>15%</w:t>
            </w:r>
          </w:p>
        </w:tc>
      </w:tr>
      <w:tr>
        <w:tc>
          <w:tcPr>
            <w:tcW w:type="dxa" w:w="4896"/>
          </w:tcPr>
          <w:p>
            <w:r>
              <w:t>Early Traction</w:t>
            </w:r>
          </w:p>
        </w:tc>
        <w:tc>
          <w:tcPr>
            <w:tcW w:type="dxa" w:w="4896"/>
          </w:tcPr>
          <w:p>
            <w:r>
              <w:t>20%</w:t>
            </w:r>
          </w:p>
        </w:tc>
      </w:tr>
      <w:tr>
        <w:tc>
          <w:tcPr>
            <w:tcW w:type="dxa" w:w="4896"/>
          </w:tcPr>
          <w:p>
            <w:r>
              <w:t>Asymmetry / Relative Valuation</w:t>
            </w:r>
          </w:p>
        </w:tc>
        <w:tc>
          <w:tcPr>
            <w:tcW w:type="dxa" w:w="4896"/>
          </w:tcPr>
          <w:p>
            <w:r>
              <w:t>15%</w:t>
            </w:r>
          </w:p>
        </w:tc>
      </w:tr>
    </w:tbl>
    <w:p>
      <w:r>
        <w:t>Potential = 20 × (0,25 Fit + 0,25 Quality + 0,15 Attention + 0,20 Traction + 0,15 Asymmetry)</w:t>
      </w:r>
    </w:p>
    <w:p>
      <w:pPr>
        <w:pStyle w:val="Heading2"/>
      </w:pPr>
      <w:r>
        <w:t>4.1 Fit Gate</w:t>
      </w:r>
    </w:p>
    <w:p>
      <w:r>
        <w:t>Asset–Narrative Fit deve ser ≥3/5.</w:t>
      </w:r>
    </w:p>
    <w:p>
      <w:pPr>
        <w:pStyle w:val="Heading2"/>
      </w:pPr>
      <w:r>
        <w:t>4.2 Regras de interpretação</w:t>
      </w:r>
    </w:p>
    <w:p>
      <w:pPr>
        <w:pStyle w:val="ListBullet"/>
      </w:pPr>
      <w:r>
        <w:t>Fundamental State pertence primariamente a Quality.</w:t>
      </w:r>
    </w:p>
    <w:p>
      <w:pPr>
        <w:pStyle w:val="ListBullet"/>
      </w:pPr>
      <w:r>
        <w:t>Mudança ou crescimento verificável do estado pode alimentar Traction.</w:t>
      </w:r>
    </w:p>
    <w:p>
      <w:pPr>
        <w:pStyle w:val="ListBullet"/>
      </w:pPr>
      <w:r>
        <w:t>Attention não equivale a Traction.</w:t>
      </w:r>
    </w:p>
    <w:p>
      <w:pPr>
        <w:pStyle w:val="ListBullet"/>
      </w:pPr>
      <w:r>
        <w:t>Catalyst não equivale automaticamente a Attention.</w:t>
      </w:r>
    </w:p>
    <w:p>
      <w:pPr>
        <w:pStyle w:val="ListBullet"/>
      </w:pPr>
      <w:r>
        <w:t>Baixo market cap não implica automaticamente alta Asymmetry.</w:t>
      </w:r>
    </w:p>
    <w:p>
      <w:pPr>
        <w:pStyle w:val="ListBullet"/>
      </w:pPr>
      <w:r>
        <w:t>Diluição e estrutura de oferta devem ser consideradas em Asymmetry.</w:t>
      </w:r>
    </w:p>
    <w:p>
      <w:pPr>
        <w:pStyle w:val="ListBullet"/>
      </w:pPr>
      <w:r>
        <w:t>Um mesmo datum deve possuir um primary scoring home, evitando double counting.</w:t>
      </w:r>
    </w:p>
    <w:p>
      <w:pPr>
        <w:pStyle w:val="ListBullet"/>
      </w:pPr>
      <w:r>
        <w:t>Unknown é NA, nunca nota neutra arbitrária.</w:t>
      </w:r>
    </w:p>
    <w:p>
      <w:pPr>
        <w:pStyle w:val="Heading1"/>
      </w:pPr>
      <w:r>
        <w:t>5. Evidence Roles</w:t>
      </w:r>
    </w:p>
    <w:p>
      <w:r>
        <w:t>As evidências são classificadas em:</w:t>
      </w:r>
    </w:p>
    <w:p>
      <w:pPr>
        <w:pStyle w:val="ListBullet"/>
      </w:pPr>
      <w:r>
        <w:t>Fundamental State</w:t>
      </w:r>
    </w:p>
    <w:p>
      <w:pPr>
        <w:pStyle w:val="ListBullet"/>
      </w:pPr>
      <w:r>
        <w:t>Fundamental Growth</w:t>
      </w:r>
    </w:p>
    <w:p>
      <w:pPr>
        <w:pStyle w:val="ListBullet"/>
      </w:pPr>
      <w:r>
        <w:t>Catalyst</w:t>
      </w:r>
    </w:p>
    <w:p>
      <w:pPr>
        <w:pStyle w:val="ListBullet"/>
      </w:pPr>
      <w:r>
        <w:t>Attention</w:t>
      </w:r>
    </w:p>
    <w:p>
      <w:pPr>
        <w:pStyle w:val="ListBullet"/>
      </w:pPr>
      <w:r>
        <w:t>Traction</w:t>
      </w:r>
    </w:p>
    <w:p>
      <w:pPr>
        <w:pStyle w:val="ListBullet"/>
      </w:pPr>
      <w:r>
        <w:t>Token Economics</w:t>
      </w:r>
    </w:p>
    <w:p>
      <w:pPr>
        <w:pStyle w:val="ListBullet"/>
      </w:pPr>
      <w:r>
        <w:t>Market Data</w:t>
      </w:r>
    </w:p>
    <w:p>
      <w:pPr>
        <w:pStyle w:val="ListBullet"/>
      </w:pPr>
      <w:r>
        <w:t>Risk</w:t>
      </w:r>
    </w:p>
    <w:p>
      <w:pPr>
        <w:pStyle w:val="ListBullet"/>
      </w:pPr>
      <w:r>
        <w:t>Eligibility</w:t>
      </w:r>
    </w:p>
    <w:p>
      <w:r>
        <w:t>A frequência de publicação de um projeto não pode elevar mecanicamente o Potential.</w:t>
      </w:r>
    </w:p>
    <w:p>
      <w:pPr>
        <w:pStyle w:val="Heading1"/>
      </w:pPr>
      <w:r>
        <w:t>6. Governança temporal e Data Source Registry</w:t>
      </w:r>
    </w:p>
    <w:p>
      <w:r>
        <w:t>Cada datum relevante deve registrar, quando aplicável:</w:t>
      </w:r>
    </w:p>
    <w:p>
      <w:pPr>
        <w:pStyle w:val="ListBullet"/>
      </w:pPr>
      <w:r>
        <w:t>value</w:t>
      </w:r>
    </w:p>
    <w:p>
      <w:pPr>
        <w:pStyle w:val="ListBullet"/>
      </w:pPr>
      <w:r>
        <w:t>as_of</w:t>
      </w:r>
    </w:p>
    <w:p>
      <w:pPr>
        <w:pStyle w:val="ListBullet"/>
      </w:pPr>
      <w:r>
        <w:t>published_at</w:t>
      </w:r>
    </w:p>
    <w:p>
      <w:pPr>
        <w:pStyle w:val="ListBullet"/>
      </w:pPr>
      <w:r>
        <w:t>effective_at</w:t>
      </w:r>
    </w:p>
    <w:p>
      <w:pPr>
        <w:pStyle w:val="ListBullet"/>
      </w:pPr>
      <w:r>
        <w:t>observed_at</w:t>
      </w:r>
    </w:p>
    <w:p>
      <w:pPr>
        <w:pStyle w:val="ListBullet"/>
      </w:pPr>
      <w:r>
        <w:t>known_at_score_time</w:t>
      </w:r>
    </w:p>
    <w:p>
      <w:pPr>
        <w:pStyle w:val="ListBullet"/>
      </w:pPr>
      <w:r>
        <w:t>source</w:t>
      </w:r>
    </w:p>
    <w:p>
      <w:pPr>
        <w:pStyle w:val="ListBullet"/>
      </w:pPr>
      <w:r>
        <w:t>source_role</w:t>
      </w:r>
    </w:p>
    <w:p>
      <w:pPr>
        <w:pStyle w:val="ListBullet"/>
      </w:pPr>
      <w:r>
        <w:t>authority</w:t>
      </w:r>
    </w:p>
    <w:p>
      <w:pPr>
        <w:pStyle w:val="ListBullet"/>
      </w:pPr>
      <w:r>
        <w:t>temporal_fidelity</w:t>
      </w:r>
    </w:p>
    <w:p>
      <w:pPr>
        <w:pStyle w:val="ListBullet"/>
      </w:pPr>
      <w:r>
        <w:t>granularity</w:t>
      </w:r>
    </w:p>
    <w:p>
      <w:pPr>
        <w:pStyle w:val="ListBullet"/>
      </w:pPr>
      <w:r>
        <w:t>coverage_start</w:t>
      </w:r>
    </w:p>
    <w:p>
      <w:pPr>
        <w:pStyle w:val="ListBullet"/>
      </w:pPr>
      <w:r>
        <w:t>derivation</w:t>
      </w:r>
    </w:p>
    <w:p>
      <w:pPr>
        <w:pStyle w:val="ListBullet"/>
      </w:pPr>
      <w:r>
        <w:t>conflict_flag</w:t>
      </w:r>
    </w:p>
    <w:p>
      <w:pPr>
        <w:pStyle w:val="ListBullet"/>
      </w:pPr>
      <w:r>
        <w:t>confidence</w:t>
      </w:r>
    </w:p>
    <w:p>
      <w:pPr>
        <w:pStyle w:val="ListBullet"/>
      </w:pPr>
      <w:r>
        <w:t>contract/token identity</w:t>
      </w:r>
    </w:p>
    <w:p>
      <w:pPr>
        <w:pStyle w:val="ListBullet"/>
      </w:pPr>
      <w:r>
        <w:t>lifecycle events</w:t>
      </w:r>
    </w:p>
    <w:p>
      <w:r>
        <w:t>Uma evidência só pode afetar o checkpoint se estiver dentro do conjunto informacional publicamente disponível naquele momento. effective_at &lt;= checkpoint não é suficiente: known_at_score_time deve ser verdadeiro.</w:t>
      </w:r>
    </w:p>
    <w:p>
      <w:pPr>
        <w:pStyle w:val="Heading1"/>
      </w:pPr>
      <w:r>
        <w:t>7. Confidence</w:t>
      </w:r>
    </w:p>
    <w:p>
      <w:r>
        <w:t>A arquitetura separa:</w:t>
      </w:r>
    </w:p>
    <w:p>
      <w:pPr>
        <w:pStyle w:val="ListNumber"/>
      </w:pPr>
      <w:r>
        <w:t>Datum Confidence</w:t>
      </w:r>
    </w:p>
    <w:p>
      <w:pPr>
        <w:pStyle w:val="ListNumber"/>
      </w:pPr>
      <w:r>
        <w:t>Dimension Confidence</w:t>
      </w:r>
    </w:p>
    <w:p>
      <w:pPr>
        <w:pStyle w:val="ListNumber"/>
      </w:pPr>
      <w:r>
        <w:t>Scoring Confidence</w:t>
      </w:r>
    </w:p>
    <w:p>
      <w:pPr>
        <w:pStyle w:val="ListNumber"/>
      </w:pPr>
      <w:r>
        <w:t>Eligibility Confidence</w:t>
      </w:r>
    </w:p>
    <w:p>
      <w:r>
        <w:t>Missing data reduz Confidence; não deve ser convertido em nota artificial.</w:t>
      </w:r>
    </w:p>
    <w:p>
      <w:pPr>
        <w:pStyle w:val="Heading1"/>
      </w:pPr>
      <w:r>
        <w:t>8. Risk, Operability e Lifecycle</w:t>
      </w:r>
    </w:p>
    <w:p>
      <w:r>
        <w:t>Risk, Operability e Lifecycle State são dimensões paralelas ao Potential e não devem reordená-lo automaticamente.</w:t>
      </w:r>
    </w:p>
    <w:p>
      <w:r>
        <w:t>Risk Trend: Improving / Stable / Increasing. Confidence Trend: Improving / Stable / Declining.</w:t>
      </w:r>
    </w:p>
    <w:p>
      <w:r>
        <w:t>Lifecycle events devem ser tratados explicitamente. Não há transferência automática de score entre predecessor e successor asset. Coverage gap não equivale a ausência econômica real.</w:t>
      </w:r>
    </w:p>
    <w:p>
      <w:pPr>
        <w:pStyle w:val="Heading1"/>
      </w:pPr>
      <w:r>
        <w:t>9. Potential Trend — state machine</w:t>
      </w:r>
    </w:p>
    <w:p>
      <w:r>
        <w:t>Estados:</w:t>
      </w:r>
    </w:p>
    <w:p>
      <w:pPr>
        <w:pStyle w:val="ListBullet"/>
      </w:pPr>
      <w:r>
        <w:t>Stable</w:t>
      </w:r>
    </w:p>
    <w:p>
      <w:pPr>
        <w:pStyle w:val="ListBullet"/>
      </w:pPr>
      <w:r>
        <w:t>Emerging</w:t>
      </w:r>
    </w:p>
    <w:p>
      <w:pPr>
        <w:pStyle w:val="ListBullet"/>
      </w:pPr>
      <w:r>
        <w:t>Accelerating</w:t>
      </w:r>
    </w:p>
    <w:p>
      <w:pPr>
        <w:pStyle w:val="ListBullet"/>
      </w:pPr>
      <w:r>
        <w:t>Cooling</w:t>
      </w:r>
    </w:p>
    <w:p>
      <w:pPr>
        <w:pStyle w:val="ListBullet"/>
      </w:pPr>
      <w:r>
        <w:t>Fading</w:t>
      </w:r>
    </w:p>
    <w:p>
      <w:pPr>
        <w:pStyle w:val="ListBullet"/>
      </w:pPr>
      <w:r>
        <w:t>Deteriorating</w:t>
      </w:r>
    </w:p>
    <w:p>
      <w:pPr>
        <w:pStyle w:val="ListBullet"/>
      </w:pPr>
      <w:r>
        <w:t>Stabilizing</w:t>
      </w:r>
    </w:p>
    <w:p>
      <w:r>
        <w:t>Definições operacionais:</w:t>
      </w:r>
    </w:p>
    <w:p>
      <w:pPr>
        <w:pStyle w:val="ListBullet"/>
      </w:pPr>
      <w:r>
        <w:t>Stable: tese aproximadamente constante; ausência de nova evidência normalmente implica carry-forward.</w:t>
      </w:r>
    </w:p>
    <w:p>
      <w:pPr>
        <w:pStyle w:val="ListBullet"/>
      </w:pPr>
      <w:r>
        <w:t>Emerging: nova evidência admissível melhora materialmente a tese.</w:t>
      </w:r>
    </w:p>
    <w:p>
      <w:pPr>
        <w:pStyle w:val="ListBullet"/>
      </w:pPr>
      <w:r>
        <w:t>Accelerating: evidências sucessivas demonstram fortalecimento crescente.</w:t>
      </w:r>
    </w:p>
    <w:p>
      <w:pPr>
        <w:pStyle w:val="ListBullet"/>
      </w:pPr>
      <w:r>
        <w:t>Cooling: evidência de desaceleração de crescimento anteriormente observado.</w:t>
      </w:r>
    </w:p>
    <w:p>
      <w:pPr>
        <w:pStyle w:val="ListBullet"/>
      </w:pPr>
      <w:r>
        <w:t>Fading: perda material de força da tese anterior.</w:t>
      </w:r>
    </w:p>
    <w:p>
      <w:pPr>
        <w:pStyle w:val="ListBullet"/>
      </w:pPr>
      <w:r>
        <w:t>Deteriorating: nova evidência contradiz ou destrói componente material da tese.</w:t>
      </w:r>
    </w:p>
    <w:p>
      <w:pPr>
        <w:pStyle w:val="ListBullet"/>
      </w:pPr>
      <w:r>
        <w:t>Stabilizing: após deterioração, surgem evidências de adaptação ou contenção sem restabelecer ainda uma trajetória Emerging/Accelerating.</w:t>
      </w:r>
    </w:p>
    <w:p>
      <w:r>
        <w:t>Ausência de notícias não constitui evidência negativa por si só.</w:t>
      </w:r>
    </w:p>
    <w:p>
      <w:pPr>
        <w:pStyle w:val="Heading1"/>
      </w:pPr>
      <w:r>
        <w:t>10. Detection Framework</w:t>
      </w:r>
    </w:p>
    <w:p>
      <w:pPr>
        <w:pStyle w:val="Heading2"/>
      </w:pPr>
      <w:r>
        <w:t>10.1 Emerging Candidate</w:t>
      </w:r>
    </w:p>
    <w:p>
      <w:r>
        <w:t>Primeiro checkpoint que satisfaz Emerging com nova evidência admissível.</w:t>
      </w:r>
    </w:p>
    <w:p>
      <w:pPr>
        <w:pStyle w:val="Heading2"/>
      </w:pPr>
      <w:r>
        <w:t>10.2 Confirmed Detection</w:t>
      </w:r>
    </w:p>
    <w:p>
      <w:r>
        <w:t>Exige nova evidência admissível posterior ao Candidate que sustente Emerging ou produza Accelerating. Carry-forward, preço ou mera listagem não confirmam Candidate.</w:t>
      </w:r>
    </w:p>
    <w:p>
      <w:pPr>
        <w:pStyle w:val="Heading2"/>
      </w:pPr>
      <w:r>
        <w:t>10.3 Candidate Expiration</w:t>
      </w:r>
    </w:p>
    <w:p>
      <w:r>
        <w:t>O Candidate permanece ativo por três checkpoints mensais subsequentes (~90 dias). Sem confirmação, torna-se Expired Unconfirmed. Nova evidência posterior pode iniciar novo Candidate com nova data.</w:t>
      </w:r>
    </w:p>
    <w:p>
      <w:pPr>
        <w:pStyle w:val="Heading2"/>
      </w:pPr>
      <w:r>
        <w:t>10.4 Detection Date</w:t>
      </w:r>
    </w:p>
    <w:p>
      <w:r>
        <w:t>Uma vez confirmado, o Detection Date permanece a data do primeiro Candidate. Candidate não confirmado não recebe Detection Date definitiva.</w:t>
      </w:r>
    </w:p>
    <w:p>
      <w:pPr>
        <w:pStyle w:val="Heading1"/>
      </w:pPr>
      <w:r>
        <w:t>11. Fundamental Event Ledger</w:t>
      </w:r>
    </w:p>
    <w:p>
      <w:r>
        <w:t>O ledger é infraestrutura de auditoria independente do score. Campos mínimos:</w:t>
      </w:r>
    </w:p>
    <w:p>
      <w:pPr>
        <w:pStyle w:val="ListBullet"/>
      </w:pPr>
      <w:r>
        <w:t>asset_id</w:t>
      </w:r>
    </w:p>
    <w:p>
      <w:pPr>
        <w:pStyle w:val="ListBullet"/>
      </w:pPr>
      <w:r>
        <w:t>event_date</w:t>
      </w:r>
    </w:p>
    <w:p>
      <w:pPr>
        <w:pStyle w:val="ListBullet"/>
      </w:pPr>
      <w:r>
        <w:t>published_at</w:t>
      </w:r>
    </w:p>
    <w:p>
      <w:pPr>
        <w:pStyle w:val="ListBullet"/>
      </w:pPr>
      <w:r>
        <w:t>known_at</w:t>
      </w:r>
    </w:p>
    <w:p>
      <w:pPr>
        <w:pStyle w:val="ListBullet"/>
      </w:pPr>
      <w:r>
        <w:t>event_type</w:t>
      </w:r>
    </w:p>
    <w:p>
      <w:pPr>
        <w:pStyle w:val="ListBullet"/>
      </w:pPr>
      <w:r>
        <w:t>evidence_role</w:t>
      </w:r>
    </w:p>
    <w:p>
      <w:pPr>
        <w:pStyle w:val="ListBullet"/>
      </w:pPr>
      <w:r>
        <w:t>materiality</w:t>
      </w:r>
    </w:p>
    <w:p>
      <w:pPr>
        <w:pStyle w:val="ListBullet"/>
      </w:pPr>
      <w:r>
        <w:t>direction</w:t>
      </w:r>
    </w:p>
    <w:p>
      <w:pPr>
        <w:pStyle w:val="ListBullet"/>
      </w:pPr>
      <w:r>
        <w:t>source_quality</w:t>
      </w:r>
    </w:p>
    <w:p>
      <w:pPr>
        <w:pStyle w:val="ListBullet"/>
      </w:pPr>
      <w:r>
        <w:t>fundamental_change</w:t>
      </w:r>
    </w:p>
    <w:p>
      <w:pPr>
        <w:pStyle w:val="ListBullet"/>
      </w:pPr>
      <w:r>
        <w:t>lifecycle_event</w:t>
      </w:r>
    </w:p>
    <w:p>
      <w:r>
        <w:t>O ledger distingue mudança fundamental de movimento de preço e serve de base para avaliações futuras de Detected e Missed Fundamental Changes.</w:t>
      </w:r>
    </w:p>
    <w:p>
      <w:pPr>
        <w:pStyle w:val="Heading1"/>
      </w:pPr>
      <w:r>
        <w:t>12. Outputs mínimos</w:t>
      </w:r>
    </w:p>
    <w:p>
      <w:r>
        <w:t>Uma execução Microcaps deve produzir, por ativo elegível:</w:t>
      </w:r>
    </w:p>
    <w:p>
      <w:pPr>
        <w:pStyle w:val="ListBullet"/>
      </w:pPr>
      <w:r>
        <w:t>Potential Score</w:t>
      </w:r>
    </w:p>
    <w:p>
      <w:pPr>
        <w:pStyle w:val="ListBullet"/>
      </w:pPr>
      <w:r>
        <w:t>cinco notas dimensionais</w:t>
      </w:r>
    </w:p>
    <w:p>
      <w:pPr>
        <w:pStyle w:val="ListBullet"/>
      </w:pPr>
      <w:r>
        <w:t>Potential Trend</w:t>
      </w:r>
    </w:p>
    <w:p>
      <w:pPr>
        <w:pStyle w:val="ListBullet"/>
      </w:pPr>
      <w:r>
        <w:t>Confidence e Confidence Trend</w:t>
      </w:r>
    </w:p>
    <w:p>
      <w:pPr>
        <w:pStyle w:val="ListBullet"/>
      </w:pPr>
      <w:r>
        <w:t>Risk Profile e Risk Trend</w:t>
      </w:r>
    </w:p>
    <w:p>
      <w:pPr>
        <w:pStyle w:val="ListBullet"/>
      </w:pPr>
      <w:r>
        <w:t>Operability</w:t>
      </w:r>
    </w:p>
    <w:p>
      <w:pPr>
        <w:pStyle w:val="ListBullet"/>
      </w:pPr>
      <w:r>
        <w:t>Lifecycle State/flags</w:t>
      </w:r>
    </w:p>
    <w:p>
      <w:pPr>
        <w:pStyle w:val="ListBullet"/>
      </w:pPr>
      <w:r>
        <w:t>Candidate/Confirmation/Expiration status, quando aplicável</w:t>
      </w:r>
    </w:p>
    <w:p>
      <w:pPr>
        <w:pStyle w:val="ListBullet"/>
      </w:pPr>
      <w:r>
        <w:t>evidências e fontes auditáveis</w:t>
      </w:r>
    </w:p>
    <w:p>
      <w:pPr>
        <w:pStyle w:val="ListBullet"/>
      </w:pPr>
      <w:r>
        <w:t>Eligibility Confidence</w:t>
      </w:r>
    </w:p>
    <w:p>
      <w:pPr>
        <w:pStyle w:val="ListBullet"/>
      </w:pPr>
      <w:r>
        <w:t>Scoring Confidence</w:t>
      </w:r>
    </w:p>
    <w:p>
      <w:r>
        <w:t>O Radar de Ativos Promissores pode destacar ativos Emerging/Accelerating sem necessariamente reproduzir o topo do ranking.</w:t>
      </w:r>
    </w:p>
    <w:p>
      <w:r>
        <w:t>Uma execução deve preservar identificação da metodologia aplicada (methodology_version) e o checkpoint temporal correspondente.</w:t>
      </w:r>
    </w:p>
    <w:p>
      <w:pPr>
        <w:pStyle w:val="Heading1"/>
      </w:pPr>
      <w:r>
        <w:t>13. Validation Layer</w:t>
      </w:r>
    </w:p>
    <w:p>
      <w:r>
        <w:t>Preço, retorno, MFE, MAE, EOY Return e Time-to-MFE pertencem exclusivamente à camada de validação. Não entram no Potential.</w:t>
      </w:r>
    </w:p>
    <w:p>
      <w:r>
        <w:t>Price ≠ Fundamental Ground Truth.</w:t>
      </w:r>
    </w:p>
    <w:p>
      <w:pPr>
        <w:pStyle w:val="Heading1"/>
      </w:pPr>
      <w:r>
        <w:t>14. Limitações e non-claims</w:t>
      </w:r>
    </w:p>
    <w:p>
      <w:r>
        <w:t>A metodologia não reivindica:</w:t>
      </w:r>
    </w:p>
    <w:p>
      <w:pPr>
        <w:pStyle w:val="ListBullet"/>
      </w:pPr>
      <w:r>
        <w:t>previsão consistente de retorno</w:t>
      </w:r>
    </w:p>
    <w:p>
      <w:pPr>
        <w:pStyle w:val="ListBullet"/>
      </w:pPr>
      <w:r>
        <w:t>ordenação futura de MFE</w:t>
      </w:r>
    </w:p>
    <w:p>
      <w:pPr>
        <w:pStyle w:val="ListBullet"/>
      </w:pPr>
      <w:r>
        <w:t>alpha estatisticamente demonstrado</w:t>
      </w:r>
    </w:p>
    <w:p>
      <w:pPr>
        <w:pStyle w:val="ListBullet"/>
      </w:pPr>
      <w:r>
        <w:t>antecipação sistemática da reprecificação de mercado</w:t>
      </w:r>
    </w:p>
    <w:p>
      <w:pPr>
        <w:pStyle w:val="ListBullet"/>
      </w:pPr>
      <w:r>
        <w:t>valorização futura como consequência de Potential elevado</w:t>
      </w:r>
    </w:p>
    <w:p>
      <w:pPr>
        <w:pStyle w:val="Heading1"/>
      </w:pPr>
      <w:r>
        <w:t>15. Fronteiras arquiteturais</w:t>
      </w:r>
    </w:p>
    <w:p>
      <w:pPr>
        <w:pStyle w:val="ListBullet"/>
      </w:pPr>
      <w:r>
        <w:t>Narrative Opportunity permanece upstream, na camada de rotação.</w:t>
      </w:r>
    </w:p>
    <w:p>
      <w:pPr>
        <w:pStyle w:val="ListBullet"/>
      </w:pPr>
      <w:r>
        <w:t>Diversificação e regra de um ativo por narrativa não pertencem ao Ranking; são responsabilidade futura do CSE/Portfolio Construction.</w:t>
      </w:r>
    </w:p>
    <w:p>
      <w:pPr>
        <w:pStyle w:val="ListBullet"/>
      </w:pPr>
      <w:r>
        <w:t>Futures/perpetuals não integram elegibilidade.</w:t>
      </w:r>
    </w:p>
    <w:p>
      <w:pPr>
        <w:pStyle w:val="ListBullet"/>
      </w:pPr>
      <w:r>
        <w:t>O Ranking Microcaps permanece independente dos demais módulos.</w:t>
      </w:r>
    </w:p>
    <w:p>
      <w:pPr>
        <w:pStyle w:val="Heading1"/>
      </w:pPr>
      <w:r>
        <w:t>16. Itens fora do núcleo deste Draft</w:t>
      </w:r>
    </w:p>
    <w:p>
      <w:r>
        <w:t>Pesquisa/experimental: Market Recognition Date, Recognition Lead, MFE Lead, Persistence Quality, Detection Rate com ground truth fundamental independente.</w:t>
      </w:r>
    </w:p>
    <w:p>
      <w:r>
        <w:t>Backlog: MEL — Methodology Evaluation Layer. O MEL deve detectar, diagnosticar e propor; nunca alterar automaticamente pesos ou regras. Sua inclusão na primeira versão do CRYPTO PRO SUITE será decidida após o fechamento dos demais módulos.</w:t>
      </w:r>
    </w:p>
    <w:p>
      <w:pPr>
        <w:pStyle w:val="Heading1"/>
      </w:pPr>
      <w:r>
        <w:t>17. Governança de mudança</w:t>
      </w:r>
    </w:p>
    <w:p>
      <w:r>
        <w:t>Os pesos 25/25/15/20/15 e demais regras consolidadas não devem ser recalibrados retrospectivamente a partir dos outcomes dos pilotos. Mudanças futuras exigem justificativa, registro de decisão e nova versão metodológica. Execuções históricas preservam a methodology_version aplicável.</w:t>
      </w:r>
    </w:p>
    <w:p>
      <w:pPr>
        <w:pStyle w:val="Heading1"/>
      </w:pPr>
      <w:r>
        <w:t>18. Proveniência</w:t>
      </w:r>
    </w:p>
    <w:p>
      <w:r>
        <w:t>A base empírica e as decisões que sustentam este Draft estão registradas em 03-componentes/23-ranking/validacao/microcaps/, especialmente no documento Ranking Institucional Simplificado — Microcaps — Validação Metodológica — Draft 0.1.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CRYPTO PRO SUITE — Ranking Institucional Simplificado — Microcaps — Metodologia Draft 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