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Ranking Institucional Simplificado</w:t>
        <w:br/>
      </w:r>
      <w:r>
        <w:rPr>
          <w:sz w:val="36"/>
        </w:rPr>
        <w:t>Validação Metodológica e Encerramento dos Pilotos</w:t>
      </w:r>
    </w:p>
    <w:p>
      <w:pPr>
        <w:jc w:val="center"/>
      </w:pPr>
      <w:r>
        <w:rPr>
          <w:b/>
          <w:sz w:val="24"/>
        </w:rPr>
        <w:t>CRYPTO PRO SUITE</w:t>
      </w:r>
    </w:p>
    <w:p>
      <w:pPr>
        <w:jc w:val="center"/>
      </w:pPr>
      <w:r>
        <w:t>Draft 0.1  •  22 de setembro de 2026</w:t>
      </w:r>
    </w:p>
    <w:p/>
    <w:p>
      <w:pPr>
        <w:jc w:val="center"/>
      </w:pPr>
      <w:r>
        <w:rPr>
          <w:i/>
        </w:rPr>
        <w:t>Finalidade: consolidar os resultados dos três pilotos de validação, registrar as decisões metodológicas decorrentes e estabelecer o estado de maturidade do Ranking antes da formalização de sua metodologia-base.</w:t>
      </w:r>
    </w:p>
    <w:p>
      <w:r>
        <w:br w:type="page"/>
      </w:r>
    </w:p>
    <w:p>
      <w:pPr>
        <w:pStyle w:val="Heading1"/>
        <w:keepNext/>
      </w:pPr>
      <w:r>
        <w:t>1. Status do documento</w:t>
      </w:r>
    </w:p>
    <w:p>
      <w:r>
        <w:t>Este documento registra o encerramento da fase experimental pré-v1.0 do Ranking Institucional Simplificado — Microcaps. Ele não atribui ainda uma versão formal ao módulo. A versão formal inicial será definida no processo de fechamento do CRYPTO PRO SUITE.</w:t>
      </w:r>
    </w:p>
    <w:p>
      <w:r>
        <w:t>Os três pilotos são tratados como validação operacional e metodológica. Os resultados não constituem demonstração estatística de alpha, previsão de retorno ou capacidade sistemática de market timing.</w:t>
      </w:r>
    </w:p>
    <w:p>
      <w:pPr>
        <w:pStyle w:val="Heading1"/>
        <w:keepNext/>
      </w:pPr>
      <w:r>
        <w:t>2. Objetivo do Ranking</w:t>
      </w:r>
    </w:p>
    <w:p>
      <w:r>
        <w:t>O Ranking Institucional Simplificado — Microcaps é um mecanismo de avaliação relativa, baseado em evidências, destinado a identificar a qualidade e a evolução de oportunidades microcap dentro de narrativas previamente definidas.</w:t>
      </w:r>
    </w:p>
    <w:p>
      <w:r>
        <w:rPr>
          <w:b/>
        </w:rPr>
        <w:t xml:space="preserve">Princípio central: </w:t>
      </w:r>
      <w:r>
        <w:t>preço é outcome, não ground truth fundamental.</w:t>
      </w:r>
    </w:p>
    <w:p>
      <w:pPr>
        <w:pStyle w:val="Heading1"/>
        <w:keepNext/>
      </w:pPr>
      <w:r>
        <w:t>3. Arquitetura metodológica consolidada</w:t>
      </w:r>
    </w:p>
    <w:p>
      <w:pPr>
        <w:pStyle w:val="Heading2"/>
        <w:keepNext/>
      </w:pPr>
      <w:r>
        <w:t>3.1 Potential Score</w:t>
      </w:r>
    </w:p>
    <w:p>
      <w:r>
        <w:t>O Potential Score permanece composto por cinco dimensões, cada uma avaliada em escala de 0 a 5, com os pesos congelados durante os pilotos: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b/>
              </w:rPr>
              <w:t>Dimensão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b/>
              </w:rPr>
              <w:t>Peso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t>Asset–Narrative Fit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t>25%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t>Project Quality / Differentiation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t>25%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t>Emerging Attention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t>15%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t>Early Traction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t>20%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t>Asymmetry / Relative Valuation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t>15%</w:t>
            </w:r>
          </w:p>
        </w:tc>
      </w:tr>
    </w:tbl>
    <w:p>
      <w:pPr>
        <w:jc w:val="center"/>
      </w:pPr>
      <w:r>
        <w:rPr>
          <w:b/>
        </w:rPr>
        <w:t>Potential = 20 × (0,25 Fit + 0,25 Quality + 0,15 Attention + 0,20 Traction + 0,15 Asymmetry)</w:t>
      </w:r>
    </w:p>
    <w:p>
      <w:r>
        <w:t>O Fit Gate permanece ≥ 3/5. Os pilotos não forneceram evidência suficiente para recalibrar os pesos. Qualquer alteração com base nos outcomes observados constituiria ajuste post hoc.</w:t>
      </w:r>
    </w:p>
    <w:p>
      <w:pPr>
        <w:pStyle w:val="Heading2"/>
        <w:keepNext/>
      </w:pPr>
      <w:r>
        <w:t>3.2 Dimensões paralelas</w:t>
      </w:r>
    </w:p>
    <w:p>
      <w:pPr>
        <w:pStyle w:val="ListBullet"/>
      </w:pPr>
      <w:r>
        <w:t>Confidence — confiabilidade da evidência e do scoring.</w:t>
      </w:r>
    </w:p>
    <w:p>
      <w:pPr>
        <w:pStyle w:val="ListBullet"/>
      </w:pPr>
      <w:r>
        <w:t>Risk — riscos materiais que não devem ser confundidos automaticamente com perda de Potential.</w:t>
      </w:r>
    </w:p>
    <w:p>
      <w:pPr>
        <w:pStyle w:val="ListBullet"/>
      </w:pPr>
      <w:r>
        <w:t>Operability — condições de acesso e negociação, sem funcionar como filtro fundamental.</w:t>
      </w:r>
    </w:p>
    <w:p>
      <w:pPr>
        <w:pStyle w:val="ListBullet"/>
      </w:pPr>
      <w:r>
        <w:t>Lifecycle State — eventos de migração, merger, redenominação, substituição de token ou descontinuidade.</w:t>
      </w:r>
    </w:p>
    <w:p>
      <w:pPr>
        <w:pStyle w:val="Heading2"/>
        <w:keepNext/>
      </w:pPr>
      <w:r>
        <w:t>3.3 Potential Trend</w:t>
      </w:r>
    </w:p>
    <w:p>
      <w:r>
        <w:t>Os estados consolidados são Stable, Emerging, Accelerating, Cooling, Fading e Deteriorating. O terceiro piloto também demonstrou a utilidade descritiva de Stabilizing após deterioração.</w:t>
      </w:r>
    </w:p>
    <w:p>
      <w:pPr>
        <w:pStyle w:val="ListBullet"/>
      </w:pPr>
      <w:r>
        <w:t>Stable: tese aproximadamente constante; ausência de nova evidência não implica Cooling.</w:t>
      </w:r>
    </w:p>
    <w:p>
      <w:pPr>
        <w:pStyle w:val="ListBullet"/>
      </w:pPr>
      <w:r>
        <w:t>Emerging: nova evidência começa a melhorar materialmente a tese.</w:t>
      </w:r>
    </w:p>
    <w:p>
      <w:pPr>
        <w:pStyle w:val="ListBullet"/>
      </w:pPr>
      <w:r>
        <w:t>Accelerating: sucessivas evidências demonstram fortalecimento crescente.</w:t>
      </w:r>
    </w:p>
    <w:p>
      <w:pPr>
        <w:pStyle w:val="ListBullet"/>
      </w:pPr>
      <w:r>
        <w:t>Cooling: existe evidência de desaceleração de algo anteriormente crescente.</w:t>
      </w:r>
    </w:p>
    <w:p>
      <w:pPr>
        <w:pStyle w:val="ListBullet"/>
      </w:pPr>
      <w:r>
        <w:t>Fading: a evidência positiva anterior perde força material.</w:t>
      </w:r>
    </w:p>
    <w:p>
      <w:pPr>
        <w:pStyle w:val="ListBullet"/>
      </w:pPr>
      <w:r>
        <w:t>Deteriorating: nova evidência contradiz ou enfraquece materialmente a tese.</w:t>
      </w:r>
    </w:p>
    <w:p>
      <w:pPr>
        <w:pStyle w:val="Heading1"/>
        <w:keepNext/>
      </w:pPr>
      <w:r>
        <w:t>4. Governança de evidências e dados</w:t>
      </w:r>
    </w:p>
    <w:p>
      <w:pPr>
        <w:pStyle w:val="Heading2"/>
        <w:keepNext/>
      </w:pPr>
      <w:r>
        <w:t>4.1 Regra temporal</w:t>
      </w:r>
    </w:p>
    <w:p>
      <w:r>
        <w:t>A admissibilidade de uma evidência exige não apenas effective_at anterior ou igual ao checkpoint, mas também que a informação estivesse publicamente disponível no momento do scoring (known_at_score_time = TRUE).</w:t>
      </w:r>
    </w:p>
    <w:p>
      <w:pPr>
        <w:pStyle w:val="Heading2"/>
        <w:keepNext/>
      </w:pPr>
      <w:r>
        <w:t>4.2 Evidence Roles</w:t>
      </w:r>
    </w:p>
    <w:p>
      <w:r>
        <w:t>Os papéis de evidência permanecem separados: Fundamental State, Fundamental Growth, Catalyst, Attention, Traction, Token Economics, Market Data, Risk e Eligibility. Cada dado possui um primary scoring home, reduzindo double counting.</w:t>
      </w:r>
    </w:p>
    <w:p>
      <w:pPr>
        <w:pStyle w:val="Heading2"/>
        <w:keepNext/>
      </w:pPr>
      <w:r>
        <w:t>4.3 Confidence</w:t>
      </w:r>
    </w:p>
    <w:p>
      <w:pPr>
        <w:pStyle w:val="ListBullet"/>
      </w:pPr>
      <w:r>
        <w:t>Datum Confidence — confiabilidade do dado individual.</w:t>
      </w:r>
    </w:p>
    <w:p>
      <w:pPr>
        <w:pStyle w:val="ListBullet"/>
      </w:pPr>
      <w:r>
        <w:t>Dimension Confidence — qualidade da evidência de uma dimensão.</w:t>
      </w:r>
    </w:p>
    <w:p>
      <w:pPr>
        <w:pStyle w:val="ListBullet"/>
      </w:pPr>
      <w:r>
        <w:t>Scoring Confidence — confiabilidade global do Potential.</w:t>
      </w:r>
    </w:p>
    <w:p>
      <w:pPr>
        <w:pStyle w:val="ListBullet"/>
      </w:pPr>
      <w:r>
        <w:t>Eligibility Confidence — separada de Scoring Confidence.</w:t>
      </w:r>
    </w:p>
    <w:p>
      <w:r>
        <w:t>Regra preservada: unknown = NA; ausência de informação não recebe arbitrariamente nota neutra 3.</w:t>
      </w:r>
    </w:p>
    <w:p>
      <w:pPr>
        <w:pStyle w:val="Heading2"/>
        <w:keepNext/>
      </w:pPr>
      <w:r>
        <w:t>4.4 Asset Identity &amp; Lifecycle</w:t>
      </w:r>
    </w:p>
    <w:p>
      <w:r>
        <w:t>A identidade canônica deve preceder a reconstrução de preço e market cap. O Registry deve registrar canonical asset, contratos atual e legado, eventos de migração, successor asset, continuity flags e confiança da reconstrução. Lifecycle events não alteram automaticamente o Potential.</w:t>
      </w:r>
    </w:p>
    <w:p>
      <w:pPr>
        <w:pStyle w:val="Heading1"/>
        <w:keepNext/>
      </w:pPr>
      <w:r>
        <w:t>5. Detection Framework</w:t>
      </w:r>
    </w:p>
    <w:p>
      <w:pPr>
        <w:pStyle w:val="Heading2"/>
        <w:keepNext/>
      </w:pPr>
      <w:r>
        <w:t>5.1 Candidate e Confirmation</w:t>
      </w:r>
    </w:p>
    <w:p>
      <w:r>
        <w:t>Emerging Candidate é o primeiro checkpoint em que nova evidência admissível produz estado Emerging. Confirmed Detection exige nova evidência admissível posterior ao Candidate que sustente Emerging ou produza Accelerating. Carry-forward não confirma Candidate.</w:t>
      </w:r>
    </w:p>
    <w:p>
      <w:pPr>
        <w:pStyle w:val="Heading2"/>
        <w:keepNext/>
      </w:pPr>
      <w:r>
        <w:t>5.2 Candidate Expiration</w:t>
      </w:r>
    </w:p>
    <w:p>
      <w:r>
        <w:t>O terceiro piloto testou prospectivamente a validade de três checkpoints subsequentes. Sem confirmação nesse intervalo, o Candidate passa a Expired Unconfirmed. Evidência material posterior inicia um novo Candidate.</w:t>
      </w:r>
    </w:p>
    <w:p>
      <w:pPr>
        <w:pStyle w:val="Heading2"/>
        <w:keepNext/>
      </w:pPr>
      <w:r>
        <w:t>5.3 Detection Date</w:t>
      </w:r>
    </w:p>
    <w:p>
      <w:r>
        <w:t>Quando confirmado, o Detection Date permanece a data do Candidate original. Candidate não confirmado não recebe Detection Date definitiva.</w:t>
      </w:r>
    </w:p>
    <w:p>
      <w:pPr>
        <w:pStyle w:val="Heading1"/>
        <w:keepNext/>
      </w:pPr>
      <w:r>
        <w:t>6. Fundamental Event Ledger</w:t>
      </w:r>
    </w:p>
    <w:p>
      <w:r>
        <w:t>O terceiro piloto confirmou a utilidade operacional de um ledger independente do motor de scoring para registrar mudanças fundamentais materiais. Campos mínimos:</w:t>
      </w:r>
    </w:p>
    <w:p>
      <w:pPr>
        <w:pStyle w:val="ListBullet"/>
      </w:pPr>
      <w:r>
        <w:t>asset_id; event_date; published_at; known_at;</w:t>
      </w:r>
    </w:p>
    <w:p>
      <w:pPr>
        <w:pStyle w:val="ListBullet"/>
      </w:pPr>
      <w:r>
        <w:t>event_type; evidence_role; materiality; direction;</w:t>
      </w:r>
    </w:p>
    <w:p>
      <w:pPr>
        <w:pStyle w:val="ListBullet"/>
      </w:pPr>
      <w:r>
        <w:t>source_quality; fundamental_change; lifecycle_event.</w:t>
      </w:r>
    </w:p>
    <w:p>
      <w:r>
        <w:t>O Fundamental Event Ledger não utiliza preço para definir materialidade fundamental e serve como base futura para avaliar Detected Fundamental Changes e Missed Fundamental Changes.</w:t>
      </w:r>
    </w:p>
    <w:p>
      <w:pPr>
        <w:pStyle w:val="Heading1"/>
        <w:keepNext/>
      </w:pPr>
      <w:r>
        <w:t>7. Síntese dos três pilotos</w:t>
      </w:r>
    </w:p>
    <w:p>
      <w:pPr>
        <w:pStyle w:val="Heading2"/>
        <w:keepNext/>
      </w:pPr>
      <w:r>
        <w:t>7.1 Primeiro piloto — desenvolvimento metodológico</w:t>
      </w:r>
    </w:p>
    <w:p>
      <w:r>
        <w:t>O primeiro piloto revelou problemas de elegibilidade histórica, identidade de ativos, reconstrução de market cap e separação entre Attention, Traction, Risk e Confidence. O caso GFI demonstrou a necessidade de Eligibility Confidence e de auditoria PIT.</w:t>
      </w:r>
    </w:p>
    <w:p>
      <w:pPr>
        <w:pStyle w:val="Heading2"/>
        <w:keepNext/>
      </w:pPr>
      <w:r>
        <w:t>7.2 Segundo piloto — 31/12/2023 a 31/12/2024</w:t>
      </w:r>
    </w:p>
    <w:p>
      <w:r>
        <w:t>Narrativas AI e RWA. O Snapshot não demonstrou relação monotônica robusta entre Potential e magnitude dos outcomes. O Rolling produziu Confirmed Detection para CGPT, NOS e OM; TRADE e RIO permaneceram Unconfirmed. CPOOL exemplificou Persistence.</w:t>
      </w:r>
    </w:p>
    <w:p>
      <w:r>
        <w:t>O caso FAKEAI demonstrou que grande valorização pode ocorrer sem melhora equivalente da evidência fundamental. OM mostrou a capacidade do Rolling de reconhecer fortalecimento progressivo de uma tese, mas análises de sensibilidade indicaram que resultados quantitativos favoráveis eram fortemente dependentes desse caso extremo.</w:t>
      </w:r>
    </w:p>
    <w:p>
      <w:pPr>
        <w:pStyle w:val="Heading2"/>
        <w:keepNext/>
      </w:pPr>
      <w:r>
        <w:t>7.3 Terceiro e último piloto — 31/12/2021 a 31/12/2022</w:t>
      </w:r>
    </w:p>
    <w:p>
      <w:r>
        <w:t>Narrativas GameFi/P2E e DeFi 2.0, em regime adverso. O Strict Universe final foi composto por GODS, SIPHER, SIDUS, SPA, HEC e KLIMA. O objetivo foi testar especialmente estados negativos do state machine e separar deterioração fundamental de queda generalizada de preço.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</w:rPr>
              <w:t>Ativo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</w:rPr>
              <w:t>T0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</w:rPr>
              <w:t>Final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b/>
              </w:rPr>
              <w:t>Estado final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t>GODS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87,0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89,0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Persistent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t>HEC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76,0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80,0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Confirmed / Persistent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t>KLIMA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82,0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77,0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Stabilizing após deterioração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t>SIDUS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70,0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76,0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Confirmed / Stable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t>SIPHER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75,5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72,5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Cooling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t>SPA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72,5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58,5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t>Deteriorating</w:t>
            </w:r>
          </w:p>
        </w:tc>
      </w:tr>
    </w:tbl>
    <w:p>
      <w:r>
        <w:t>O piloto demonstrou operacionalmente que o Ranking pode manter uma tese fundamental mesmo sob forte queda do token, bem como reduzir Potential quando há evidência adversa específica. GODS funcionou como controle importante: queda severa do token coexistiu com crescimento operacional do jogo, impedindo que preço fosse usado como proxy de deterioração.</w:t>
      </w:r>
    </w:p>
    <w:p>
      <w:pPr>
        <w:pStyle w:val="Heading1"/>
        <w:keepNext/>
      </w:pPr>
      <w:r>
        <w:t>8. Resultado da validação</w:t>
      </w:r>
    </w:p>
    <w:p>
      <w:pPr>
        <w:pStyle w:val="Heading2"/>
        <w:keepNext/>
      </w:pPr>
      <w:r>
        <w:t>8.1 Componentes considerados maduros para a metodologia-base</w:t>
      </w:r>
    </w:p>
    <w:p>
      <w:pPr>
        <w:pStyle w:val="ListBullet"/>
      </w:pPr>
      <w:r>
        <w:t>Potential Score em cinco dimensões e pesos 25/25/15/20/15.</w:t>
      </w:r>
    </w:p>
    <w:p>
      <w:pPr>
        <w:pStyle w:val="ListBullet"/>
      </w:pPr>
      <w:r>
        <w:t>Fit Gate ≥ 3/5.</w:t>
      </w:r>
    </w:p>
    <w:p>
      <w:pPr>
        <w:pStyle w:val="ListBullet"/>
      </w:pPr>
      <w:r>
        <w:t>Evidence Roles e primary scoring home.</w:t>
      </w:r>
    </w:p>
    <w:p>
      <w:pPr>
        <w:pStyle w:val="ListBullet"/>
      </w:pPr>
      <w:r>
        <w:t>Data Source Registry e known_at_score_time.</w:t>
      </w:r>
    </w:p>
    <w:p>
      <w:pPr>
        <w:pStyle w:val="ListBullet"/>
      </w:pPr>
      <w:r>
        <w:t>Potential Trend e carry-forward.</w:t>
      </w:r>
    </w:p>
    <w:p>
      <w:pPr>
        <w:pStyle w:val="ListBullet"/>
      </w:pPr>
      <w:r>
        <w:t>Candidate → Confirmation.</w:t>
      </w:r>
    </w:p>
    <w:p>
      <w:pPr>
        <w:pStyle w:val="ListBullet"/>
      </w:pPr>
      <w:r>
        <w:t>Candidate Expiration em três checkpoints.</w:t>
      </w:r>
    </w:p>
    <w:p>
      <w:pPr>
        <w:pStyle w:val="ListBullet"/>
      </w:pPr>
      <w:r>
        <w:t>Separação entre Potential, Confidence, Risk e Operability.</w:t>
      </w:r>
    </w:p>
    <w:p>
      <w:pPr>
        <w:pStyle w:val="ListBullet"/>
      </w:pPr>
      <w:r>
        <w:t>Lifecycle handling e Canonical Asset Identity.</w:t>
      </w:r>
    </w:p>
    <w:p>
      <w:pPr>
        <w:pStyle w:val="ListBullet"/>
      </w:pPr>
      <w:r>
        <w:t>Eligibility Confidence separada de Scoring Confidence.</w:t>
      </w:r>
    </w:p>
    <w:p>
      <w:pPr>
        <w:pStyle w:val="ListBullet"/>
      </w:pPr>
      <w:r>
        <w:t>Datum → Dimension → Scoring Confidence.</w:t>
      </w:r>
    </w:p>
    <w:p>
      <w:pPr>
        <w:pStyle w:val="ListBullet"/>
      </w:pPr>
      <w:r>
        <w:t>Fundamental Event Ledger.</w:t>
      </w:r>
    </w:p>
    <w:p>
      <w:pPr>
        <w:pStyle w:val="ListBullet"/>
      </w:pPr>
      <w:r>
        <w:t>Preço e outcomes fora do scoring.</w:t>
      </w:r>
    </w:p>
    <w:p>
      <w:pPr>
        <w:pStyle w:val="Heading2"/>
        <w:keepNext/>
      </w:pPr>
      <w:r>
        <w:t>8.2 O que os pilotos não demonstraram</w:t>
      </w:r>
    </w:p>
    <w:p>
      <w:pPr>
        <w:pStyle w:val="ListBullet"/>
      </w:pPr>
      <w:r>
        <w:t>capacidade consistente de prever retorno;</w:t>
      </w:r>
    </w:p>
    <w:p>
      <w:pPr>
        <w:pStyle w:val="ListBullet"/>
      </w:pPr>
      <w:r>
        <w:t>capacidade de ordenar MFE;</w:t>
      </w:r>
    </w:p>
    <w:p>
      <w:pPr>
        <w:pStyle w:val="ListBullet"/>
      </w:pPr>
      <w:r>
        <w:t>alpha estatisticamente demonstrado;</w:t>
      </w:r>
    </w:p>
    <w:p>
      <w:pPr>
        <w:pStyle w:val="ListBullet"/>
      </w:pPr>
      <w:r>
        <w:t>capacidade sistemática de antecipar o início da reprecificação pelo mercado;</w:t>
      </w:r>
    </w:p>
    <w:p>
      <w:pPr>
        <w:pStyle w:val="ListBullet"/>
      </w:pPr>
      <w:r>
        <w:t>que Potential elevado implica valorização futura.</w:t>
      </w:r>
    </w:p>
    <w:p>
      <w:pPr>
        <w:pStyle w:val="Heading2"/>
        <w:keepNext/>
      </w:pPr>
      <w:r>
        <w:t>8.3 Definição operacional resultante</w:t>
      </w:r>
    </w:p>
    <w:p>
      <w:r>
        <w:rPr>
          <w:b/>
        </w:rPr>
        <w:t>O Ranking mede a qualidade relativa e a evolução da evidência de uma oportunidade microcap dentro de uma narrativa previamente definida.</w:t>
      </w:r>
    </w:p>
    <w:p>
      <w:pPr>
        <w:pStyle w:val="Heading1"/>
        <w:keepNext/>
      </w:pPr>
      <w:r>
        <w:t>9. Stop rule e encerramento dos pilotos</w:t>
      </w:r>
    </w:p>
    <w:p>
      <w:r>
        <w:t>O terceiro piloto foi definido antecipadamente como o último gate obrigatório pré-v1.0. Os critérios de encerramento foram atendidos: execução sem alteração estrutural, ausência de contradição lógica grave, funcionamento determinístico de Candidate/Confirmation/Expiration, tratamento separado de Confidence/Risk/Lifecycle, utilidade do Fundamental Event Ledger e auditabilidade por informação disponível nos checkpoints.</w:t>
      </w:r>
    </w:p>
    <w:p>
      <w:r>
        <w:rPr>
          <w:b/>
        </w:rPr>
        <w:t>Decisão: não realizar um quarto piloto como condição para a v1.0.</w:t>
      </w:r>
    </w:p>
    <w:p>
      <w:pPr>
        <w:pStyle w:val="Heading1"/>
        <w:keepNext/>
      </w:pPr>
      <w:r>
        <w:t>10. Metodologia viva e MEL</w:t>
      </w:r>
    </w:p>
    <w:p>
      <w:r>
        <w:t>Após a formalização da metodologia-base, sua evolução deverá ocorrer de forma versionada, sem reescrever execuções históricas. O conceito de MEL — Methodology Evaluation Layer — permanece registrado no backlog como componente interno do Ranking, não como módulo independente.</w:t>
      </w:r>
    </w:p>
    <w:p>
      <w:r>
        <w:t>O MEL poderá avaliar periodicamente integridade metodológica, qualidade do scoring, Detection Quality, calibration drift e dependência de regime, produzindo recomendações para versões futuras. Ele não deverá alterar pesos ou regras automaticamente.</w:t>
      </w:r>
    </w:p>
    <w:p>
      <w:r>
        <w:rPr>
          <w:b/>
        </w:rPr>
        <w:t>Status do MEL: BACKLOG — decisão de inclusão na primeira versão do CRYPTO PRO SUITE somente após o fechamento dos demais módulos previstos para essa versão.</w:t>
      </w:r>
    </w:p>
    <w:p>
      <w:pPr>
        <w:pStyle w:val="Heading1"/>
        <w:keepNext/>
      </w:pPr>
      <w:r>
        <w:t>11. Itens mantidos em pesquisa</w:t>
      </w:r>
    </w:p>
    <w:p>
      <w:pPr>
        <w:pStyle w:val="ListBullet"/>
      </w:pPr>
      <w:r>
        <w:t>Market Recognition Date e Recognition Lead — métricas experimentais, fora do núcleo da v1.0.</w:t>
      </w:r>
    </w:p>
    <w:p>
      <w:pPr>
        <w:pStyle w:val="ListBullet"/>
      </w:pPr>
      <w:r>
        <w:t>MFE Lead — útil para análise, sem função no scoring.</w:t>
      </w:r>
    </w:p>
    <w:p>
      <w:pPr>
        <w:pStyle w:val="ListBullet"/>
      </w:pPr>
      <w:r>
        <w:t>Persistence Quality — hipótese de pesquisa; não criar novo score neste estágio.</w:t>
      </w:r>
    </w:p>
    <w:p>
      <w:pPr>
        <w:pStyle w:val="ListBullet"/>
      </w:pPr>
      <w:r>
        <w:t>Detection Rate — depende de ground truth fundamental independente e volume maior de observações.</w:t>
      </w:r>
    </w:p>
    <w:p>
      <w:pPr>
        <w:pStyle w:val="Heading1"/>
        <w:keepNext/>
      </w:pPr>
      <w:r>
        <w:t>12. Próxima etapa documental</w:t>
      </w:r>
    </w:p>
    <w:p>
      <w:r>
        <w:t>O próximo estágio é converter os elementos consolidados neste documento em uma especificação metodológica normativa do Ranking Institucional Simplificado — Microcaps, alinhada ao Manual Metodológico e aos documentos de governança do CRYPTO PRO SUITE. Questões experimentais devem permanecer separadas da metodologia normativa.</w:t>
      </w:r>
    </w:p>
    <w:p>
      <w:pPr>
        <w:pStyle w:val="Heading1"/>
        <w:keepNext/>
      </w:pPr>
      <w:r>
        <w:t>Apêndice A — Princípios congelados</w:t>
      </w:r>
    </w:p>
    <w:p>
      <w:pPr>
        <w:pStyle w:val="ListBullet"/>
      </w:pPr>
      <w:r>
        <w:t>Eligibility permissiva; scoring seletivo.</w:t>
      </w:r>
    </w:p>
    <w:p>
      <w:pPr>
        <w:pStyle w:val="ListBullet"/>
      </w:pPr>
      <w:r>
        <w:t>Price = outcome, não ground truth.</w:t>
      </w:r>
    </w:p>
    <w:p>
      <w:pPr>
        <w:pStyle w:val="ListBullet"/>
      </w:pPr>
      <w:r>
        <w:t>No new evidence normalmente implica carry-forward/Stable, não deterioração.</w:t>
      </w:r>
    </w:p>
    <w:p>
      <w:pPr>
        <w:pStyle w:val="ListBullet"/>
      </w:pPr>
      <w:r>
        <w:t>Mais publicações não podem aumentar mecanicamente o Potential.</w:t>
      </w:r>
    </w:p>
    <w:p>
      <w:pPr>
        <w:pStyle w:val="ListBullet"/>
      </w:pPr>
      <w:r>
        <w:t>Catalyst não é automaticamente Attention; Attention não é Traction.</w:t>
      </w:r>
    </w:p>
    <w:p>
      <w:pPr>
        <w:pStyle w:val="ListBullet"/>
      </w:pPr>
      <w:r>
        <w:t>State pertence primariamente a Quality; mudança do state pode pertencer a Traction quando houver evidência operacional.</w:t>
      </w:r>
    </w:p>
    <w:p>
      <w:pPr>
        <w:pStyle w:val="ListBullet"/>
      </w:pPr>
      <w:r>
        <w:t>Low market cap não implica high Asymmetry.</w:t>
      </w:r>
    </w:p>
    <w:p>
      <w:pPr>
        <w:pStyle w:val="ListBullet"/>
      </w:pPr>
      <w:r>
        <w:t>Coverage gap não equivale a ausência econômica real.</w:t>
      </w:r>
    </w:p>
    <w:p>
      <w:pPr>
        <w:pStyle w:val="ListBullet"/>
      </w:pPr>
      <w:r>
        <w:t>Lifecycle event não altera automaticamente Potential.</w:t>
      </w:r>
    </w:p>
    <w:p>
      <w:pPr>
        <w:pStyle w:val="ListBullet"/>
      </w:pPr>
      <w:r>
        <w:t>Futures/perpetuals não são filtro de elegibilidade.</w:t>
      </w:r>
    </w:p>
    <w:p>
      <w:pPr>
        <w:pStyle w:val="ListBullet"/>
      </w:pPr>
      <w:r>
        <w:t>Diversificação por narrativa pertence ao CSE/Portfolio Construction, não ao Ranking.</w:t>
      </w:r>
    </w:p>
    <w:p>
      <w:pPr>
        <w:pStyle w:val="ListBullet"/>
      </w:pPr>
      <w:r>
        <w:t>Narrative Opportunity permanece upstream, fora do cálculo do Potential.</w:t>
      </w:r>
    </w:p>
    <w:p>
      <w:pPr>
        <w:pStyle w:val="Heading1"/>
        <w:keepNext/>
      </w:pPr>
      <w:r>
        <w:t>Apêndice B — Registro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</w:rPr>
              <w:t>Tema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</w:rPr>
              <w:t>Decisão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t>Pesos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t>Manter 25/25/15/20/15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t>Congelado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t>Candidate Expiration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t>3 checkpoints subsequentes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t>Adotar na metodologia-base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t>Market Recognition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t>Não promover ao núcleo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t>Pesquisa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t>Fundamental Event Ledger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t>Incorporar como infraestrutura de auditoria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t>Adotar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t>MEL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t>Componente interno do Ranking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t>Backlog; decisão pós-fechamento dos demais módulos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t>Quarto piloto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t>Não realizar como gate pré-v1.0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t>Encerrado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metodológico — Draft 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CRYPTO PRO SUITE  |  Ranking Institucional Simplificado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