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305b4a81aac5c374bbc74c4f31347d04435b482"/>
    <w:p>
      <w:pPr>
        <w:pStyle w:val="Heading1"/>
        <w:keepNext/>
      </w:pPr>
      <w:r>
        <w:t xml:space="preserve">OES — Caso demonstrativo e fundamentos metodológicos para avaliação por pesquisadores</w:t>
      </w:r>
    </w:p>
    <w:p>
      <w:pPr>
        <w:pStyle w:val="FirstParagraph"/>
      </w:pPr>
      <w:r>
        <w:rPr>
          <w:b/>
          <w:bCs/>
        </w:rPr>
        <w:t xml:space="preserve">Versão editorial:</w:t>
      </w:r>
      <w:r>
        <w:t xml:space="preserve"> </w:t>
      </w:r>
      <w:r>
        <w:t xml:space="preserve">1.0 — 21 de outubro de 2026</w:t>
      </w:r>
      <w:r>
        <w:br/>
      </w:r>
      <w:r>
        <w:rPr>
          <w:b/>
          <w:bCs/>
        </w:rPr>
        <w:t xml:space="preserve">Natureza:</w:t>
      </w:r>
      <w:r>
        <w:t xml:space="preserve"> </w:t>
      </w:r>
      <w:r>
        <w:t xml:space="preserve">material de apoio ao diálogo científico, derivado do Documento 167.</w:t>
      </w:r>
      <w:r>
        <w:br/>
      </w:r>
      <w:r>
        <w:rPr>
          <w:b/>
          <w:bCs/>
        </w:rPr>
        <w:t xml:space="preserve">Limite:</w:t>
      </w:r>
      <w:r>
        <w:t xml:space="preserve"> </w:t>
      </w:r>
      <w:r>
        <w:t xml:space="preserve">síntese fiel aos registros internos do OES; não houve nova autenticação dos artigos originais nem revisão científica especializada independente.</w:t>
      </w:r>
    </w:p>
    <w:bookmarkStart w:id="20" w:name="por-que-um-observatório-de-evidências"/>
    <w:p>
      <w:pPr>
        <w:pStyle w:val="Heading2"/>
        <w:keepNext/>
      </w:pPr>
      <w:r>
        <w:t xml:space="preserve">1. Por que um observatório de evidências?</w:t>
      </w:r>
    </w:p>
    <w:p>
      <w:pPr>
        <w:pStyle w:val="FirstParagraph"/>
      </w:pPr>
      <w:r>
        <w:t xml:space="preserve">Sínteses científicas refletem o conhecimento disponível em uma data determinada. Para interpretar novas pesquisas é necessário explicitar pergunta, fontes, seleção, avaliação crítica, síntese, limites e decisões de atualização. O</w:t>
      </w:r>
      <w:r>
        <w:t xml:space="preserve"> </w:t>
      </w:r>
      <w:r>
        <w:rPr>
          <w:b/>
          <w:bCs/>
        </w:rPr>
        <w:t xml:space="preserve">Observatório de Evidências em Saúde (OES)</w:t>
      </w:r>
      <w:r>
        <w:t xml:space="preserve"> </w:t>
      </w:r>
      <w:r>
        <w:t xml:space="preserve">pretende reunir essas etapas em processos transparentes e rastreáveis, com ferramentas computacionais que</w:t>
      </w:r>
      <w:r>
        <w:t xml:space="preserve"> </w:t>
      </w:r>
      <w:r>
        <w:rPr>
          <w:b/>
          <w:bCs/>
        </w:rPr>
        <w:t xml:space="preserve">não substituem a responsabilidade científica humana</w:t>
      </w:r>
      <w:r>
        <w:t xml:space="preserve">.</w:t>
      </w:r>
    </w:p>
    <w:bookmarkEnd w:id="20"/>
    <w:bookmarkStart w:id="21" w:name="X6a12cc14da1ba6af510db3206e901e4485679dd"/>
    <w:p>
      <w:pPr>
        <w:pStyle w:val="Heading2"/>
        <w:keepNext/>
      </w:pPr>
      <w:r>
        <w:t xml:space="preserve">2. Caso demonstrativo: terapia cognitivo-comportamental digital para insônia</w:t>
      </w:r>
    </w:p>
    <w:p>
      <w:pPr>
        <w:pStyle w:val="FirstParagraph"/>
      </w:pPr>
      <w:r>
        <w:rPr>
          <w:b/>
          <w:bCs/>
        </w:rPr>
        <w:t xml:space="preserve">Pergunta estruturada:</w:t>
      </w:r>
      <w:r>
        <w:t xml:space="preserve"> </w:t>
      </w:r>
      <w:r>
        <w:t xml:space="preserve">em adultos com insônia, a terapia cognitivo-comportamental digital totalmente automatizada (dCBT-I), comparada com educação digital sobre sono ou higiene do sono, reduz a gravidade da insônia após o tratamento?</w:t>
      </w:r>
    </w:p>
    <w:p>
      <w:pPr>
        <w:pStyle w:val="BodyText"/>
      </w:pPr>
      <w:r>
        <w:t xml:space="preserve">A Ficha de Evidência</w:t>
      </w:r>
      <w:r>
        <w:t xml:space="preserve"> </w:t>
      </w:r>
      <w:r>
        <w:rPr>
          <w:b/>
          <w:bCs/>
        </w:rPr>
        <w:t xml:space="preserve">OES-P-2026-000401</w:t>
      </w:r>
      <w:r>
        <w:t xml:space="preserve"> </w:t>
      </w:r>
      <w:r>
        <w:t xml:space="preserve">documenta seleção de fontes, avaliação de risco de viés, adoção crítica de síntese publicada, estudos adicionais considerados em atualização narrativa e julgamento provisório GRADE.</w:t>
      </w:r>
    </w:p>
    <w:p>
      <w:pPr>
        <w:pStyle w:val="BodyText"/>
      </w:pPr>
      <w:r>
        <w:rPr>
          <w:b/>
          <w:bCs/>
        </w:rPr>
        <w:t xml:space="preserve">Resultado documentado pelo OES:</w:t>
      </w:r>
      <w:r>
        <w:t xml:space="preserve"> </w:t>
      </w:r>
      <w:r>
        <w:t xml:space="preserve">a evidência indica provavelmente menor gravidade da insônia após a intervenção, com direção de benefício consistente, mas magnitude variável.</w:t>
      </w:r>
    </w:p>
    <w:p>
      <w:pPr>
        <w:pStyle w:val="BodyText"/>
      </w:pPr>
      <w:r>
        <w:rPr>
          <w:b/>
          <w:bCs/>
        </w:rPr>
        <w:t xml:space="preserve">Estimativa quantitativa externa, não produzida pelo OES:</w:t>
      </w:r>
      <w:r>
        <w:t xml:space="preserve"> </w:t>
      </w:r>
      <w:r>
        <w:t xml:space="preserve">conforme o Documento 52, Hwang et al. (2025) relataram, em subgrupo de dez comparações, diferença média padronizada</w:t>
      </w:r>
      <w:r>
        <w:t xml:space="preserve"> </w:t>
      </w:r>
      <w:r>
        <w:rPr>
          <w:b/>
          <w:bCs/>
        </w:rPr>
        <w:t xml:space="preserve">SMD −0,93 (IC95% −1,07 a −0,79; I² 68%)</w:t>
      </w:r>
      <w:r>
        <w:t xml:space="preserve">. Esses valores são atribuídos à publicação de origem conforme o registro interno; não foram recalculados neste material. Não converter automaticamente a diferença padronizada em pontos do índice de gravidade da insônia, nem interpretar o valor como resultado de nova meta-análise do OES.</w:t>
      </w:r>
    </w:p>
    <w:p>
      <w:pPr>
        <w:pStyle w:val="BodyText"/>
      </w:pPr>
      <w:r>
        <w:rPr>
          <w:b/>
          <w:bCs/>
        </w:rPr>
        <w:t xml:space="preserve">Certeza da evidência:</w:t>
      </w:r>
      <w:r>
        <w:t xml:space="preserve"> </w:t>
      </w:r>
      <w:r>
        <w:t xml:space="preserve">o processo OES registrou</w:t>
      </w:r>
      <w:r>
        <w:t xml:space="preserve"> </w:t>
      </w:r>
      <w:r>
        <w:rPr>
          <w:b/>
          <w:bCs/>
        </w:rPr>
        <w:t xml:space="preserve">GRADE moderada, provisória</w:t>
      </w:r>
      <w:r>
        <w:t xml:space="preserve">, para o desfecho gravidade da insônia no pós-tratamento. A avaliação foi</w:t>
      </w:r>
      <w:r>
        <w:t xml:space="preserve"> </w:t>
      </w:r>
      <w:r>
        <w:rPr>
          <w:b/>
          <w:bCs/>
        </w:rPr>
        <w:t xml:space="preserve">assistida por IA e não foi submetida a revisão científica especializada independente</w:t>
      </w:r>
      <w:r>
        <w:t xml:space="preserve">. O julgamento não deve ser extrapolado a segurança, outros desfechos, aplicabilidade brasileira ou aconselhamento clínico individual.</w:t>
      </w:r>
    </w:p>
    <w:p>
      <w:pPr>
        <w:pStyle w:val="BodyText"/>
      </w:pPr>
      <w:r>
        <w:rPr>
          <w:b/>
          <w:bCs/>
        </w:rPr>
        <w:t xml:space="preserve">Corte de evidências:</w:t>
      </w:r>
      <w:r>
        <w:t xml:space="preserve"> </w:t>
      </w:r>
      <w:r>
        <w:t xml:space="preserve">4 de outubro de 2026. A atualização foi narrativa e</w:t>
      </w:r>
      <w:r>
        <w:t xml:space="preserve"> </w:t>
      </w:r>
      <w:r>
        <w:rPr>
          <w:b/>
          <w:bCs/>
        </w:rPr>
        <w:t xml:space="preserve">não reivindica a exaustividade de revisão sistemática N4</w:t>
      </w:r>
      <w:r>
        <w:t xml:space="preserve">.</w:t>
      </w:r>
    </w:p>
    <w:bookmarkEnd w:id="21"/>
    <w:bookmarkStart w:id="22" w:name="Xcadabffd699b47bca02a8881c1ce7cd286b3f7e"/>
    <w:p>
      <w:pPr>
        <w:pStyle w:val="Heading2"/>
        <w:keepNext/>
      </w:pPr>
      <w:r>
        <w:t xml:space="preserve">3. Estado da Ficha e alcance das verificações</w:t>
      </w:r>
    </w:p>
    <w:p>
      <w:pPr>
        <w:pStyle w:val="FirstParagraph"/>
      </w:pPr>
      <w:r>
        <w:t xml:space="preserve">O registro histórico mostra progressão do</w:t>
      </w:r>
      <w:r>
        <w:t xml:space="preserve"> </w:t>
      </w:r>
      <w:r>
        <w:rPr>
          <w:b/>
          <w:bCs/>
        </w:rPr>
        <w:t xml:space="preserve">rascunho A1 / under_review</w:t>
      </w:r>
      <w:r>
        <w:t xml:space="preserve"> </w:t>
      </w:r>
      <w:r>
        <w:t xml:space="preserve">(Documento 54) para</w:t>
      </w:r>
      <w:r>
        <w:t xml:space="preserve"> </w:t>
      </w:r>
      <w:r>
        <w:rPr>
          <w:b/>
          <w:bCs/>
        </w:rPr>
        <w:t xml:space="preserve">aprovação de governança do proprietário e publicação editorial interna A2</w:t>
      </w:r>
      <w:r>
        <w:t xml:space="preserve"> </w:t>
      </w:r>
      <w:r>
        <w:t xml:space="preserve">(Documento 67).</w:t>
      </w:r>
    </w:p>
    <w:p>
      <w:pPr>
        <w:pStyle w:val="BodyText"/>
      </w:pPr>
      <w:r>
        <w:rPr>
          <w:b/>
          <w:bCs/>
        </w:rPr>
        <w:t xml:space="preserve">A2 não significa revisão por pares, publicação científica em periódico, garantia A3 ou validação independente.</w:t>
      </w:r>
      <w:r>
        <w:t xml:space="preserve"> </w:t>
      </w:r>
      <w:r>
        <w:t xml:space="preserve">O Documento 67 registra resultados de testes de software históricos; esses testes dão suporte ao comportamento técnico verificado, mas</w:t>
      </w:r>
      <w:r>
        <w:t xml:space="preserve"> </w:t>
      </w:r>
      <w:r>
        <w:rPr>
          <w:b/>
          <w:bCs/>
        </w:rPr>
        <w:t xml:space="preserve">não demonstram correção científica independente</w:t>
      </w:r>
      <w:r>
        <w:t xml:space="preserve">.</w:t>
      </w:r>
    </w:p>
    <w:p>
      <w:pPr>
        <w:pStyle w:val="BodyText"/>
      </w:pPr>
      <w:r>
        <w:t xml:space="preserve">A documentação permite examinar correspondência entre pergunta, seleção, avaliações, síntese, incertezas e decisões. A revisão externa desejada deve justamente verificar criticamente tais elementos.</w:t>
      </w:r>
    </w:p>
    <w:bookmarkEnd w:id="22"/>
    <w:bookmarkStart w:id="23" w:name="acompanhamento-das-evidências-monitor-m2"/>
    <w:p>
      <w:pPr>
        <w:pStyle w:val="Heading2"/>
        <w:keepNext/>
      </w:pPr>
      <w:r>
        <w:t xml:space="preserve">4. Acompanhamento das evidências: Monitor M2</w:t>
      </w:r>
    </w:p>
    <w:p>
      <w:pPr>
        <w:pStyle w:val="FirstParagraph"/>
      </w:pPr>
      <w:r>
        <w:t xml:space="preserve">O OES implementou estruturas de dados e projeções para organizar ciclos, ocorrências, candidatos e avaliações de impacto, com histórico de decisões. O fluxo conceitual é:</w:t>
      </w:r>
    </w:p>
    <w:p>
      <w:pPr>
        <w:pStyle w:val="Compact"/>
        <w:numPr>
          <w:ilvl w:val="0"/>
          <w:numId w:val="1001"/>
        </w:numPr>
      </w:pPr>
      <w:r>
        <w:t xml:space="preserve">Definir alvo e fontes previstas.</w:t>
      </w:r>
    </w:p>
    <w:p>
      <w:pPr>
        <w:pStyle w:val="Compact"/>
        <w:numPr>
          <w:ilvl w:val="0"/>
          <w:numId w:val="1001"/>
        </w:numPr>
      </w:pPr>
      <w:r>
        <w:t xml:space="preserve">Registrar ciclos e ocorrências.</w:t>
      </w:r>
    </w:p>
    <w:p>
      <w:pPr>
        <w:pStyle w:val="Compact"/>
        <w:numPr>
          <w:ilvl w:val="0"/>
          <w:numId w:val="1001"/>
        </w:numPr>
      </w:pPr>
      <w:r>
        <w:t xml:space="preserve">Examinar candidatos e seu impacto potencial.</w:t>
      </w:r>
    </w:p>
    <w:p>
      <w:pPr>
        <w:pStyle w:val="Compact"/>
        <w:numPr>
          <w:ilvl w:val="0"/>
          <w:numId w:val="1001"/>
        </w:numPr>
      </w:pPr>
      <w:r>
        <w:t xml:space="preserve">Preservar avaliações e decisões.</w:t>
      </w:r>
    </w:p>
    <w:p>
      <w:pPr>
        <w:pStyle w:val="Compact"/>
        <w:numPr>
          <w:ilvl w:val="0"/>
          <w:numId w:val="1001"/>
        </w:numPr>
      </w:pPr>
      <w:r>
        <w:t xml:space="preserve">Representar o histórico de atualização de forma rastreável.</w:t>
      </w:r>
    </w:p>
    <w:p>
      <w:pPr>
        <w:pStyle w:val="FirstParagraph"/>
      </w:pPr>
      <w:r>
        <w:t xml:space="preserve">Há verificações técnicas históricas com</w:t>
      </w:r>
      <w:r>
        <w:t xml:space="preserve"> </w:t>
      </w:r>
      <w:r>
        <w:rPr>
          <w:b/>
          <w:bCs/>
        </w:rPr>
        <w:t xml:space="preserve">dados sintéticos</w:t>
      </w:r>
      <w:r>
        <w:t xml:space="preserve">. O</w:t>
      </w:r>
      <w:r>
        <w:t xml:space="preserve"> </w:t>
      </w:r>
      <w:r>
        <w:rPr>
          <w:b/>
          <w:bCs/>
        </w:rPr>
        <w:t xml:space="preserve">alvo sintético do Monitor não é a Ficha real dCBT-I</w:t>
      </w:r>
      <w:r>
        <w:t xml:space="preserve">. Não se demonstrou, até a data de referência, monitoramento factual contínuo com PubMed ou ClinicalTrials.gov, integração efetiva com o caso real, interface pública operacional ou o regime M3.</w:t>
      </w:r>
    </w:p>
    <w:bookmarkEnd w:id="23"/>
    <w:bookmarkStart w:id="24" w:name="Xc654367a124c34eafa09763ea86cca0f77f2f6d"/>
    <w:p>
      <w:pPr>
        <w:pStyle w:val="Heading2"/>
        <w:keepNext/>
      </w:pPr>
      <w:r>
        <w:t xml:space="preserve">5. O que foi demonstrado e o que permanece pendente</w:t>
      </w:r>
    </w:p>
    <w:p>
      <w:pPr>
        <w:pStyle w:val="FirstParagraph"/>
      </w:pPr>
      <w:r>
        <w:rPr>
          <w:b/>
          <w:bCs/>
        </w:rPr>
        <w:t xml:space="preserve">Documentado:</w:t>
      </w:r>
      <w:r>
        <w:t xml:space="preserve"> </w:t>
      </w:r>
      <w:r>
        <w:t xml:space="preserve">arquitetura metodológica e técnica, nove famílias de produtos formalizadas, exemplos internos N1/N2 em A2 e componentes/testes históricos do monitor sintético.</w:t>
      </w:r>
    </w:p>
    <w:p>
      <w:pPr>
        <w:pStyle w:val="BodyText"/>
      </w:pPr>
      <w:r>
        <w:rPr>
          <w:b/>
          <w:bCs/>
        </w:rPr>
        <w:t xml:space="preserve">Pendente:</w:t>
      </w:r>
      <w:r>
        <w:t xml:space="preserve"> </w:t>
      </w:r>
      <w:r>
        <w:t xml:space="preserve">avaliação científica independente; demonstração integrada de acompanhamento factual; validação da aplicabilidade; implantação institucional; regime M3. Na data de referência, a Fase 4 estava</w:t>
      </w:r>
      <w:r>
        <w:t xml:space="preserve"> </w:t>
      </w:r>
      <w:r>
        <w:rPr>
          <w:b/>
          <w:bCs/>
        </w:rPr>
        <w:t xml:space="preserve">NOT_READY</w:t>
      </w:r>
      <w:r>
        <w:t xml:space="preserve"> </w:t>
      </w:r>
      <w:r>
        <w:t xml:space="preserve">para operação factual e a Fase 5</w:t>
      </w:r>
      <w:r>
        <w:t xml:space="preserve"> </w:t>
      </w:r>
      <w:r>
        <w:rPr>
          <w:b/>
          <w:bCs/>
        </w:rPr>
        <w:t xml:space="preserve">NOT_STARTED</w:t>
      </w:r>
      <w:r>
        <w:t xml:space="preserve">.</w:t>
      </w:r>
    </w:p>
    <w:p>
      <w:pPr>
        <w:pStyle w:val="BodyText"/>
      </w:pPr>
      <w:r>
        <w:t xml:space="preserve">Os resultados técnicos, editoriais e de governança</w:t>
      </w:r>
      <w:r>
        <w:t xml:space="preserve"> </w:t>
      </w:r>
      <w:r>
        <w:rPr>
          <w:b/>
          <w:bCs/>
        </w:rPr>
        <w:t xml:space="preserve">não devem ser confundidos com evidência de eficácia clínica do próprio observatório</w:t>
      </w:r>
      <w:r>
        <w:t xml:space="preserve"> </w:t>
      </w:r>
      <w:r>
        <w:t xml:space="preserve">ou prontidão operacional.</w:t>
      </w:r>
    </w:p>
    <w:bookmarkEnd w:id="24"/>
    <w:bookmarkStart w:id="25" w:name="X983fec0dcb4a780aef6aa964a47e617de78edc2"/>
    <w:p>
      <w:pPr>
        <w:pStyle w:val="Heading2"/>
        <w:keepNext/>
      </w:pPr>
      <w:r>
        <w:t xml:space="preserve">6. Pontos para avaliação crítica por pesquisadores</w:t>
      </w:r>
    </w:p>
    <w:p>
      <w:pPr>
        <w:pStyle w:val="FirstParagraph"/>
      </w:pPr>
      <w:r>
        <w:t xml:space="preserve">Propõe-se discutir a pertinência das perguntas clínicas, estratégias de busca, critérios de elegibilidade, instrumentos de risco de viés (incluindo RoB 2 e ROBIS, quando cabíveis), consistência da síntese e do GRADE, transferibilidade de achados, critérios para reconhecer mudanças materiais e requisitos para uma futura estratégia de atualização.</w:t>
      </w:r>
    </w:p>
    <w:p>
      <w:pPr>
        <w:pStyle w:val="BodyText"/>
      </w:pPr>
      <w:r>
        <w:t xml:space="preserve">A interlocução inicial</w:t>
      </w:r>
      <w:r>
        <w:t xml:space="preserve"> </w:t>
      </w:r>
      <w:r>
        <w:rPr>
          <w:b/>
          <w:bCs/>
        </w:rPr>
        <w:t xml:space="preserve">não pressupõe endosso, recrutamento ou compromisso de desenvolvimento</w:t>
      </w:r>
      <w:r>
        <w:t xml:space="preserve">. As decisões sobre validação e eventuais etapas futuras dependerão dos pesquisadores e das autorizações pertinentes.</w:t>
      </w:r>
    </w:p>
    <w:bookmarkEnd w:id="25"/>
    <w:bookmarkStart w:id="34" w:name="referências-documentais-para-exame"/>
    <w:p>
      <w:pPr>
        <w:pStyle w:val="Heading2"/>
        <w:keepNext/>
      </w:pPr>
      <w:r>
        <w:t xml:space="preserve">Referências documentais para exame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Documento 52 — Síntese atualizada do caso</w:t>
        </w:r>
      </w:hyperlink>
      <w:r>
        <w:t xml:space="preserve">: atribuição da estimativa externa e atualização narrativa.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Documento 53 — Avaliação GRADE</w:t>
        </w:r>
      </w:hyperlink>
      <w:r>
        <w:t xml:space="preserve">: julgamento provisório e limites.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Documento 54 — Draft histórico</w:t>
        </w:r>
      </w:hyperlink>
      <w:r>
        <w:t xml:space="preserve">: estado A1 anterior.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Documento 58 — Validação ponta a ponta</w:t>
        </w:r>
      </w:hyperlink>
      <w:r>
        <w:t xml:space="preserve">: verificação histórica.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Documento 67 — Aprovação interna A2</w:t>
        </w:r>
      </w:hyperlink>
      <w:r>
        <w:t xml:space="preserve">: estado final interno.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Documento 167 — Texto-base de governança</w:t>
        </w:r>
      </w:hyperlink>
      <w:r>
        <w:t xml:space="preserve">: narrativa original e controles de precisão.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Documento 168 — Apresentação executiva original</w:t>
        </w:r>
      </w:hyperlink>
      <w:r>
        <w:t xml:space="preserve">: versão sintética de origem.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STATE.md</w:t>
        </w:r>
      </w:hyperlink>
      <w:r>
        <w:t xml:space="preserve">: estado corrente do projeto, que deve ser consultado antes de apresentações posteriores.</w:t>
      </w:r>
    </w:p>
    <w:p>
      <w:pPr>
        <w:pStyle w:val="FirstParagraph"/>
      </w:pPr>
      <w:r>
        <w:rPr>
          <w:b/>
          <w:bCs/>
        </w:rPr>
        <w:t xml:space="preserve">Nota de escopo:</w:t>
      </w:r>
      <w:r>
        <w:t xml:space="preserve"> </w:t>
      </w:r>
      <w:r>
        <w:t xml:space="preserve">documento descritivo para avaliação científica inicial. Os números atribuídos a Hwang et al. (2025) derivam da documentação interna e necessitam conferência bibliográfica direta antes de citação científica externa como dado verificado independentemente.</w:t>
      </w:r>
    </w:p>
    <w:bookmarkEnd w:id="34"/>
    <w:bookmarkEnd w:id="35"/>
    <w:sectPr>
      <w:pgMar w:top="1219" w:bottom="1134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doNotHyphenate w:val="1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Aptos" w:hAnsi="Aptos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/>
    </w:pPr>
    <w:rPr>
      <w:rFonts w:ascii="Aptos" w:hAnsi="Aptos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 Display" w:hAnsi="Aptos Display"/>
      <w:b/>
      <w:bCs/>
      <w:color w:val="1D344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3" Type="http://schemas.openxmlformats.org/officeDocument/2006/relationships/hyperlink" Target="https://github.com/rogerio-raposo/observatorio-evidencias-saude/blob/957ef04c7906dc684678b070d6dbaceac5449bc2/STATE.md" TargetMode="External"/><Relationship Id="rId31" Type="http://schemas.openxmlformats.org/officeDocument/2006/relationships/hyperlink" Target="https://github.com/rogerio-raposo/observatorio-evidencias-saude/blob/957ef04c7906dc684678b070d6dbaceac5449bc2/docs/governance/167-apresentacao-editorial-d0-cp212.md" TargetMode="External"/><Relationship Id="rId32" Type="http://schemas.openxmlformats.org/officeDocument/2006/relationships/hyperlink" Target="https://github.com/rogerio-raposo/observatorio-evidencias-saude/blob/957ef04c7906dc684678b070d6dbaceac5449bc2/docs/governance/168-apresentacao-executiva-oes-d0-cp213.md" TargetMode="External"/><Relationship Id="rId26" Type="http://schemas.openxmlformats.org/officeDocument/2006/relationships/hyperlink" Target="https://github.com/rogerio-raposo/observatorio-evidencias-saude/blob/957ef04c7906dc684678b070d6dbaceac5449bc2/docs/products/52-caso-real-01-sintese-atualizada.md" TargetMode="External"/><Relationship Id="rId27" Type="http://schemas.openxmlformats.org/officeDocument/2006/relationships/hyperlink" Target="https://github.com/rogerio-raposo/observatorio-evidencias-saude/blob/957ef04c7906dc684678b070d6dbaceac5449bc2/docs/products/53-caso-real-01-grade-gravidade-insomnia.md" TargetMode="External"/><Relationship Id="rId28" Type="http://schemas.openxmlformats.org/officeDocument/2006/relationships/hyperlink" Target="https://github.com/rogerio-raposo/observatorio-evidencias-saude/blob/957ef04c7906dc684678b070d6dbaceac5449bc2/docs/products/54-caso-real-01-draft-ficha.md" TargetMode="External"/><Relationship Id="rId29" Type="http://schemas.openxmlformats.org/officeDocument/2006/relationships/hyperlink" Target="https://github.com/rogerio-raposo/observatorio-evidencias-saude/blob/957ef04c7906dc684678b070d6dbaceac5449bc2/docs/products/58-resultado-validacao-ponta-a-ponta-caso-real-01.md" TargetMode="External"/><Relationship Id="rId30" Type="http://schemas.openxmlformats.org/officeDocument/2006/relationships/hyperlink" Target="https://github.com/rogerio-raposo/observatorio-evidencias-saude/blob/957ef04c7906dc684678b070d6dbaceac5449bc2/docs/products/67-caso-real-01-resultado-validacao-a2-publicacao.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github.com/rogerio-raposo/observatorio-evidencias-saude/blob/957ef04c7906dc684678b070d6dbaceac5449bc2/STATE.md" TargetMode="External"/><Relationship Id="rId31" Type="http://schemas.openxmlformats.org/officeDocument/2006/relationships/hyperlink" Target="https://github.com/rogerio-raposo/observatorio-evidencias-saude/blob/957ef04c7906dc684678b070d6dbaceac5449bc2/docs/governance/167-apresentacao-editorial-d0-cp212.md" TargetMode="External"/><Relationship Id="rId32" Type="http://schemas.openxmlformats.org/officeDocument/2006/relationships/hyperlink" Target="https://github.com/rogerio-raposo/observatorio-evidencias-saude/blob/957ef04c7906dc684678b070d6dbaceac5449bc2/docs/governance/168-apresentacao-executiva-oes-d0-cp213.md" TargetMode="External"/><Relationship Id="rId26" Type="http://schemas.openxmlformats.org/officeDocument/2006/relationships/hyperlink" Target="https://github.com/rogerio-raposo/observatorio-evidencias-saude/blob/957ef04c7906dc684678b070d6dbaceac5449bc2/docs/products/52-caso-real-01-sintese-atualizada.md" TargetMode="External"/><Relationship Id="rId27" Type="http://schemas.openxmlformats.org/officeDocument/2006/relationships/hyperlink" Target="https://github.com/rogerio-raposo/observatorio-evidencias-saude/blob/957ef04c7906dc684678b070d6dbaceac5449bc2/docs/products/53-caso-real-01-grade-gravidade-insomnia.md" TargetMode="External"/><Relationship Id="rId28" Type="http://schemas.openxmlformats.org/officeDocument/2006/relationships/hyperlink" Target="https://github.com/rogerio-raposo/observatorio-evidencias-saude/blob/957ef04c7906dc684678b070d6dbaceac5449bc2/docs/products/54-caso-real-01-draft-ficha.md" TargetMode="External"/><Relationship Id="rId29" Type="http://schemas.openxmlformats.org/officeDocument/2006/relationships/hyperlink" Target="https://github.com/rogerio-raposo/observatorio-evidencias-saude/blob/957ef04c7906dc684678b070d6dbaceac5449bc2/docs/products/58-resultado-validacao-ponta-a-ponta-caso-real-01.md" TargetMode="External"/><Relationship Id="rId30" Type="http://schemas.openxmlformats.org/officeDocument/2006/relationships/hyperlink" Target="https://github.com/rogerio-raposo/observatorio-evidencias-saude/blob/957ef04c7906dc684678b070d6dbaceac5449bc2/docs/products/67-caso-real-01-resultado-validacao-a2-publicacao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OES — Caso demonstrativo e fundamentos metodológicos para avaliação por pesquisadores</dc:title>
  <dc:creator/>
  <cp:keywords>OES; comunicação científica; material preliminar</cp:keywords>
  <dcterms:created xsi:type="dcterms:W3CDTF">2026-10-21T14:40:05Z</dcterms:created>
  <dcterms:modified xsi:type="dcterms:W3CDTF">2026-10-21T14:40:05Z</dcterms:modified>
  <dc:subject>Versão editorial 1.0 — apresentação preliminar para avaliação de pesquisadores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