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9E21" w14:textId="77777777" w:rsidR="00B57997" w:rsidRPr="00B57997" w:rsidRDefault="00B57997" w:rsidP="00B57997">
      <w:pPr>
        <w:rPr>
          <w:lang w:val="en-US"/>
        </w:rPr>
      </w:pPr>
      <w:r w:rsidRPr="00B57997">
        <w:rPr>
          <w:lang w:val="en-US"/>
        </w:rPr>
        <w:t xml:space="preserve">Are you bullish or bearish on </w:t>
      </w:r>
      <w:proofErr w:type="gramStart"/>
      <w:r w:rsidRPr="00B57997">
        <w:rPr>
          <w:lang w:val="en-US"/>
        </w:rPr>
        <w:t>NASDAQ:TSLA</w:t>
      </w:r>
      <w:proofErr w:type="gramEnd"/>
      <w:r w:rsidRPr="00B57997">
        <w:rPr>
          <w:lang w:val="en-US"/>
        </w:rPr>
        <w:t xml:space="preserve"> right now? Analyze its fundamentals (P/E, EPS growth) using key metrics, gather recent relevant news via the news tool, review analyst consensus and price targets, and note any significant technical signals from technical indicators. Share your overall market sentiment on this stock and explain your reasoning.</w:t>
      </w:r>
    </w:p>
    <w:p w14:paraId="42B2FD39" w14:textId="77777777" w:rsidR="00B57997" w:rsidRPr="00B57997" w:rsidRDefault="00B57997" w:rsidP="00B57997">
      <w:pPr>
        <w:rPr>
          <w:b/>
          <w:bCs/>
          <w:lang w:val="en-US"/>
        </w:rPr>
      </w:pPr>
      <w:r w:rsidRPr="00B57997">
        <w:rPr>
          <w:b/>
          <w:bCs/>
          <w:lang w:val="en-US"/>
        </w:rPr>
        <w:t>Summary</w:t>
      </w:r>
    </w:p>
    <w:p w14:paraId="67A9539D" w14:textId="77777777" w:rsidR="00B57997" w:rsidRPr="00B57997" w:rsidRDefault="00B57997" w:rsidP="00B57997">
      <w:pPr>
        <w:rPr>
          <w:lang w:val="en-US"/>
        </w:rPr>
      </w:pPr>
      <w:r w:rsidRPr="00B57997">
        <w:rPr>
          <w:lang w:val="en-US"/>
        </w:rPr>
        <w:t>Tesla's current price of </w:t>
      </w:r>
      <w:r w:rsidRPr="00B57997">
        <w:rPr>
          <w:b/>
          <w:bCs/>
          <w:lang w:val="en-US"/>
        </w:rPr>
        <w:t>$398.08</w:t>
      </w:r>
      <w:r w:rsidRPr="00B57997">
        <w:rPr>
          <w:lang w:val="en-US"/>
        </w:rPr>
        <w:t> puts it at the crossroads: fundamentals show a sky-high </w:t>
      </w:r>
      <w:r w:rsidRPr="00B57997">
        <w:rPr>
          <w:b/>
          <w:bCs/>
          <w:lang w:val="en-US"/>
        </w:rPr>
        <w:t>P/E of 392.1x</w:t>
      </w:r>
      <w:r w:rsidRPr="00B57997">
        <w:rPr>
          <w:lang w:val="en-US"/>
        </w:rPr>
        <w:t>, trailing EPS down </w:t>
      </w:r>
      <w:r w:rsidRPr="00B57997">
        <w:rPr>
          <w:b/>
          <w:bCs/>
          <w:lang w:val="en-US"/>
        </w:rPr>
        <w:t>-47.3%</w:t>
      </w:r>
      <w:r w:rsidRPr="00B57997">
        <w:rPr>
          <w:lang w:val="en-US"/>
        </w:rPr>
        <w:t> for 2025, and a consensus analyst target suggesting just </w:t>
      </w:r>
      <w:r w:rsidRPr="00B57997">
        <w:rPr>
          <w:b/>
          <w:bCs/>
          <w:lang w:val="en-US"/>
        </w:rPr>
        <w:t>16.6% upside</w:t>
      </w:r>
      <w:r w:rsidRPr="00B57997">
        <w:rPr>
          <w:lang w:val="en-US"/>
        </w:rPr>
        <w:t>—but Wall Street sees potential 2026 catalysts that keep the debate lively.</w:t>
      </w:r>
    </w:p>
    <w:p w14:paraId="65F99B0E" w14:textId="77777777" w:rsidR="00B57997" w:rsidRPr="00B57997" w:rsidRDefault="00B57997" w:rsidP="00B57997">
      <w:pPr>
        <w:rPr>
          <w:lang w:val="en-US"/>
        </w:rPr>
      </w:pPr>
      <w:r w:rsidRPr="00B57997">
        <w:rPr>
          <w:lang w:val="en-US"/>
        </w:rPr>
        <w:t>Share</w:t>
      </w:r>
    </w:p>
    <w:p w14:paraId="33BE4CF1" w14:textId="77777777" w:rsidR="00B57997" w:rsidRPr="00B57997" w:rsidRDefault="00B57997" w:rsidP="00B57997">
      <w:pPr>
        <w:rPr>
          <w:b/>
          <w:bCs/>
          <w:lang w:val="en-US"/>
        </w:rPr>
      </w:pPr>
      <w:r w:rsidRPr="00B57997">
        <w:rPr>
          <w:rFonts w:ascii="Segoe UI Emoji" w:hAnsi="Segoe UI Emoji" w:cs="Segoe UI Emoji"/>
          <w:b/>
          <w:bCs/>
        </w:rPr>
        <w:t>🚦</w:t>
      </w:r>
      <w:r w:rsidRPr="00B57997">
        <w:rPr>
          <w:b/>
          <w:bCs/>
          <w:lang w:val="en-US"/>
        </w:rPr>
        <w:t xml:space="preserve"> Valuation: Sky-High Hurdles</w:t>
      </w:r>
    </w:p>
    <w:p w14:paraId="269A7FC3" w14:textId="77777777" w:rsidR="00B57997" w:rsidRPr="00B57997" w:rsidRDefault="00B57997" w:rsidP="00B57997">
      <w:pPr>
        <w:rPr>
          <w:lang w:val="en-US"/>
        </w:rPr>
      </w:pPr>
      <w:r w:rsidRPr="00B57997">
        <w:rPr>
          <w:b/>
          <w:bCs/>
          <w:lang w:val="en-US"/>
        </w:rPr>
        <w:t>Tesla’s P/E ratio of 392.1x</w:t>
      </w:r>
      <w:r w:rsidRPr="00B57997">
        <w:rPr>
          <w:lang w:val="en-US"/>
        </w:rPr>
        <w:t xml:space="preserve"> is not just </w:t>
      </w:r>
      <w:proofErr w:type="gramStart"/>
      <w:r w:rsidRPr="00B57997">
        <w:rPr>
          <w:lang w:val="en-US"/>
        </w:rPr>
        <w:t>high—</w:t>
      </w:r>
      <w:proofErr w:type="gramEnd"/>
      <w:r w:rsidRPr="00B57997">
        <w:rPr>
          <w:lang w:val="en-US"/>
        </w:rPr>
        <w:t xml:space="preserve">it’s over </w:t>
      </w:r>
      <w:r w:rsidRPr="00B57997">
        <w:rPr>
          <w:b/>
          <w:bCs/>
          <w:lang w:val="en-US"/>
        </w:rPr>
        <w:t>3 times</w:t>
      </w:r>
      <w:r w:rsidRPr="00B57997">
        <w:rPr>
          <w:lang w:val="en-US"/>
        </w:rPr>
        <w:t xml:space="preserve"> its own 3-year average, and miles above the S&amp;P 500 norm. EPS growth has been sharply negative (</w:t>
      </w:r>
      <w:r w:rsidRPr="00B57997">
        <w:rPr>
          <w:b/>
          <w:bCs/>
          <w:lang w:val="en-US"/>
        </w:rPr>
        <w:t>-47.3% FY25</w:t>
      </w:r>
      <w:r w:rsidRPr="00B57997">
        <w:rPr>
          <w:lang w:val="en-US"/>
        </w:rPr>
        <w:t xml:space="preserve">, </w:t>
      </w:r>
      <w:r w:rsidRPr="00B57997">
        <w:rPr>
          <w:b/>
          <w:bCs/>
          <w:lang w:val="en-US"/>
        </w:rPr>
        <w:t>-60.7% Q4</w:t>
      </w:r>
      <w:r w:rsidRPr="00B57997">
        <w:rPr>
          <w:lang w:val="en-US"/>
        </w:rPr>
        <w:t>), though analysts forecast a rebound (</w:t>
      </w:r>
      <w:r w:rsidRPr="00B57997">
        <w:rPr>
          <w:b/>
          <w:bCs/>
          <w:lang w:val="en-US"/>
        </w:rPr>
        <w:t>75.9% FY26</w:t>
      </w:r>
      <w:r w:rsidRPr="00B57997">
        <w:rPr>
          <w:lang w:val="en-US"/>
        </w:rPr>
        <w:t xml:space="preserve">). Revenue </w:t>
      </w:r>
      <w:proofErr w:type="gramStart"/>
      <w:r w:rsidRPr="00B57997">
        <w:rPr>
          <w:lang w:val="en-US"/>
        </w:rPr>
        <w:t>actually shrank</w:t>
      </w:r>
      <w:proofErr w:type="gramEnd"/>
      <w:r w:rsidRPr="00B57997">
        <w:rPr>
          <w:lang w:val="en-US"/>
        </w:rPr>
        <w:t xml:space="preserve"> last year (</w:t>
      </w:r>
      <w:r w:rsidRPr="00B57997">
        <w:rPr>
          <w:b/>
          <w:bCs/>
          <w:lang w:val="en-US"/>
        </w:rPr>
        <w:t>-2.9% FY25</w:t>
      </w:r>
      <w:proofErr w:type="gramStart"/>
      <w:r w:rsidRPr="00B57997">
        <w:rPr>
          <w:lang w:val="en-US"/>
        </w:rPr>
        <w:t>), but</w:t>
      </w:r>
      <w:proofErr w:type="gramEnd"/>
      <w:r w:rsidRPr="00B57997">
        <w:rPr>
          <w:lang w:val="en-US"/>
        </w:rPr>
        <w:t xml:space="preserve"> is expected to rebound to double-digit growth (</w:t>
      </w:r>
      <w:r w:rsidRPr="00B57997">
        <w:rPr>
          <w:b/>
          <w:bCs/>
          <w:lang w:val="en-US"/>
        </w:rPr>
        <w:t>11% FY26</w:t>
      </w:r>
      <w:r w:rsidRPr="00B57997">
        <w:rPr>
          <w:lang w:val="en-US"/>
        </w:rPr>
        <w:t>).</w:t>
      </w:r>
    </w:p>
    <w:p w14:paraId="102416E3" w14:textId="77777777" w:rsidR="00B57997" w:rsidRPr="00B57997" w:rsidRDefault="00B57997" w:rsidP="00B57997">
      <w:pPr>
        <w:rPr>
          <w:b/>
          <w:bCs/>
          <w:lang w:val="en-US"/>
        </w:rPr>
      </w:pPr>
      <w:r w:rsidRPr="00B57997">
        <w:rPr>
          <w:rFonts w:ascii="Segoe UI Emoji" w:hAnsi="Segoe UI Emoji" w:cs="Segoe UI Emoji"/>
          <w:b/>
          <w:bCs/>
        </w:rPr>
        <w:t>🔍</w:t>
      </w:r>
      <w:r w:rsidRPr="00B57997">
        <w:rPr>
          <w:b/>
          <w:bCs/>
          <w:lang w:val="en-US"/>
        </w:rPr>
        <w:t xml:space="preserve"> Analyst Sentiment: Cautious Optimism</w:t>
      </w:r>
    </w:p>
    <w:p w14:paraId="538EBB09" w14:textId="77777777" w:rsidR="00B57997" w:rsidRPr="00B57997" w:rsidRDefault="00B57997" w:rsidP="00B57997">
      <w:pPr>
        <w:rPr>
          <w:lang w:val="en-US"/>
        </w:rPr>
      </w:pPr>
      <w:r w:rsidRPr="00B57997">
        <w:rPr>
          <w:lang w:val="en-US"/>
        </w:rPr>
        <w:t xml:space="preserve">Recent price targets cluster around </w:t>
      </w:r>
      <w:r w:rsidRPr="00B57997">
        <w:rPr>
          <w:b/>
          <w:bCs/>
          <w:lang w:val="en-US"/>
        </w:rPr>
        <w:t>$418.81</w:t>
      </w:r>
      <w:r w:rsidRPr="00B57997">
        <w:rPr>
          <w:lang w:val="en-US"/>
        </w:rPr>
        <w:t xml:space="preserve"> (mean), with highs at </w:t>
      </w:r>
      <w:r w:rsidRPr="00B57997">
        <w:rPr>
          <w:b/>
          <w:bCs/>
          <w:lang w:val="en-US"/>
        </w:rPr>
        <w:t>$600</w:t>
      </w:r>
      <w:r w:rsidRPr="00B57997">
        <w:rPr>
          <w:lang w:val="en-US"/>
        </w:rPr>
        <w:t xml:space="preserve"> and lows at </w:t>
      </w:r>
      <w:r w:rsidRPr="00B57997">
        <w:rPr>
          <w:b/>
          <w:bCs/>
          <w:lang w:val="en-US"/>
        </w:rPr>
        <w:t>$125</w:t>
      </w:r>
      <w:r w:rsidRPr="00B57997">
        <w:rPr>
          <w:lang w:val="en-US"/>
        </w:rPr>
        <w:t>. Analyst consensus is "</w:t>
      </w:r>
      <w:proofErr w:type="gramStart"/>
      <w:r w:rsidRPr="00B57997">
        <w:rPr>
          <w:lang w:val="en-US"/>
        </w:rPr>
        <w:t>Buy</w:t>
      </w:r>
      <w:proofErr w:type="gramEnd"/>
      <w:r w:rsidRPr="00B57997">
        <w:rPr>
          <w:lang w:val="en-US"/>
        </w:rPr>
        <w:t>" (</w:t>
      </w:r>
      <w:r w:rsidRPr="00B57997">
        <w:rPr>
          <w:b/>
          <w:bCs/>
          <w:lang w:val="en-US"/>
        </w:rPr>
        <w:t>2.48</w:t>
      </w:r>
      <w:r w:rsidRPr="00B57997">
        <w:rPr>
          <w:lang w:val="en-US"/>
        </w:rPr>
        <w:t xml:space="preserve">), but major houses like Morgan Stanley have trimmed targets, and Wolfe Research sees "constructive" upside only if ambitious product launches succeed. Notably, several analysts have revised earnings </w:t>
      </w:r>
      <w:proofErr w:type="gramStart"/>
      <w:r w:rsidRPr="00B57997">
        <w:rPr>
          <w:lang w:val="en-US"/>
        </w:rPr>
        <w:t>upward—</w:t>
      </w:r>
      <w:proofErr w:type="gramEnd"/>
      <w:r w:rsidRPr="00B57997">
        <w:rPr>
          <w:lang w:val="en-US"/>
        </w:rPr>
        <w:t>usually a bullish signal.</w:t>
      </w:r>
    </w:p>
    <w:p w14:paraId="25AA276E" w14:textId="77777777" w:rsidR="00B57997" w:rsidRPr="00B57997" w:rsidRDefault="00B57997" w:rsidP="00B57997">
      <w:pPr>
        <w:rPr>
          <w:b/>
          <w:bCs/>
        </w:rPr>
      </w:pPr>
      <w:r w:rsidRPr="00B57997">
        <w:rPr>
          <w:rFonts w:ascii="Segoe UI Emoji" w:hAnsi="Segoe UI Emoji" w:cs="Segoe UI Emoji"/>
          <w:b/>
          <w:bCs/>
        </w:rPr>
        <w:t>⚡</w:t>
      </w:r>
      <w:r w:rsidRPr="00B57997">
        <w:rPr>
          <w:b/>
          <w:bCs/>
        </w:rPr>
        <w:t xml:space="preserve"> </w:t>
      </w:r>
      <w:proofErr w:type="spellStart"/>
      <w:r w:rsidRPr="00B57997">
        <w:rPr>
          <w:b/>
          <w:bCs/>
        </w:rPr>
        <w:t>Recent</w:t>
      </w:r>
      <w:proofErr w:type="spellEnd"/>
      <w:r w:rsidRPr="00B57997">
        <w:rPr>
          <w:b/>
          <w:bCs/>
        </w:rPr>
        <w:t xml:space="preserve"> News: </w:t>
      </w:r>
      <w:proofErr w:type="spellStart"/>
      <w:r w:rsidRPr="00B57997">
        <w:rPr>
          <w:b/>
          <w:bCs/>
        </w:rPr>
        <w:t>Catalysts</w:t>
      </w:r>
      <w:proofErr w:type="spellEnd"/>
      <w:r w:rsidRPr="00B57997">
        <w:rPr>
          <w:b/>
          <w:bCs/>
        </w:rPr>
        <w:t xml:space="preserve"> &amp; </w:t>
      </w:r>
      <w:proofErr w:type="spellStart"/>
      <w:r w:rsidRPr="00B57997">
        <w:rPr>
          <w:b/>
          <w:bCs/>
        </w:rPr>
        <w:t>Cautions</w:t>
      </w:r>
      <w:proofErr w:type="spellEnd"/>
    </w:p>
    <w:p w14:paraId="0BB774AA" w14:textId="77777777" w:rsidR="00B57997" w:rsidRPr="00B57997" w:rsidRDefault="00B57997" w:rsidP="00B57997">
      <w:pPr>
        <w:numPr>
          <w:ilvl w:val="0"/>
          <w:numId w:val="1"/>
        </w:numPr>
      </w:pPr>
      <w:r w:rsidRPr="00B57997">
        <w:rPr>
          <w:b/>
          <w:bCs/>
          <w:lang w:val="en-US"/>
        </w:rPr>
        <w:t>Product Catalysts:</w:t>
      </w:r>
      <w:r w:rsidRPr="00B57997">
        <w:rPr>
          <w:lang w:val="en-US"/>
        </w:rPr>
        <w:t xml:space="preserve"> Wolfe Research highlights 2026 events—Optimus launch, </w:t>
      </w:r>
      <w:proofErr w:type="spellStart"/>
      <w:r w:rsidRPr="00B57997">
        <w:rPr>
          <w:lang w:val="en-US"/>
        </w:rPr>
        <w:t>Cybercab</w:t>
      </w:r>
      <w:proofErr w:type="spellEnd"/>
      <w:r w:rsidRPr="00B57997">
        <w:rPr>
          <w:lang w:val="en-US"/>
        </w:rPr>
        <w:t xml:space="preserve">, new FSD updates, and energy storage expansion—as possible </w:t>
      </w:r>
      <w:proofErr w:type="gramStart"/>
      <w:r w:rsidRPr="00B57997">
        <w:rPr>
          <w:lang w:val="en-US"/>
        </w:rPr>
        <w:t>game-changers</w:t>
      </w:r>
      <w:proofErr w:type="gramEnd"/>
      <w:r w:rsidRPr="00B57997">
        <w:rPr>
          <w:lang w:val="en-US"/>
        </w:rPr>
        <w:t>. </w:t>
      </w:r>
      <w:hyperlink r:id="rId5" w:tgtFrame="_blank" w:history="1">
        <w:proofErr w:type="spellStart"/>
        <w:r w:rsidRPr="00B57997">
          <w:rPr>
            <w:rStyle w:val="Hyperlink"/>
          </w:rPr>
          <w:t>Read</w:t>
        </w:r>
        <w:proofErr w:type="spellEnd"/>
        <w:r w:rsidRPr="00B57997">
          <w:rPr>
            <w:rStyle w:val="Hyperlink"/>
          </w:rPr>
          <w:t xml:space="preserve"> more</w:t>
        </w:r>
      </w:hyperlink>
    </w:p>
    <w:p w14:paraId="18035F19" w14:textId="77777777" w:rsidR="00B57997" w:rsidRPr="00B57997" w:rsidRDefault="00B57997" w:rsidP="00B57997">
      <w:pPr>
        <w:numPr>
          <w:ilvl w:val="0"/>
          <w:numId w:val="1"/>
        </w:numPr>
      </w:pPr>
      <w:r w:rsidRPr="00B57997">
        <w:rPr>
          <w:b/>
          <w:bCs/>
          <w:lang w:val="en-US"/>
        </w:rPr>
        <w:t>Earnings Beat:</w:t>
      </w:r>
      <w:r w:rsidRPr="00B57997">
        <w:rPr>
          <w:lang w:val="en-US"/>
        </w:rPr>
        <w:t> Q4 EPS of $0.50 topped expectations, but only slightly; revenue just edged out forecasts. </w:t>
      </w:r>
      <w:hyperlink r:id="rId6" w:tgtFrame="_blank" w:history="1">
        <w:proofErr w:type="spellStart"/>
        <w:r w:rsidRPr="00B57997">
          <w:rPr>
            <w:rStyle w:val="Hyperlink"/>
          </w:rPr>
          <w:t>Read</w:t>
        </w:r>
        <w:proofErr w:type="spellEnd"/>
        <w:r w:rsidRPr="00B57997">
          <w:rPr>
            <w:rStyle w:val="Hyperlink"/>
          </w:rPr>
          <w:t xml:space="preserve"> more</w:t>
        </w:r>
      </w:hyperlink>
    </w:p>
    <w:p w14:paraId="5464048B" w14:textId="77777777" w:rsidR="00B57997" w:rsidRPr="00B57997" w:rsidRDefault="00B57997" w:rsidP="00B57997">
      <w:pPr>
        <w:numPr>
          <w:ilvl w:val="0"/>
          <w:numId w:val="1"/>
        </w:numPr>
      </w:pPr>
      <w:r w:rsidRPr="00B57997">
        <w:rPr>
          <w:b/>
          <w:bCs/>
          <w:lang w:val="en-US"/>
        </w:rPr>
        <w:t>ARK Invest:</w:t>
      </w:r>
      <w:r w:rsidRPr="00B57997">
        <w:rPr>
          <w:lang w:val="en-US"/>
        </w:rPr>
        <w:t> Cathie Wood’s ARK has been buying, suggesting conviction in Tesla’s long-term AI/robotaxi upside. </w:t>
      </w:r>
      <w:hyperlink r:id="rId7" w:tgtFrame="_blank" w:history="1">
        <w:proofErr w:type="spellStart"/>
        <w:r w:rsidRPr="00B57997">
          <w:rPr>
            <w:rStyle w:val="Hyperlink"/>
          </w:rPr>
          <w:t>Read</w:t>
        </w:r>
        <w:proofErr w:type="spellEnd"/>
        <w:r w:rsidRPr="00B57997">
          <w:rPr>
            <w:rStyle w:val="Hyperlink"/>
          </w:rPr>
          <w:t xml:space="preserve"> more</w:t>
        </w:r>
      </w:hyperlink>
    </w:p>
    <w:p w14:paraId="1C0F26C2" w14:textId="77777777" w:rsidR="00B57997" w:rsidRPr="00B57997" w:rsidRDefault="00B57997" w:rsidP="00B57997">
      <w:pPr>
        <w:numPr>
          <w:ilvl w:val="0"/>
          <w:numId w:val="1"/>
        </w:numPr>
      </w:pPr>
      <w:r w:rsidRPr="00B57997">
        <w:rPr>
          <w:b/>
          <w:bCs/>
          <w:lang w:val="en-US"/>
        </w:rPr>
        <w:t>Regulatory Risks:</w:t>
      </w:r>
      <w:r w:rsidRPr="00B57997">
        <w:rPr>
          <w:lang w:val="en-US"/>
        </w:rPr>
        <w:t> Tesla is pressing Congress for self-driving rules as China tightens standards, adding uncertainty to the robotaxi timeline. </w:t>
      </w:r>
      <w:hyperlink r:id="rId8" w:tgtFrame="_blank" w:history="1">
        <w:proofErr w:type="spellStart"/>
        <w:r w:rsidRPr="00B57997">
          <w:rPr>
            <w:rStyle w:val="Hyperlink"/>
          </w:rPr>
          <w:t>Read</w:t>
        </w:r>
        <w:proofErr w:type="spellEnd"/>
        <w:r w:rsidRPr="00B57997">
          <w:rPr>
            <w:rStyle w:val="Hyperlink"/>
          </w:rPr>
          <w:t xml:space="preserve"> more</w:t>
        </w:r>
      </w:hyperlink>
    </w:p>
    <w:p w14:paraId="0C4EA74A" w14:textId="77777777" w:rsidR="00B57997" w:rsidRDefault="00B57997" w:rsidP="00B57997">
      <w:pPr>
        <w:rPr>
          <w:b/>
          <w:bCs/>
        </w:rPr>
      </w:pPr>
      <w:r w:rsidRPr="00B57997">
        <w:rPr>
          <w:rFonts w:ascii="Segoe UI Emoji" w:hAnsi="Segoe UI Emoji" w:cs="Segoe UI Emoji"/>
          <w:b/>
          <w:bCs/>
        </w:rPr>
        <w:t>📉</w:t>
      </w:r>
      <w:r w:rsidRPr="00B57997">
        <w:rPr>
          <w:b/>
          <w:bCs/>
        </w:rPr>
        <w:t xml:space="preserve"> </w:t>
      </w:r>
      <w:proofErr w:type="spellStart"/>
      <w:r w:rsidRPr="00B57997">
        <w:rPr>
          <w:b/>
          <w:bCs/>
        </w:rPr>
        <w:t>Technicals</w:t>
      </w:r>
      <w:proofErr w:type="spellEnd"/>
      <w:r w:rsidRPr="00B57997">
        <w:rPr>
          <w:b/>
          <w:bCs/>
        </w:rPr>
        <w:t xml:space="preserve">: </w:t>
      </w:r>
      <w:proofErr w:type="spellStart"/>
      <w:r w:rsidRPr="00B57997">
        <w:rPr>
          <w:b/>
          <w:bCs/>
        </w:rPr>
        <w:t>Bearish</w:t>
      </w:r>
      <w:proofErr w:type="spellEnd"/>
      <w:r w:rsidRPr="00B57997">
        <w:rPr>
          <w:b/>
          <w:bCs/>
        </w:rPr>
        <w:t xml:space="preserve"> Momentum</w:t>
      </w:r>
    </w:p>
    <w:p w14:paraId="1396CC2B" w14:textId="20133E54" w:rsidR="00E138AA" w:rsidRPr="00B57997" w:rsidRDefault="00E138AA" w:rsidP="00B57997">
      <w:pPr>
        <w:rPr>
          <w:b/>
          <w:bCs/>
        </w:rPr>
      </w:pPr>
      <w:r w:rsidRPr="00E138AA">
        <w:rPr>
          <w:b/>
          <w:bCs/>
          <w:noProof/>
        </w:rPr>
        <w:lastRenderedPageBreak/>
        <w:drawing>
          <wp:inline distT="0" distB="0" distL="0" distR="0" wp14:anchorId="1D4AD64A" wp14:editId="0A8EFF4C">
            <wp:extent cx="5731510" cy="3435350"/>
            <wp:effectExtent l="0" t="0" r="2540" b="0"/>
            <wp:docPr id="29219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5505" name=""/>
                    <pic:cNvPicPr/>
                  </pic:nvPicPr>
                  <pic:blipFill>
                    <a:blip r:embed="rId9"/>
                    <a:stretch>
                      <a:fillRect/>
                    </a:stretch>
                  </pic:blipFill>
                  <pic:spPr>
                    <a:xfrm>
                      <a:off x="0" y="0"/>
                      <a:ext cx="5731510" cy="3435350"/>
                    </a:xfrm>
                    <a:prstGeom prst="rect">
                      <a:avLst/>
                    </a:prstGeom>
                  </pic:spPr>
                </pic:pic>
              </a:graphicData>
            </a:graphic>
          </wp:inline>
        </w:drawing>
      </w:r>
    </w:p>
    <w:p w14:paraId="407467F2" w14:textId="77777777" w:rsidR="00B57997" w:rsidRPr="00B57997" w:rsidRDefault="00B57997" w:rsidP="00B57997">
      <w:pPr>
        <w:rPr>
          <w:lang w:val="en-US"/>
        </w:rPr>
      </w:pPr>
      <w:r w:rsidRPr="00B57997">
        <w:rPr>
          <w:lang w:val="en-US"/>
        </w:rPr>
        <w:t xml:space="preserve">All major technicals are flashing </w:t>
      </w:r>
      <w:r w:rsidRPr="00B57997">
        <w:rPr>
          <w:b/>
          <w:bCs/>
          <w:lang w:val="en-US"/>
        </w:rPr>
        <w:t xml:space="preserve">strong </w:t>
      </w:r>
      <w:proofErr w:type="gramStart"/>
      <w:r w:rsidRPr="00B57997">
        <w:rPr>
          <w:b/>
          <w:bCs/>
          <w:lang w:val="en-US"/>
        </w:rPr>
        <w:t>sell</w:t>
      </w:r>
      <w:proofErr w:type="gramEnd"/>
      <w:r w:rsidRPr="00B57997">
        <w:rPr>
          <w:lang w:val="en-US"/>
        </w:rPr>
        <w:t xml:space="preserve"> (hourly &amp; daily): RSI at </w:t>
      </w:r>
      <w:r w:rsidRPr="00B57997">
        <w:rPr>
          <w:b/>
          <w:bCs/>
          <w:lang w:val="en-US"/>
        </w:rPr>
        <w:t>34.96</w:t>
      </w:r>
      <w:r w:rsidRPr="00B57997">
        <w:rPr>
          <w:lang w:val="en-US"/>
        </w:rPr>
        <w:t xml:space="preserve"> (approaching oversold), MACD negative, and moving averages trending down. The price is </w:t>
      </w:r>
      <w:r w:rsidRPr="00B57997">
        <w:rPr>
          <w:b/>
          <w:bCs/>
          <w:lang w:val="en-US"/>
        </w:rPr>
        <w:t>20% below</w:t>
      </w:r>
      <w:r w:rsidRPr="00B57997">
        <w:rPr>
          <w:lang w:val="en-US"/>
        </w:rPr>
        <w:t xml:space="preserve"> its 52-week high, and the overall trend is weak except for the monthly chart, which alone signals "buy."</w:t>
      </w:r>
    </w:p>
    <w:p w14:paraId="4CC4933E" w14:textId="77777777" w:rsidR="00B57997" w:rsidRPr="00B57997" w:rsidRDefault="00B57997" w:rsidP="00B57997">
      <w:pPr>
        <w:rPr>
          <w:lang w:val="en-US"/>
        </w:rPr>
      </w:pPr>
      <w:r w:rsidRPr="00B57997">
        <w:rPr>
          <w:lang w:val="en-US"/>
        </w:rPr>
        <w:t>Mar 6, 2025Apr 29, 2025Jun 24, 2025Aug 20, 2025Oct 16, 2025Dec 12, 2025Feb 5, 20260751502253000150300450600</w:t>
      </w:r>
    </w:p>
    <w:p w14:paraId="2C5193AE" w14:textId="77777777" w:rsidR="00B57997" w:rsidRPr="00B57997" w:rsidRDefault="00B57997" w:rsidP="00B57997">
      <w:pPr>
        <w:rPr>
          <w:lang w:val="en-US"/>
        </w:rPr>
      </w:pPr>
      <w:r w:rsidRPr="00B57997">
        <w:rPr>
          <w:lang w:val="en-US"/>
        </w:rPr>
        <w:t>TSLA - Trading Volume</w:t>
      </w:r>
    </w:p>
    <w:p w14:paraId="509B521A" w14:textId="77777777" w:rsidR="00B57997" w:rsidRPr="00B57997" w:rsidRDefault="00B57997" w:rsidP="00B57997">
      <w:pPr>
        <w:rPr>
          <w:lang w:val="en-US"/>
        </w:rPr>
      </w:pPr>
      <w:r w:rsidRPr="00B57997">
        <w:rPr>
          <w:lang w:val="en-US"/>
        </w:rPr>
        <w:t>TSLA - Price Close (Split Adjusted)</w:t>
      </w:r>
    </w:p>
    <w:p w14:paraId="71A98BC1" w14:textId="77777777" w:rsidR="00B57997" w:rsidRPr="00B57997" w:rsidRDefault="00B57997" w:rsidP="00B57997">
      <w:pPr>
        <w:rPr>
          <w:b/>
          <w:bCs/>
          <w:lang w:val="en-US"/>
        </w:rPr>
      </w:pPr>
      <w:r w:rsidRPr="00B57997">
        <w:rPr>
          <w:rFonts w:ascii="Segoe UI Emoji" w:hAnsi="Segoe UI Emoji" w:cs="Segoe UI Emoji"/>
          <w:b/>
          <w:bCs/>
        </w:rPr>
        <w:t>🏁</w:t>
      </w:r>
      <w:r w:rsidRPr="00B57997">
        <w:rPr>
          <w:b/>
          <w:bCs/>
          <w:lang w:val="en-US"/>
        </w:rPr>
        <w:t xml:space="preserve"> </w:t>
      </w:r>
      <w:proofErr w:type="spellStart"/>
      <w:r w:rsidRPr="00B57997">
        <w:rPr>
          <w:b/>
          <w:bCs/>
          <w:lang w:val="en-US"/>
        </w:rPr>
        <w:t>WarrenAI</w:t>
      </w:r>
      <w:proofErr w:type="spellEnd"/>
      <w:r w:rsidRPr="00B57997">
        <w:rPr>
          <w:b/>
          <w:bCs/>
          <w:lang w:val="en-US"/>
        </w:rPr>
        <w:t xml:space="preserve"> Take: Cautiously Bearish, With a Twist</w:t>
      </w:r>
    </w:p>
    <w:p w14:paraId="106362ED" w14:textId="77777777" w:rsidR="00B57997" w:rsidRPr="00B57997" w:rsidRDefault="00B57997" w:rsidP="00B57997">
      <w:pPr>
        <w:rPr>
          <w:lang w:val="en-US"/>
        </w:rPr>
      </w:pPr>
      <w:r w:rsidRPr="00B57997">
        <w:rPr>
          <w:lang w:val="en-US"/>
        </w:rPr>
        <w:t xml:space="preserve">Tesla is priced for perfection with a </w:t>
      </w:r>
      <w:r w:rsidRPr="00B57997">
        <w:rPr>
          <w:b/>
          <w:bCs/>
          <w:lang w:val="en-US"/>
        </w:rPr>
        <w:t>P/E multiple that would make most CEOs blush</w:t>
      </w:r>
      <w:r w:rsidRPr="00B57997">
        <w:rPr>
          <w:lang w:val="en-US"/>
        </w:rPr>
        <w:t xml:space="preserve"> and negative recent EPS growth. While analyst upgrades and Q4 beats keep the bull case alive, the technical picture and valuation risk dominate in the short term. The robotaxi/AI narrative is powerful—but it's not yet showing up in the numbers.</w:t>
      </w:r>
    </w:p>
    <w:p w14:paraId="4FD6E2A8" w14:textId="77777777" w:rsidR="00B57997" w:rsidRPr="00B57997" w:rsidRDefault="00B57997" w:rsidP="00B57997">
      <w:pPr>
        <w:rPr>
          <w:lang w:val="en-US"/>
        </w:rPr>
      </w:pPr>
      <w:r w:rsidRPr="00B57997">
        <w:rPr>
          <w:b/>
          <w:bCs/>
          <w:lang w:val="en-US"/>
        </w:rPr>
        <w:t>Bottom line:</w:t>
      </w:r>
      <w:r w:rsidRPr="00B57997">
        <w:rPr>
          <w:lang w:val="en-US"/>
        </w:rPr>
        <w:t xml:space="preserve"> Near-term risks outweigh rewards unless 2026 product launches or regulatory breakthroughs </w:t>
      </w:r>
      <w:proofErr w:type="gramStart"/>
      <w:r w:rsidRPr="00B57997">
        <w:rPr>
          <w:lang w:val="en-US"/>
        </w:rPr>
        <w:t>surprise to</w:t>
      </w:r>
      <w:proofErr w:type="gramEnd"/>
      <w:r w:rsidRPr="00B57997">
        <w:rPr>
          <w:lang w:val="en-US"/>
        </w:rPr>
        <w:t xml:space="preserve"> the upside.</w:t>
      </w:r>
    </w:p>
    <w:p w14:paraId="26D2B360" w14:textId="77777777" w:rsidR="00B57997" w:rsidRPr="00B57997" w:rsidRDefault="00B57997">
      <w:pPr>
        <w:rPr>
          <w:lang w:val="en-US"/>
        </w:rPr>
      </w:pPr>
    </w:p>
    <w:sectPr w:rsidR="00B57997" w:rsidRPr="00B5799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04D8"/>
    <w:multiLevelType w:val="multilevel"/>
    <w:tmpl w:val="1C5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777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97"/>
    <w:rsid w:val="00233955"/>
    <w:rsid w:val="008F2BFA"/>
    <w:rsid w:val="00B20F7F"/>
    <w:rsid w:val="00B57997"/>
    <w:rsid w:val="00BD6F82"/>
    <w:rsid w:val="00DE5C83"/>
    <w:rsid w:val="00E138AA"/>
    <w:rsid w:val="00E643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0582"/>
  <w15:chartTrackingRefBased/>
  <w15:docId w15:val="{35A363A7-BB5F-4FBD-8319-EEF52EB0E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97"/>
    <w:rPr>
      <w:rFonts w:eastAsiaTheme="majorEastAsia" w:cstheme="majorBidi"/>
      <w:color w:val="272727" w:themeColor="text1" w:themeTint="D8"/>
    </w:rPr>
  </w:style>
  <w:style w:type="paragraph" w:styleId="Title">
    <w:name w:val="Title"/>
    <w:basedOn w:val="Normal"/>
    <w:next w:val="Normal"/>
    <w:link w:val="TitleChar"/>
    <w:uiPriority w:val="10"/>
    <w:qFormat/>
    <w:rsid w:val="00B57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97"/>
    <w:pPr>
      <w:spacing w:before="160"/>
      <w:jc w:val="center"/>
    </w:pPr>
    <w:rPr>
      <w:i/>
      <w:iCs/>
      <w:color w:val="404040" w:themeColor="text1" w:themeTint="BF"/>
    </w:rPr>
  </w:style>
  <w:style w:type="character" w:customStyle="1" w:styleId="QuoteChar">
    <w:name w:val="Quote Char"/>
    <w:basedOn w:val="DefaultParagraphFont"/>
    <w:link w:val="Quote"/>
    <w:uiPriority w:val="29"/>
    <w:rsid w:val="00B57997"/>
    <w:rPr>
      <w:i/>
      <w:iCs/>
      <w:color w:val="404040" w:themeColor="text1" w:themeTint="BF"/>
    </w:rPr>
  </w:style>
  <w:style w:type="paragraph" w:styleId="ListParagraph">
    <w:name w:val="List Paragraph"/>
    <w:basedOn w:val="Normal"/>
    <w:uiPriority w:val="34"/>
    <w:qFormat/>
    <w:rsid w:val="00B57997"/>
    <w:pPr>
      <w:ind w:left="720"/>
      <w:contextualSpacing/>
    </w:pPr>
  </w:style>
  <w:style w:type="character" w:styleId="IntenseEmphasis">
    <w:name w:val="Intense Emphasis"/>
    <w:basedOn w:val="DefaultParagraphFont"/>
    <w:uiPriority w:val="21"/>
    <w:qFormat/>
    <w:rsid w:val="00B57997"/>
    <w:rPr>
      <w:i/>
      <w:iCs/>
      <w:color w:val="0F4761" w:themeColor="accent1" w:themeShade="BF"/>
    </w:rPr>
  </w:style>
  <w:style w:type="paragraph" w:styleId="IntenseQuote">
    <w:name w:val="Intense Quote"/>
    <w:basedOn w:val="Normal"/>
    <w:next w:val="Normal"/>
    <w:link w:val="IntenseQuoteChar"/>
    <w:uiPriority w:val="30"/>
    <w:qFormat/>
    <w:rsid w:val="00B57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997"/>
    <w:rPr>
      <w:i/>
      <w:iCs/>
      <w:color w:val="0F4761" w:themeColor="accent1" w:themeShade="BF"/>
    </w:rPr>
  </w:style>
  <w:style w:type="character" w:styleId="IntenseReference">
    <w:name w:val="Intense Reference"/>
    <w:basedOn w:val="DefaultParagraphFont"/>
    <w:uiPriority w:val="32"/>
    <w:qFormat/>
    <w:rsid w:val="00B57997"/>
    <w:rPr>
      <w:b/>
      <w:bCs/>
      <w:smallCaps/>
      <w:color w:val="0F4761" w:themeColor="accent1" w:themeShade="BF"/>
      <w:spacing w:val="5"/>
    </w:rPr>
  </w:style>
  <w:style w:type="character" w:styleId="Hyperlink">
    <w:name w:val="Hyperlink"/>
    <w:basedOn w:val="DefaultParagraphFont"/>
    <w:uiPriority w:val="99"/>
    <w:unhideWhenUsed/>
    <w:rsid w:val="00B57997"/>
    <w:rPr>
      <w:color w:val="467886" w:themeColor="hyperlink"/>
      <w:u w:val="single"/>
    </w:rPr>
  </w:style>
  <w:style w:type="character" w:styleId="UnresolvedMention">
    <w:name w:val="Unresolved Mention"/>
    <w:basedOn w:val="DefaultParagraphFont"/>
    <w:uiPriority w:val="99"/>
    <w:semiHidden/>
    <w:unhideWhenUsed/>
    <w:rsid w:val="00B57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ing.com/news/company-news/tesla-urges-congress-to-update-selfdriving-regulations-93CH-4482632" TargetMode="External"/><Relationship Id="rId3" Type="http://schemas.openxmlformats.org/officeDocument/2006/relationships/settings" Target="settings.xml"/><Relationship Id="rId7" Type="http://schemas.openxmlformats.org/officeDocument/2006/relationships/hyperlink" Target="https://www.investing.com/news/company-news/cathie-woods-ark-sells-teradyne-stock-buys-amd-and-tesla-93CH-44863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ing.com/news/earnings/tesla-earnings-beat-by-005-revenue-topped-estimates-4471223" TargetMode="External"/><Relationship Id="rId11" Type="http://schemas.openxmlformats.org/officeDocument/2006/relationships/theme" Target="theme/theme1.xml"/><Relationship Id="rId5" Type="http://schemas.openxmlformats.org/officeDocument/2006/relationships/hyperlink" Target="https://www.investing.com/news/analyst-ratings/wolfe-research-remains-cautious-on-tesla-stock-fundamentals-despite-catalysts-ahead-93CH-448432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2531</Characters>
  <Application>Microsoft Office Word</Application>
  <DocSecurity>0</DocSecurity>
  <Lines>49</Lines>
  <Paragraphs>21</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Rogerio Moura</dc:creator>
  <cp:keywords/>
  <dc:description/>
  <cp:lastModifiedBy>Rogerio Moura</cp:lastModifiedBy>
  <cp:revision>3</cp:revision>
  <dcterms:created xsi:type="dcterms:W3CDTF">2026-02-05T17:50:00Z</dcterms:created>
  <dcterms:modified xsi:type="dcterms:W3CDTF">2026-02-05T18:13:00Z</dcterms:modified>
</cp:coreProperties>
</file>