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Validação de planilhas com Pinia</w:t>
      </w:r>
    </w:p>
    <w:p>
      <w:pPr>
        <w:pStyle w:val="Subtitle"/>
      </w:pPr>
      <w:r>
        <w:t>CTI Provedor   Atividade individual de Front End</w:t>
      </w:r>
    </w:p>
    <w:p>
      <w:r>
        <w:t>Nome: ____________________________________    Data: ____ / ____ / ______</w:t>
      </w:r>
    </w:p>
    <w:p>
      <w:r>
        <w:t>A funcionalidade analisa uma planilha Excel no navegador e apresenta os problemas encontrados em um relatório. A store usePlanilhaStore, em src/stores/planilha.js, centraliza os dados e as regras de validação no Vue 3. O fluxo é Excel → tela de upload → Pinia → tela de relatório.</w:t>
      </w:r>
    </w:p>
    <w:p>
      <w:pPr>
        <w:pStyle w:val="Heading1"/>
      </w:pPr>
      <w:r>
        <w:t>State e armazenamento temporário</w:t>
      </w:r>
    </w:p>
    <w:p>
      <w:r>
        <w:t>nomeArquivo e nomeAba identificam a análise. cabecalhos guarda os nomes das colunas reconhecidas. registros contém os valores lidos e a linha original do Excel, no formato { linha, dados }.</w:t>
      </w:r>
    </w:p>
    <w:p>
      <w:r>
        <w:t>erros armazena cada ocorrência com linha, campo, tipo, descricao e valor original, além de sugestao quando aplicável. carregando controla a espera, erroArquivo informa falhas de leitura ou estrutura e validadoEm registra o momento da validação.</w:t>
      </w:r>
    </w:p>
    <w:p>
      <w:r>
        <w:t>O estado fica somente na memória enquanto a aplicação permanece aberta. Recarregar a página ou usar Limpar remove a análise. O arquivo original é preservado e esse fluxo não envia os dados ao servidor.</w:t>
      </w:r>
    </w:p>
    <w:p>
      <w:pPr>
        <w:pStyle w:val="Heading1"/>
      </w:pPr>
      <w:r>
        <w:t>Getters e informações calculadas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04"/>
        <w:gridCol w:w="7632"/>
      </w:tblGrid>
      <w:tr>
        <w:trPr>
          <w:tblHeader/>
          <w:cantSplit/>
        </w:trPr>
        <w:tc>
          <w:tcPr>
            <w:tcW w:type="dxa" w:w="230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E7EEF5"/>
          </w:tcPr>
          <w:p>
            <w:pPr>
              <w:spacing w:after="0" w:line="247" w:lineRule="auto"/>
            </w:pPr>
            <w:r>
              <w:rPr>
                <w:b/>
                <w:color w:val="000000"/>
                <w:sz w:val="21"/>
              </w:rPr>
              <w:t>Getter</w:t>
            </w:r>
          </w:p>
        </w:tc>
        <w:tc>
          <w:tcPr>
            <w:tcW w:type="dxa" w:w="763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E7EEF5"/>
          </w:tcPr>
          <w:p>
            <w:pPr>
              <w:spacing w:after="0" w:line="247" w:lineRule="auto"/>
            </w:pPr>
            <w:r>
              <w:rPr>
                <w:b/>
                <w:color w:val="000000"/>
                <w:sz w:val="21"/>
              </w:rPr>
              <w:t>Cálculo ou resultado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21"/>
              </w:rPr>
              <w:t>totalRegistros</w:t>
            </w:r>
          </w:p>
        </w:tc>
        <w:tc>
          <w:tcPr>
            <w:tcW w:type="dxa" w:w="763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21"/>
              </w:rPr>
              <w:t>Quantidade de registros analisados, excluindo linhas totalmente vazias.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21"/>
              </w:rPr>
              <w:t>totalErros</w:t>
            </w:r>
          </w:p>
        </w:tc>
        <w:tc>
          <w:tcPr>
            <w:tcW w:type="dxa" w:w="763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21"/>
              </w:rPr>
              <w:t>Número de ocorrências encontradas em todos os campos.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21"/>
              </w:rPr>
              <w:t>totalComErro</w:t>
            </w:r>
          </w:p>
        </w:tc>
        <w:tc>
          <w:tcPr>
            <w:tcW w:type="dxa" w:w="763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21"/>
              </w:rPr>
              <w:t>Quantidade de linhas distintas com pelo menos um problema.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21"/>
              </w:rPr>
              <w:t>totalValidos</w:t>
            </w:r>
          </w:p>
        </w:tc>
        <w:tc>
          <w:tcPr>
            <w:tcW w:type="dxa" w:w="763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21"/>
              </w:rPr>
              <w:t>Total de registros menos o total de linhas com erro.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21"/>
              </w:rPr>
              <w:t>percentualValidos</w:t>
            </w:r>
          </w:p>
        </w:tc>
        <w:tc>
          <w:tcPr>
            <w:tcW w:type="dxa" w:w="763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21"/>
              </w:rPr>
              <w:t>Percentual de registros válidos; retorna zero se não houver registros.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21"/>
              </w:rPr>
              <w:t>errosPorTipo</w:t>
            </w:r>
          </w:p>
        </w:tc>
        <w:tc>
          <w:tcPr>
            <w:tcW w:type="dxa" w:w="763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21"/>
              </w:rPr>
              <w:t>Quantidade de cada categoria de erro, inclusive categorias com zero ocorrências.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21"/>
              </w:rPr>
              <w:t>registrosValidos</w:t>
            </w:r>
          </w:p>
        </w:tc>
        <w:tc>
          <w:tcPr>
            <w:tcW w:type="dxa" w:w="763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21"/>
              </w:rPr>
              <w:t>Lista dos registros que não possuem ocorrências de validação.</w:t>
            </w:r>
          </w:p>
        </w:tc>
      </w:tr>
    </w:tbl>
    <w:p>
      <w:pPr>
        <w:spacing w:after="0"/>
      </w:pPr>
    </w:p>
    <w:p>
      <w:r>
        <w:t>Uma linha pode ter vários problemas. Por isso, totalErros pode ser maior que totalComErro; cada linha é contada apenas uma vez no total de registros com erro.</w:t>
      </w:r>
    </w:p>
    <w:p>
      <w:r>
        <w:br w:type="page"/>
      </w:r>
    </w:p>
    <w:p>
      <w:pPr>
        <w:pStyle w:val="Heading1"/>
      </w:pPr>
      <w:r>
        <w:t>Actions e processamento</w:t>
      </w:r>
    </w:p>
    <w:p>
      <w:r>
        <w:rPr>
          <w:b/>
        </w:rPr>
        <w:t>importarArquivo</w:t>
      </w:r>
      <w:r>
        <w:t xml:space="preserve"> recebe o arquivo, verifica o formato e o tamanho, lê a primeira aba com SheetJS, reconhece os cabeçalhos e armazena os registros. Em seguida, chama validarDados. Arquivos inválidos geram uma mensagem em erroArquivo.</w:t>
      </w:r>
    </w:p>
    <w:p>
      <w:r>
        <w:rPr>
          <w:b/>
        </w:rPr>
        <w:t>validarDados</w:t>
      </w:r>
      <w:r>
        <w:t xml:space="preserve"> percorre os registros, executa as regras e substitui a lista de erros. A revalidação não acumula ocorrências antigas nem corrige automaticamente os valores originais. limpar cancela leituras pendentes e restaura o estado inicial.</w:t>
      </w:r>
    </w:p>
    <w:p>
      <w:pPr>
        <w:pStyle w:val="Heading1"/>
      </w:pPr>
      <w:r>
        <w:t>Validações realizadas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04"/>
        <w:gridCol w:w="7632"/>
      </w:tblGrid>
      <w:tr>
        <w:trPr>
          <w:tblHeader/>
          <w:cantSplit/>
        </w:trPr>
        <w:tc>
          <w:tcPr>
            <w:tcW w:type="dxa" w:w="230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E7EEF5"/>
          </w:tcPr>
          <w:p>
            <w:pPr>
              <w:spacing w:after="0" w:line="247" w:lineRule="auto"/>
            </w:pPr>
            <w:r>
              <w:rPr>
                <w:b/>
                <w:color w:val="000000"/>
                <w:sz w:val="21"/>
              </w:rPr>
              <w:t>Validação</w:t>
            </w:r>
          </w:p>
        </w:tc>
        <w:tc>
          <w:tcPr>
            <w:tcW w:type="dxa" w:w="763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E7EEF5"/>
          </w:tcPr>
          <w:p>
            <w:pPr>
              <w:spacing w:after="0" w:line="247" w:lineRule="auto"/>
            </w:pPr>
            <w:r>
              <w:rPr>
                <w:b/>
                <w:color w:val="000000"/>
                <w:sz w:val="21"/>
              </w:rPr>
              <w:t>Regra aplicada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21"/>
              </w:rPr>
              <w:t>Campos obrigatórios</w:t>
            </w:r>
          </w:p>
        </w:tc>
        <w:tc>
          <w:tcPr>
            <w:tcW w:type="dxa" w:w="763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21"/>
              </w:rPr>
              <w:t>codigo, nome e email não podem ficar vazios ou conter apenas espaços. status e nivel são opcionais.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21"/>
              </w:rPr>
              <w:t>Espaços desnecessários</w:t>
            </w:r>
          </w:p>
        </w:tc>
        <w:tc>
          <w:tcPr>
            <w:tcW w:type="dxa" w:w="763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21"/>
              </w:rPr>
              <w:t>Detecta espaços no início e no fim, espaços repetidos, tabulações e quebras de linha em qualquer campo.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21"/>
              </w:rPr>
              <w:t>Registros duplicados</w:t>
            </w:r>
          </w:p>
        </w:tc>
        <w:tc>
          <w:tcPr>
            <w:tcW w:type="dxa" w:w="763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21"/>
              </w:rPr>
              <w:t>Compara codigo ignorando caixa e espaços extras. Todos os registros do grupo são marcados, inclusive o primeiro.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21"/>
              </w:rPr>
              <w:t>E-mails inválidos</w:t>
            </w:r>
          </w:p>
        </w:tc>
        <w:tc>
          <w:tcPr>
            <w:tcW w:type="dxa" w:w="763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21"/>
              </w:rPr>
              <w:t>Verifica a estrutura do endereço, o domínio, espaços e pontos consecutivos, além dos limites de tamanho.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21"/>
              </w:rPr>
              <w:t>Dados fora do padrão</w:t>
            </w:r>
          </w:p>
        </w:tc>
        <w:tc>
          <w:tcPr>
            <w:tcW w:type="dxa" w:w="763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21"/>
              </w:rPr>
              <w:t>Valida os caracteres de codigo e nome. Aceita status Ativo, Inativo ou Pendente e nivel A, B ou C.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21"/>
              </w:rPr>
              <w:t>Textos para padronizar</w:t>
            </w:r>
          </w:p>
        </w:tc>
        <w:tc>
          <w:tcPr>
            <w:tcW w:type="dxa" w:w="763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21"/>
              </w:rPr>
              <w:t>Sinaliza nomes inteiramente em maiúsculas ou minúsculas, e-mails válidos com maiúsculas e a caixa incorreta de status e nivel. Exibe sugestões.</w:t>
            </w:r>
          </w:p>
        </w:tc>
      </w:tr>
    </w:tbl>
    <w:p>
      <w:pPr>
        <w:spacing w:after="0"/>
      </w:pPr>
    </w:p>
    <w:p>
      <w:r>
        <w:t>A importação aceita .xlsx de até 5 MiB, com área utilizada até a linha 10001 e a coluna 100. Cabeçalhos ausentes, vazios ou duplicados, planilhas sem registros e arquivos ilegíveis são rejeitados. Linhas totalmente vazias são ignoradas; linhas contendo espaços são analisadas.</w:t>
      </w:r>
    </w:p>
    <w:p>
      <w:pPr>
        <w:pStyle w:val="Heading1"/>
      </w:pPr>
      <w:r>
        <w:t>Apresentação dos resultados</w:t>
      </w:r>
    </w:p>
    <w:p>
      <w:r>
        <w:t>A tela de upload, em /app/upload, permite selecionar o arquivo, baixar o modelo e testar um exemplo com problemas. Após a análise, /app/relatorios mostra nome do arquivo, aba, data e hora, totais de registros, válidos, linhas com erro e ocorrências.</w:t>
      </w:r>
    </w:p>
    <w:p>
      <w:r>
        <w:t>O relatório reúne as quantidades por tipo e uma tabela pesquisável com linha do Excel, campo, descrição, valor original e sugestão. A prévia identifica os registros válidos e os que precisam de revisão. Os controles permitem filtrar, paginar, revalidar e iniciar outra análise.</w:t>
      </w:r>
    </w:p>
    <w:sectPr w:rsidR="00FC693F" w:rsidRPr="0006063C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4" w:lineRule="auto" w:after="120"/>
    </w:pPr>
    <w:rPr>
      <w:rFonts w:ascii="Calibri" w:hAnsi="Calibri" w:eastAsia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60" w:line="240" w:lineRule="auto"/>
      <w:contextualSpacing/>
    </w:pPr>
    <w:rPr>
      <w:rFonts w:asciiTheme="majorHAnsi" w:eastAsiaTheme="majorEastAsia" w:hAnsiTheme="majorHAnsi" w:cstheme="majorBidi" w:ascii="Calibri" w:hAnsi="Calibri" w:eastAsia="Calibri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60"/>
    </w:pPr>
    <w:rPr>
      <w:rFonts w:asciiTheme="majorHAnsi" w:eastAsiaTheme="majorEastAsia" w:hAnsiTheme="majorHAnsi" w:cstheme="majorBidi" w:ascii="Calibri" w:hAnsi="Calibri" w:eastAsia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Validação de planilhas com Pinia</dc:title>
  <dc:subject>Atividade individual de Front End do CTI Provedor</dc:subject>
  <dc:creator/>
  <cp:keywords>Vue 3, Pinia, Excel, validação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