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rPr>
          <w:rFonts w:ascii="Microsoft YaHei" w:cs="Microsoft YaHei" w:eastAsia="Microsoft YaHei" w:hAnsi="Microsoft YaHei"/>
          <w:b/>
          <w:bCs/>
          <w:color w:val="111827"/>
          <w:sz w:val="38"/>
          <w:szCs w:val="38"/>
        </w:rPr>
        <w:t xml:space="preserve">光洋股份具身智能证据明细</w:t>
      </w:r>
    </w:p>
    <w:p>
      <w:pPr>
        <w:spacing w:after="360"/>
        <w:jc w:val="center"/>
      </w:pPr>
      <w:r>
        <w:rPr>
          <w:rFonts w:ascii="Microsoft YaHei" w:cs="Microsoft YaHei" w:eastAsia="Microsoft YaHei" w:hAnsi="Microsoft YaHei"/>
          <w:color w:val="64748B"/>
          <w:sz w:val="20"/>
          <w:szCs w:val="20"/>
        </w:rPr>
        <w:t xml:space="preserve">股票：002708.SZ｜主题：具身智能 / 机器人传动零部件｜日期：2026-07-03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一、核心结论</w:t>
      </w:r>
    </w:p>
    <w:p>
      <w:pPr>
        <w:spacing w:after="120" w:before="0" w:line="30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F2937"/>
          <w:sz w:val="22"/>
          <w:szCs w:val="22"/>
        </w:rPr>
        <w:t xml:space="preserve">光洋股份目前最强证据不是“宇树 / 智元 / 特斯拉明确供货”，而是“人形机器人头部客户关节模组齿轮项目已获量产定点，并已开始交付”。因此它可以进入具身智能高壁垒传动零部件第一梯队观察，但仍需要继续验证机器人业务收入占比、客户披露、产能爬坡和毛利率改善。</w:t>
      </w:r>
    </w:p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二、评分快照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506"/>
      </w:tblGrid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9"/>
                <w:szCs w:val="19"/>
              </w:rPr>
              <w:t xml:space="preserve">项目</w:t>
            </w:r>
          </w:p>
        </w:tc>
        <w:tc>
          <w:tcPr>
            <w:tcW w:type="dxa" w:w="75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股票</w:t>
            </w:r>
          </w:p>
        </w:tc>
        <w:tc>
          <w:tcPr>
            <w:tcW w:type="dxa" w:w="75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光洋股份 002708.SZ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映射节点</w:t>
            </w:r>
          </w:p>
        </w:tc>
        <w:tc>
          <w:tcPr>
            <w:tcW w:type="dxa" w:w="75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轴承 / 机器人关节传动零部件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映射产品</w:t>
            </w:r>
          </w:p>
        </w:tc>
        <w:tc>
          <w:tcPr>
            <w:tcW w:type="dxa" w:w="75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轴承产品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主营相关度</w:t>
            </w:r>
          </w:p>
        </w:tc>
        <w:tc>
          <w:tcPr>
            <w:tcW w:type="dxa" w:w="75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57.50%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总分 / 评级</w:t>
            </w:r>
          </w:p>
        </w:tc>
        <w:tc>
          <w:tcPr>
            <w:tcW w:type="dxa" w:w="75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92 / S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交易信号</w:t>
            </w:r>
          </w:p>
        </w:tc>
        <w:tc>
          <w:tcPr>
            <w:tcW w:type="dxa" w:w="75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强启动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卡脖子命中</w:t>
            </w:r>
          </w:p>
        </w:tc>
        <w:tc>
          <w:tcPr>
            <w:tcW w:type="dxa" w:w="75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供应商 6、定点 12、国产替代 4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增长证据</w:t>
            </w:r>
          </w:p>
        </w:tc>
        <w:tc>
          <w:tcPr>
            <w:tcW w:type="dxa" w:w="75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业绩预告预增约 66.63% 至 115.64%</w:t>
            </w:r>
          </w:p>
        </w:tc>
      </w:tr>
      <w:tr>
        <w:tc>
          <w:tcPr>
            <w:tcW w:type="dxa" w:w="2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商业化证据</w:t>
            </w:r>
          </w:p>
        </w:tc>
        <w:tc>
          <w:tcPr>
            <w:tcW w:type="dxa" w:w="75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放量 / 订单 + 业绩兑现</w:t>
            </w:r>
          </w:p>
        </w:tc>
      </w:tr>
    </w:tbl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三、最强证据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5200"/>
        <w:gridCol w:w="2906"/>
      </w:tblGrid>
      <w:tr>
        <w:tc>
          <w:tcPr>
            <w:tcW w:type="dxa" w:w="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9"/>
                <w:szCs w:val="19"/>
              </w:rPr>
              <w:t xml:space="preserve">强度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9"/>
                <w:szCs w:val="19"/>
              </w:rPr>
              <w:t xml:space="preserve">时间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9"/>
                <w:szCs w:val="19"/>
              </w:rPr>
              <w:t xml:space="preserve">证据内容</w:t>
            </w:r>
          </w:p>
        </w:tc>
        <w:tc>
          <w:tcPr>
            <w:tcW w:type="dxa" w:w="2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9"/>
                <w:szCs w:val="19"/>
              </w:rPr>
              <w:t xml:space="preserve">判断</w:t>
            </w:r>
          </w:p>
        </w:tc>
      </w:tr>
      <w:tr>
        <w:tc>
          <w:tcPr>
            <w:tcW w:type="dxa" w:w="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强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2025-11-11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投资者问小鹏是否为核心客户、人形机器人头部客户关节模组项目是否交付。公司答复：小鹏是核心客户之一；人形机器人头部客户关节模组齿轮项目按计划推进中，已经开始交付。</w:t>
            </w:r>
          </w:p>
        </w:tc>
        <w:tc>
          <w:tcPr>
            <w:tcW w:type="dxa" w:w="2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核心证据：包含客户、产品、量产定点、交付。</w:t>
            </w:r>
          </w:p>
        </w:tc>
      </w:tr>
      <w:tr>
        <w:tc>
          <w:tcPr>
            <w:tcW w:type="dxa" w:w="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强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2025-09-12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公司答复：下半年开始公司人形机器人相关订单迅速增长，公司积极布局相关产能进行匹配。</w:t>
            </w:r>
          </w:p>
        </w:tc>
        <w:tc>
          <w:tcPr>
            <w:tcW w:type="dxa" w:w="2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说明不是单纯研发，已进入订单增长和产能匹配阶段。</w:t>
            </w:r>
          </w:p>
        </w:tc>
      </w:tr>
      <w:tr>
        <w:tc>
          <w:tcPr>
            <w:tcW w:type="dxa" w:w="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强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2025-10-13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公司答复：加大机器人用关节模组、减速器及轴承、齿轮、PCB 等产品研发和业务拓展，多款产品已经量产。</w:t>
            </w:r>
          </w:p>
        </w:tc>
        <w:tc>
          <w:tcPr>
            <w:tcW w:type="dxa" w:w="2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明确覆盖关节模组、减速器、轴承、齿轮，且有量产表述。</w:t>
            </w:r>
          </w:p>
        </w:tc>
      </w:tr>
    </w:tbl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四、卡脖子 / 围墙证据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5200"/>
        <w:gridCol w:w="2906"/>
      </w:tblGrid>
      <w:tr>
        <w:tc>
          <w:tcPr>
            <w:tcW w:type="dxa" w:w="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9"/>
                <w:szCs w:val="19"/>
              </w:rPr>
              <w:t xml:space="preserve">强度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9"/>
                <w:szCs w:val="19"/>
              </w:rPr>
              <w:t xml:space="preserve">时间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9"/>
                <w:szCs w:val="19"/>
              </w:rPr>
              <w:t xml:space="preserve">证据内容</w:t>
            </w:r>
          </w:p>
        </w:tc>
        <w:tc>
          <w:tcPr>
            <w:tcW w:type="dxa" w:w="2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9"/>
                <w:szCs w:val="19"/>
              </w:rPr>
              <w:t xml:space="preserve">对应标签</w:t>
            </w:r>
          </w:p>
        </w:tc>
      </w:tr>
      <w:tr>
        <w:tc>
          <w:tcPr>
            <w:tcW w:type="dxa" w:w="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强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2025-09-12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公司称机器人零部件产品依托高端材料研究、精密制造、全面测试体系、量产经验和质量一致性管理能力。</w:t>
            </w:r>
          </w:p>
        </w:tc>
        <w:tc>
          <w:tcPr>
            <w:tcW w:type="dxa" w:w="2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精密制造、质量一致性、量产壁垒</w:t>
            </w:r>
          </w:p>
        </w:tc>
      </w:tr>
      <w:tr>
        <w:tc>
          <w:tcPr>
            <w:tcW w:type="dxa" w:w="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中强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2025-10-06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公司称在减速器行业布局多年，同时具备轴承、齿轮以及轴类产品研发和生产能力，具备摆线针轮减速器等核心部件研发和生产能力。</w:t>
            </w:r>
          </w:p>
        </w:tc>
        <w:tc>
          <w:tcPr>
            <w:tcW w:type="dxa" w:w="2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减速器核心部件、轴承、齿轮、轴类</w:t>
            </w:r>
          </w:p>
        </w:tc>
      </w:tr>
      <w:tr>
        <w:tc>
          <w:tcPr>
            <w:tcW w:type="dxa" w:w="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中强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2025-10-15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公司称坚持国产化替代与新能源汽车战略方向，向中高端、电动化、智能化、轻量化转型。</w:t>
            </w:r>
          </w:p>
        </w:tc>
        <w:tc>
          <w:tcPr>
            <w:tcW w:type="dxa" w:w="2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国产替代、中高端制造</w:t>
            </w:r>
          </w:p>
        </w:tc>
      </w:tr>
      <w:tr>
        <w:tc>
          <w:tcPr>
            <w:tcW w:type="dxa" w:w="8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中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2025-09-27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公司称 FPC / RFPC 产品以高多层 Anylayer 的 HDI 等方向为主，但线路板业务毛利受投入和产能爬坡影响。</w:t>
            </w:r>
          </w:p>
        </w:tc>
        <w:tc>
          <w:tcPr>
            <w:tcW w:type="dxa" w:w="29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PCB / FPC 相关，盈利质量仍需跟踪</w:t>
            </w:r>
          </w:p>
        </w:tc>
      </w:tr>
    </w:tbl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五、商业化阶段证据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5000"/>
        <w:gridCol w:w="2606"/>
      </w:tblGrid>
      <w:tr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9"/>
                <w:szCs w:val="19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9"/>
                <w:szCs w:val="19"/>
              </w:rPr>
              <w:t xml:space="preserve">时间</w:t>
            </w:r>
          </w:p>
        </w:tc>
        <w:tc>
          <w:tcPr>
            <w:tcW w:type="dxa" w:w="5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9"/>
                <w:szCs w:val="19"/>
              </w:rPr>
              <w:t xml:space="preserve">证据内容</w:t>
            </w:r>
          </w:p>
        </w:tc>
        <w:tc>
          <w:tcPr>
            <w:tcW w:type="dxa" w:w="26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9"/>
                <w:szCs w:val="19"/>
              </w:rPr>
              <w:t xml:space="preserve">判断</w:t>
            </w:r>
          </w:p>
        </w:tc>
      </w:tr>
      <w:tr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研发 / 样品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2026-06-11</w:t>
            </w:r>
          </w:p>
        </w:tc>
        <w:tc>
          <w:tcPr>
            <w:tcW w:type="dxa" w:w="5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被问是否向特斯拉人形机器人送样或供货，公司仅答复正全力推进人形机器人相关业务布局。</w:t>
            </w:r>
          </w:p>
        </w:tc>
        <w:tc>
          <w:tcPr>
            <w:tcW w:type="dxa" w:w="26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不能认定特斯拉供货，只能作为布局证据。</w:t>
            </w:r>
          </w:p>
        </w:tc>
      </w:tr>
      <w:tr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客户验证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2025-09-12</w:t>
            </w:r>
          </w:p>
        </w:tc>
        <w:tc>
          <w:tcPr>
            <w:tcW w:type="dxa" w:w="5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公司称目前与头部机器人公司合作的产品表现良好。</w:t>
            </w:r>
          </w:p>
        </w:tc>
        <w:tc>
          <w:tcPr>
            <w:tcW w:type="dxa" w:w="26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客户名称未完全披露，但验证进度较明确。</w:t>
            </w:r>
          </w:p>
        </w:tc>
      </w:tr>
      <w:tr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量产定点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2025-11-11</w:t>
            </w:r>
          </w:p>
        </w:tc>
        <w:tc>
          <w:tcPr>
            <w:tcW w:type="dxa" w:w="5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人形机器人头部客户关节模组齿轮项目已获量产定点。</w:t>
            </w:r>
          </w:p>
        </w:tc>
        <w:tc>
          <w:tcPr>
            <w:tcW w:type="dxa" w:w="26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强证据。</w:t>
            </w:r>
          </w:p>
        </w:tc>
      </w:tr>
      <w:tr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交付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2025-11-11</w:t>
            </w:r>
          </w:p>
        </w:tc>
        <w:tc>
          <w:tcPr>
            <w:tcW w:type="dxa" w:w="5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上述项目按计划推进中，已经开始交付。</w:t>
            </w:r>
          </w:p>
        </w:tc>
        <w:tc>
          <w:tcPr>
            <w:tcW w:type="dxa" w:w="26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强证据。</w:t>
            </w:r>
          </w:p>
        </w:tc>
      </w:tr>
      <w:tr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订单增长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2025-09-12</w:t>
            </w:r>
          </w:p>
        </w:tc>
        <w:tc>
          <w:tcPr>
            <w:tcW w:type="dxa" w:w="5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下半年开始公司人形机器人相关订单迅速增长。</w:t>
            </w:r>
          </w:p>
        </w:tc>
        <w:tc>
          <w:tcPr>
            <w:tcW w:type="dxa" w:w="26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需要后续收入占比验证。</w:t>
            </w:r>
          </w:p>
        </w:tc>
      </w:tr>
      <w:tr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产能扩张</w:t>
            </w:r>
          </w:p>
        </w:tc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2025-10-10</w:t>
            </w:r>
          </w:p>
        </w:tc>
        <w:tc>
          <w:tcPr>
            <w:tcW w:type="dxa" w:w="5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黄山项目年产 6000 万套高端新能源汽车及机器人用精密零部件，主要生产轴承、齿轮、空心轴类产品。</w:t>
            </w:r>
          </w:p>
        </w:tc>
        <w:tc>
          <w:tcPr>
            <w:tcW w:type="dxa" w:w="26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对应机器人关节模组、线控底盘、电驱动系统等。</w:t>
            </w:r>
          </w:p>
        </w:tc>
      </w:tr>
    </w:tbl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六、增长和盈利证据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200"/>
        <w:gridCol w:w="3606"/>
      </w:tblGrid>
      <w:tr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9"/>
                <w:szCs w:val="19"/>
              </w:rPr>
              <w:t xml:space="preserve">时间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9"/>
                <w:szCs w:val="19"/>
              </w:rPr>
              <w:t xml:space="preserve">证据</w:t>
            </w:r>
          </w:p>
        </w:tc>
        <w:tc>
          <w:tcPr>
            <w:tcW w:type="dxa" w:w="36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9"/>
                <w:szCs w:val="19"/>
              </w:rPr>
              <w:t xml:space="preserve">判断</w:t>
            </w:r>
          </w:p>
        </w:tc>
      </w:tr>
      <w:tr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2026-01-29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业绩预告：预增 66.63% 至 115.64%。</w:t>
            </w:r>
          </w:p>
        </w:tc>
        <w:tc>
          <w:tcPr>
            <w:tcW w:type="dxa" w:w="36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增长证据较强，但需要拆分机器人业务贡献。</w:t>
            </w:r>
          </w:p>
        </w:tc>
      </w:tr>
      <w:tr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2025-01-24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业绩预告：扭亏，变动区间约 138.48% 至 153.87%。</w:t>
            </w:r>
          </w:p>
        </w:tc>
        <w:tc>
          <w:tcPr>
            <w:tcW w:type="dxa" w:w="36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公司整体改善。</w:t>
            </w:r>
          </w:p>
        </w:tc>
      </w:tr>
      <w:tr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2024-07-15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业绩预告：扭亏，变动区间约 177.38% 至 216.07%。</w:t>
            </w:r>
          </w:p>
        </w:tc>
        <w:tc>
          <w:tcPr>
            <w:tcW w:type="dxa" w:w="36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公司整体改善。</w:t>
            </w:r>
          </w:p>
        </w:tc>
      </w:tr>
      <w:tr>
        <w:tc>
          <w:tcPr>
            <w:tcW w:type="dxa" w:w="1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2025-09-27</w:t>
            </w:r>
          </w:p>
        </w:tc>
        <w:tc>
          <w:tcPr>
            <w:tcW w:type="dxa" w:w="5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公司称部分业务毛利受战略投入和产能爬坡影响，四季度预计改善。</w:t>
            </w:r>
          </w:p>
        </w:tc>
        <w:tc>
          <w:tcPr>
            <w:tcW w:type="dxa" w:w="36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短期盈利质量仍需继续跟踪。</w:t>
            </w:r>
          </w:p>
        </w:tc>
      </w:tr>
    </w:tbl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七、需要降权的证据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3606"/>
      </w:tblGrid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9"/>
                <w:szCs w:val="19"/>
              </w:rPr>
              <w:t xml:space="preserve">内容</w:t>
            </w:r>
          </w:p>
        </w:tc>
        <w:tc>
          <w:tcPr>
            <w:tcW w:type="dxa" w:w="4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9"/>
                <w:szCs w:val="19"/>
              </w:rPr>
              <w:t xml:space="preserve">为什么不能当硬证据</w:t>
            </w:r>
          </w:p>
        </w:tc>
        <w:tc>
          <w:tcPr>
            <w:tcW w:type="dxa" w:w="36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9"/>
                <w:szCs w:val="19"/>
              </w:rPr>
              <w:t xml:space="preserve">处理方式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宇树科技 / 智元机器人供应商问答</w:t>
            </w:r>
          </w:p>
        </w:tc>
        <w:tc>
          <w:tcPr>
            <w:tcW w:type="dxa" w:w="4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公司没有正面确认客户名称，只说涉及部分具体客户名称不便披露。</w:t>
            </w:r>
          </w:p>
        </w:tc>
        <w:tc>
          <w:tcPr>
            <w:tcW w:type="dxa" w:w="36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只能作为疑似供应商线索，不能当确定供货证据。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特斯拉人形机器人送样 / 供货问答</w:t>
            </w:r>
          </w:p>
        </w:tc>
        <w:tc>
          <w:tcPr>
            <w:tcW w:type="dxa" w:w="4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公司只说推进人形机器人业务布局。</w:t>
            </w:r>
          </w:p>
        </w:tc>
        <w:tc>
          <w:tcPr>
            <w:tcW w:type="dxa" w:w="36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不能认定已向特斯拉送样或供货。</w:t>
            </w:r>
          </w:p>
        </w:tc>
      </w:tr>
      <w:tr>
        <w:tc>
          <w:tcPr>
            <w:tcW w:type="dxa" w:w="2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智驾线控底盘定点</w:t>
            </w:r>
          </w:p>
        </w:tc>
        <w:tc>
          <w:tcPr>
            <w:tcW w:type="dxa" w:w="43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这是智能驾驶业务证据，与具身智能有技术相邻性。</w:t>
            </w:r>
          </w:p>
        </w:tc>
        <w:tc>
          <w:tcPr>
            <w:tcW w:type="dxa" w:w="36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不能直接等同于人形机器人订单。</w:t>
            </w:r>
          </w:p>
        </w:tc>
      </w:tr>
    </w:tbl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八、证据明细清单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5600"/>
        <w:gridCol w:w="2306"/>
      </w:tblGrid>
      <w:tr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9"/>
                <w:szCs w:val="19"/>
              </w:rPr>
              <w:t xml:space="preserve">时间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9"/>
                <w:szCs w:val="19"/>
              </w:rPr>
              <w:t xml:space="preserve">来源</w:t>
            </w:r>
          </w:p>
        </w:tc>
        <w:tc>
          <w:tcPr>
            <w:tcW w:type="dxa" w:w="5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9"/>
                <w:szCs w:val="19"/>
              </w:rPr>
              <w:t xml:space="preserve">核心内容</w:t>
            </w:r>
          </w:p>
        </w:tc>
        <w:tc>
          <w:tcPr>
            <w:tcW w:type="dxa" w:w="23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shd w:fill="EA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E3A8A"/>
                <w:sz w:val="19"/>
                <w:szCs w:val="19"/>
              </w:rPr>
              <w:t xml:space="preserve">标签</w:t>
            </w:r>
          </w:p>
        </w:tc>
      </w:tr>
      <w:tr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2026-06-11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互动易</w:t>
            </w:r>
          </w:p>
        </w:tc>
        <w:tc>
          <w:tcPr>
            <w:tcW w:type="dxa" w:w="5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被问是否向特斯拉人形机器人送样或供货，公司答复正全力推进人形机器人相关业务布局。</w:t>
            </w:r>
          </w:p>
        </w:tc>
        <w:tc>
          <w:tcPr>
            <w:tcW w:type="dxa" w:w="23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布局 / 研发</w:t>
            </w:r>
          </w:p>
        </w:tc>
      </w:tr>
      <w:tr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2026-06-04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互动易</w:t>
            </w:r>
          </w:p>
        </w:tc>
        <w:tc>
          <w:tcPr>
            <w:tcW w:type="dxa" w:w="5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被问是否为宇树、智元供应商，公司未确认具体客户，称涉及部分具体客户名称不便披露。</w:t>
            </w:r>
          </w:p>
        </w:tc>
        <w:tc>
          <w:tcPr>
            <w:tcW w:type="dxa" w:w="23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疑似供应商线索</w:t>
            </w:r>
          </w:p>
        </w:tc>
      </w:tr>
      <w:tr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2025-12-19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互动易</w:t>
            </w:r>
          </w:p>
        </w:tc>
        <w:tc>
          <w:tcPr>
            <w:tcW w:type="dxa" w:w="5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公司称在线控底盘、车载显示、智能感知系统等方面布局，相关定点项目开发与配套推进中。</w:t>
            </w:r>
          </w:p>
        </w:tc>
        <w:tc>
          <w:tcPr>
            <w:tcW w:type="dxa" w:w="23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智能驾驶相邻证据</w:t>
            </w:r>
          </w:p>
        </w:tc>
      </w:tr>
      <w:tr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2025-11-11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互动易</w:t>
            </w:r>
          </w:p>
        </w:tc>
        <w:tc>
          <w:tcPr>
            <w:tcW w:type="dxa" w:w="5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小鹏是核心客户之一；人形机器人头部客户关节模组齿轮项目按计划推进中，已经开始交付。</w:t>
            </w:r>
          </w:p>
        </w:tc>
        <w:tc>
          <w:tcPr>
            <w:tcW w:type="dxa" w:w="23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量产定点 / 交付</w:t>
            </w:r>
          </w:p>
        </w:tc>
      </w:tr>
      <w:tr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2025-10-13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互动易</w:t>
            </w:r>
          </w:p>
        </w:tc>
        <w:tc>
          <w:tcPr>
            <w:tcW w:type="dxa" w:w="5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公司布局机器人业务，机器人用关节模组、减速器及轴承、齿轮、PCB 多款产品已经量产。</w:t>
            </w:r>
          </w:p>
        </w:tc>
        <w:tc>
          <w:tcPr>
            <w:tcW w:type="dxa" w:w="23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量产</w:t>
            </w:r>
          </w:p>
        </w:tc>
      </w:tr>
      <w:tr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2025-10-10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互动易</w:t>
            </w:r>
          </w:p>
        </w:tc>
        <w:tc>
          <w:tcPr>
            <w:tcW w:type="dxa" w:w="5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黄山项目年产 6000 万套高端新能源汽车及机器人用精密零部件，适配机器人关节模组等领域。</w:t>
            </w:r>
          </w:p>
        </w:tc>
        <w:tc>
          <w:tcPr>
            <w:tcW w:type="dxa" w:w="23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产能扩张</w:t>
            </w:r>
          </w:p>
        </w:tc>
      </w:tr>
      <w:tr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2025-09-12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互动易</w:t>
            </w:r>
          </w:p>
        </w:tc>
        <w:tc>
          <w:tcPr>
            <w:tcW w:type="dxa" w:w="5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与头部机器人公司合作的产品表现良好，订单迅速增长，并积极布局产能匹配。</w:t>
            </w:r>
          </w:p>
        </w:tc>
        <w:tc>
          <w:tcPr>
            <w:tcW w:type="dxa" w:w="23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客户验证 / 订单增长</w:t>
            </w:r>
          </w:p>
        </w:tc>
      </w:tr>
      <w:tr>
        <w:tc>
          <w:tcPr>
            <w:tcW w:type="dxa" w:w="12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2026-01-29</w:t>
            </w:r>
          </w:p>
        </w:tc>
        <w:tc>
          <w:tcPr>
            <w:tcW w:type="dxa" w:w="10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业绩预告</w:t>
            </w:r>
          </w:p>
        </w:tc>
        <w:tc>
          <w:tcPr>
            <w:tcW w:type="dxa" w:w="5600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业绩预告预增 66.63% 至 115.64%。</w:t>
            </w:r>
          </w:p>
        </w:tc>
        <w:tc>
          <w:tcPr>
            <w:tcW w:type="dxa" w:w="2306"/>
            <w:tcBorders>
              <w:top w:val="single" w:color="D9E2EC" w:sz="1"/>
              <w:left w:val="single" w:color="D9E2EC" w:sz="1"/>
              <w:bottom w:val="single" w:color="D9E2EC" w:sz="1"/>
              <w:right w:val="single" w:color="D9E2E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11827"/>
                <w:sz w:val="19"/>
                <w:szCs w:val="19"/>
              </w:rPr>
              <w:t xml:space="preserve">增长</w:t>
            </w:r>
          </w:p>
        </w:tc>
      </w:tr>
    </w:tbl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11827"/>
          <w:sz w:val="32"/>
          <w:szCs w:val="32"/>
        </w:rPr>
        <w:t xml:space="preserve">九、后续跟踪重点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机器人业务实际收入占比：需要从年报、半年报或业务拆分中确认。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头部客户是否公告确认：当前公司没有完整披露宇树、智元、特斯拉等客户名称。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黄山产能爬坡：关注设备调试、投产节奏、良率和产能利用率。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机器人零部件毛利率：重点看产能爬坡后毛利率是否改善。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订单是否持续放量：关注后续定期报告、公告、互动易和研报是否有新增订单证据。</w:t>
      </w:r>
    </w:p>
    <w:sectPr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CURRENT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YaHei" w:cs="Microsoft YaHei" w:eastAsia="Microsoft YaHei" w:hAnsi="Microsoft YaHei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2026-07-03T00:33:56.538Z</dcterms:created>
  <dcterms:modified xsi:type="dcterms:W3CDTF">2026-07-03T00:33:56.542Z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