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秋神系列选股模型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速赢AI — 证券投资管理平台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2026年6月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模型概览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200"/>
        <w:gridCol w:w="1400"/>
        <w:gridCol w:w="1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引擎文件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选股时点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标的类型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秋神龙头竞价超预期战法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leader_auction.py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9:25 集合竞价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A股股票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V4.3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秋神龙头战法-盘后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leader_scalp.py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收盘后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1-5天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A股股票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V4.1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秋神龙头战法-盘中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leader_intraday.py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14:40 盘中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A股股票(科创板)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秋神竞价概念选债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cb_auction.py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9:25 集合竞价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可转债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pStyle w:val="Heading1"/>
      </w:pPr>
      <w:r>
        <w:t xml:space="preserve">1. 秋神龙头竞价超预期战法 V4.3</w:t>
      </w:r>
    </w:p>
    <w:p>
      <w:pPr>
        <w:spacing w:before="10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选股时点: 9:25 集合竞价 | 持仓周期: 1-3天 | 标的: A股股票(非ST, 非北交所)</w:t>
      </w:r>
    </w:p>
    <w:p>
      <w:pPr>
        <w:pStyle w:val="Heading2"/>
      </w:pPr>
      <w:r>
        <w:t xml:space="preserve">选股规则与评分因子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涨幅超预期(gap_surprise)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25分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竞价涨幅 vs 历史均值/标准差, Z-score≥1.5得满分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板块联动(sector_context)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25分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同概念≥3只涨停→+25; 2只→+15; 1只→+8; 0只→+5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量能反转(volume_surprise)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20分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缩量高开=真需求(满分); 放量高开=出货嫌疑(扣分)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弱转强(trap_reversal)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20分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昨日收阴+今日竞价高开≥3%→弱转强信号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一字板封单检测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加分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fd_amount&gt;2亿→+10; 封单&gt;5亿→+15(最强信号)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交易规则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规则项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具体规则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入场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9:25竞价确认后以开盘价±0.5%区间买入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止损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-3%硬止损; 或9:45前未翻红则离场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仓位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S级20%, A级15%, B级10%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持仓周期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1-3天, 次日不涨停即卖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适用场景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市场震荡或上行阶段, 竞价出现明确强势信号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一字板封单&gt;2亿时确定性最高, 可重仓参与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不适合单边下跌市场(竞价信号失真)</w:t>
      </w:r>
    </w:p>
    <w:p>
      <w:r>
        <w:br w:type="page"/>
      </w:r>
    </w:p>
    <w:p>
      <w:pPr>
        <w:pStyle w:val="Heading1"/>
      </w:pPr>
      <w:r>
        <w:t xml:space="preserve">2. 秋神龙头战法-盘后</w:t>
      </w:r>
    </w:p>
    <w:p>
      <w:pPr>
        <w:spacing w:before="10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选股时点: 收盘后(15:30数据就绪) | 持仓周期: 1-5天 | 标的: A股股票 | 数据源: daily_kline</w:t>
      </w:r>
    </w:p>
    <w:p>
      <w:pPr>
        <w:pStyle w:val="Heading2"/>
      </w:pPr>
      <w:r>
        <w:t xml:space="preserve">选股规则与评分因子(7+2因子, IC回测校准)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5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涨幅质量(gain_quality)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涨幅7-12%, 主升浪确认+趋势通道+突破确认+连阳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板块龙头(sector_leader)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同板块涨幅排名+封板时间优先, 总龙&gt;日内龙&gt;中军&gt;跟风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均线趋势(ma_trend)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MA5/MA10/MA20多空排列(IC=-0.07,持续负向→降权)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成交额(turnover)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成交额适中(倒U型), 8-15%换手最佳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板块共振(sector_resonance)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同板块≥2只涨&gt;7%→有效共振; 孤立→淘汰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资金流向(capital_flow)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主力大单净买入; 净流出→直接淘汰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板块动量(sector_momentum)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板块整体趋势(IC=+0.126,最强信号)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封板质量(seal_quality)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首板+2分; 二板+5分(惯性最强); 一字板-3分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分歧不死(resilience)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低预期反而走强=真龙头(IC=+0.109)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市场环境评估(V4.0)</w:t>
      </w:r>
    </w:p>
    <w:p>
      <w:r>
        <w:rPr>
          <w:rFonts w:ascii="Microsoft YaHei" w:cs="Microsoft YaHei" w:eastAsia="Microsoft YaHei" w:hAnsi="Microsoft YaHei"/>
        </w:rPr>
        <w:t xml:space="preserve">BULL(做多): 上证+0%以上+上涨占比&gt;55% → 全仓, max 4只/板块</w:t>
      </w:r>
    </w:p>
    <w:p>
      <w:r>
        <w:rPr>
          <w:rFonts w:ascii="Microsoft YaHei" w:cs="Microsoft YaHei" w:eastAsia="Microsoft YaHei" w:hAnsi="Microsoft YaHei"/>
        </w:rPr>
        <w:t xml:space="preserve">NEUTRAL(中性): 上证-0.5~0%或上涨占比40-55% → 半仓, max 3只/板块, 仅A级以上</w:t>
      </w:r>
    </w:p>
    <w:p>
      <w:r>
        <w:rPr>
          <w:rFonts w:ascii="Microsoft YaHei" w:cs="Microsoft YaHei" w:eastAsia="Microsoft YaHei" w:hAnsi="Microsoft YaHei"/>
        </w:rPr>
        <w:t xml:space="preserve">BEAR(观望): 上证&lt;-0.5%或上涨占比&lt;40% → 仅S级, max 2只/板块</w:t>
      </w:r>
    </w:p>
    <w:p>
      <w:r>
        <w:rPr>
          <w:rFonts w:ascii="Microsoft YaHei" w:cs="Microsoft YaHei" w:eastAsia="Microsoft YaHei" w:hAnsi="Microsoft YaHei"/>
        </w:rPr>
        <w:t xml:space="preserve">CRASH(熔断): 跌停&gt;50家 → 不选股</w:t>
      </w:r>
    </w:p>
    <w:p>
      <w:pPr>
        <w:spacing w:before="200"/>
      </w:pPr>
    </w:p>
    <w:p>
      <w:pPr>
        <w:pStyle w:val="Heading2"/>
      </w:pPr>
      <w:r>
        <w:t xml:space="preserve">交易规则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规则项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具体规则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入场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次日开盘价买入; 如高开&gt;5%则等回调至3%以内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止损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收盘价×0.97 (3%硬止损)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仓位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S级(≥100分)20%, A级(≥82分)15%, B级(≥68分)10%, C级不买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持仓周期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1-5天, 连板持有至炸板即卖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秋神龙头战法-盘中 V7.0</w:t>
      </w:r>
    </w:p>
    <w:p>
      <w:pPr>
        <w:spacing w:before="10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选股时点: 14:40 盘中 | 持仓周期: 1-2天 | 标的: A股股票(科创板为主) | 数据源: stk_mins 5分钟K线</w:t>
      </w:r>
    </w:p>
    <w:p>
      <w:pPr>
        <w:pStyle w:val="Heading2"/>
      </w:pPr>
      <w:r>
        <w:t xml:space="preserve">选股规则与评分因子(15项, V6.3→V7.0演进)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因子/规则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权重/阈值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涨幅过滤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8-12%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最低8%避开跟风, 排除9-9.5%涨停阻力区, &gt;12%排除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距涨停距离(dist_to_limit)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因子化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&lt;2%淘汰(封板风险80%), &gt;5%为甜蜜区(P16)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封板可买性(seal)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0-8分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实时检测: 封死涨停→淘汰; 拉升中→可买; 炸板回封→可买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午后强势(afternoon)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14:40 vs VWAP均线走强程度; 跌穿VWAP→淘汰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板块龙头(sector_leader)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科创板×0.5折扣(peer_n虚高); peer_n≥5→满分24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分时引领(intraday_leadership)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板块内涨幅排名: 总龙+12, 前排+6, 跟风-3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板块共振(resonance)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板块抗跌/超跌=8分(最佳); 双强=0分(过热)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预估成交(turnover)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累计成交/0.85预估全天; ≥50亿满分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集中放量(volume_surge)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近5日量比突增; ≥3倍满分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均线趋势(ma)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MA5/MA10/MA20排列, 权重降低(盘中偏弱)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简化三因子(S1)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50%权重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-gain×0.5 + dist×0.3 + res×2 (AUC验证有效)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融资信号(margin)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±4分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融资增&gt;2%→+4; 融资减&gt;3%→-4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板块联动(R1)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+3~5分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peer_n≥5→+5; ≥3→+3(秋神方法论)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共振强化(O2)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res=8→+3; res≤5→-3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市场广度(O3)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+5~-2分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涨跌比&lt;30%→+5(强者恒强); &gt;65%→-2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V7.0 核心创新: 简化三因子混合评分(S1)</w:t>
      </w:r>
    </w:p>
    <w:p>
      <w:r>
        <w:rPr>
          <w:rFonts w:ascii="Microsoft YaHei" w:cs="Microsoft YaHei" w:eastAsia="Microsoft YaHei" w:hAnsi="Microsoft YaHei"/>
        </w:rPr>
        <w:t xml:space="preserve">ML特征分析发现12个因子中仅3个AUC&gt;0.50。V7.0采用50%复杂+50%简化混合:</w:t>
      </w:r>
    </w:p>
    <w:p>
      <w:r>
        <w:rPr>
          <w:rFonts w:ascii="Microsoft YaHei" w:cs="Microsoft YaHei" w:eastAsia="Microsoft YaHei" w:hAnsi="Microsoft YaHei"/>
          <w:i/>
          <w:iCs/>
        </w:rPr>
        <w:t xml:space="preserve">  简化公式: -gain × 0.5 + dist_to_limit × 0.3 + res × 2 (+50 基准偏移)</w:t>
      </w:r>
    </w:p>
    <w:p>
      <w:r>
        <w:rPr>
          <w:rFonts w:ascii="Microsoft YaHei" w:cs="Microsoft YaHei" w:eastAsia="Microsoft YaHei" w:hAnsi="Microsoft YaHei"/>
        </w:rPr>
        <w:t xml:space="preserve">  效果: 胜率+1.3pp(47.8%→49.1%), 均值+0.13pp, 累计+37pp</w:t>
      </w:r>
    </w:p>
    <w:p>
      <w:pPr>
        <w:spacing w:before="200"/>
      </w:pPr>
    </w:p>
    <w:p>
      <w:pPr>
        <w:pStyle w:val="Heading2"/>
      </w:pPr>
      <w:r>
        <w:t xml:space="preserve">交易规则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规则项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具体规则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入场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14:40确认后以现价×1.01挂单, 15:00前成交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止损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现价×0.96 (4%硬止损)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仓位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S级(≥75)20%, A级(≥60)15%, B级(≥45)10%; 满分龙头25%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持仓周期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1-2天, 次日套利; 连板可持有至炸板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日级别控制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共振均值≤5→仓位-50%; ≤4→-70%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周一/周五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周一+30%仓位, 周五-30%仓位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假活跃熔断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初筛20-40只→空仓(次日全面回调)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3个月回测数据(V7.0, 71天)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18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均值收益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累计收益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交易笔数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-0.91%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-57.4%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+1.09%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+94.5%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+0.56%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+57.5%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+1.86%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+70.7%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49.1%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+0.57%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+165.3%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291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秋神竞价概念选债</w:t>
      </w:r>
    </w:p>
    <w:p>
      <w:pPr>
        <w:spacing w:before="10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选股时点: 9:25 集合竞价 | 持仓周期: 1-2天(T+0可当日了结) | 标的: 可转债</w:t>
      </w:r>
    </w:p>
    <w:p>
      <w:pPr>
        <w:pStyle w:val="Heading2"/>
      </w:pPr>
      <w:r>
        <w:t xml:space="preserve">选股流程(四步流水线)</w:t>
      </w:r>
    </w:p>
    <w:p>
      <w:r>
        <w:rPr>
          <w:rFonts w:ascii="Microsoft YaHei" w:cs="Microsoft YaHei" w:eastAsia="Microsoft YaHei" w:hAnsi="Microsoft YaHei"/>
        </w:rPr>
        <w:t xml:space="preserve">Step 1: 秋神竞价选出强势正股 → Step 2: cb_basic正股→转债映射 → Step 3: cb_concept扩展同概念转债 → Step 4: 三维评分排序</w:t>
      </w:r>
    </w:p>
    <w:p>
      <w:pPr>
        <w:spacing w:before="200"/>
      </w:pPr>
    </w:p>
    <w:p>
      <w:pPr>
        <w:pStyle w:val="Heading2"/>
      </w:pPr>
      <w:r>
        <w:t xml:space="preserve">评分因子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权重/规则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正股竞价强度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继承V4.3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秋神竞价选出强势正股(gap_z≥1.5 + 板块联动)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转债映射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cb_basic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正股代码→转债代码映射, 排除已强赎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概念扩展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cb_concept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同概念其他转债纳入候选池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溢价率评分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溢价越低越好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溢价率&lt;10%→满分; 10-20%→中等; &gt;30%→扣分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规模评分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规模适中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1-5亿→最佳; &lt;1亿→流动性风险; &gt;10亿→弹性差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概念强度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概念热度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同概念涨停正股数×概念权重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交易规则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规则项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具体规则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入场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9:25竞价确认后以转债开盘价买入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止损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-2%硬止损(T+0可当日止损)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仓位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S级15%, A级10%, B级5%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持仓周期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1-2天, T+0可当日了结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适用场景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竞价强势正股对应的转债存在溢价套利空间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概念板块集体爆发时, 扩展同概念转债增强收益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T+0优势: 当日即可止损, 风险可控</w:t>
      </w:r>
    </w:p>
    <w:p>
      <w:r>
        <w:br w:type="page"/>
      </w:r>
    </w:p>
    <w:p>
      <w:pPr>
        <w:pStyle w:val="Heading1"/>
      </w:pPr>
      <w:r>
        <w:t xml:space="preserve">附录: 模型演进路线</w:t>
      </w:r>
    </w:p>
    <w:p>
      <w:pPr>
        <w:pStyle w:val="Heading2"/>
      </w:pPr>
      <w:r>
        <w:t xml:space="preserve">盘中模型 V5.3 → V7.0 优化历程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1500"/>
        <w:gridCol w:w="1500"/>
        <w:gridCol w:w="1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均值收益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累计收益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关键突破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原始基线(14:00)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54.4%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+269%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含封板假信号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诚实回测+封板检测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+0.27%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+90%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消除325只假信号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P16-P22过滤体系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47.8%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+0.49%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+156%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P20假活跃熔断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融资信号+共振强化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47.8%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+0.44%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+128%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边际改善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V7.0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三因子混合评分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49.1%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+0.57%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+165%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数据驱动去噪</w:t>
            </w:r>
          </w:p>
        </w:tc>
      </w:tr>
    </w:tbl>
    <w:p>
      <w:pPr>
        <w:spacing w:before="300"/>
      </w:pPr>
    </w:p>
    <w:p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文档生成: 速赢AI平台 | 日期: 2026-06-14 | 版本: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秋神系列选股模型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2026-06-14T15:01:43.855Z</dcterms:created>
  <dcterms:modified xsi:type="dcterms:W3CDTF">2026-06-14T15:01:43.856Z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