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PingFang SC" w:cs="PingFang SC" w:eastAsia="PingFang SC" w:hAnsi="PingFang SC"/>
          <w:b/>
          <w:bCs/>
          <w:color w:val="1F4E79"/>
          <w:sz w:val="38"/>
          <w:szCs w:val="38"/>
        </w:rPr>
        <w:t xml:space="preserve">产业链预期差选股模型逻辑说明</w:t>
      </w:r>
    </w:p>
    <w:p>
      <w:pPr>
        <w:spacing w:after="180" w:before="40"/>
        <w:jc w:val="center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模型 key：supply_chain_expectation_gap_v1    版本：V1.0    状态：staging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 w:val="false"/>
        </w:trPr>
        <w:tc>
          <w:tcPr>
            <w:tcW w:type="dxa" w:w="10466"/>
            <w:tcBorders>
              <w:top w:val="single" w:color="BF8F00" w:sz="12"/>
              <w:left w:val="single" w:color="BF8F00" w:sz="24"/>
              <w:bottom w:val="single" w:color="BF8F00" w:sz="4"/>
              <w:right w:val="single" w:color="BF8F00" w:sz="4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 w:line="2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核心定位</w:t>
            </w:r>
          </w:p>
          <w:p>
            <w:pPr>
              <w:spacing w:after="0" w:before="30" w:line="28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本模型用于寻找“产业链业务真实推进较快，但市场尚未充分反应”的公司。当前定位是候选池和研究线索，不是自动买入清单。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1. 模型定位</w:t>
      </w:r>
    </w:p>
    <w:p>
      <w:pPr>
        <w:spacing w:after="40" w:before="4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产业链预期差选股模型不是传统财务因子模型，也不是纯题材热度模型。它以“公司-产业链-业务标签”为评分粒度，先判断业务真实进展，再判断市场是否已经定价，最后结合三高属性和证据强度进行排序。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8116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维度</w:t>
            </w:r>
          </w:p>
        </w:tc>
        <w:tc>
          <w:tcPr>
            <w:tcW w:type="dxa" w:w="8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目标</w:t>
            </w:r>
          </w:p>
        </w:tc>
        <w:tc>
          <w:tcPr>
            <w:tcW w:type="dxa" w:w="8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识别产业链业务推进快、市场预期尚未充分反应的公司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粒度</w:t>
            </w:r>
          </w:p>
        </w:tc>
        <w:tc>
          <w:tcPr>
            <w:tcW w:type="dxa" w:w="8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公司-产业链-业务标签，而不是只看公司整体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输出</w:t>
            </w:r>
          </w:p>
        </w:tc>
        <w:tc>
          <w:tcPr>
            <w:tcW w:type="dxa" w:w="8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强信号、观察池、早期预警及 TopN 排序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约束</w:t>
            </w:r>
          </w:p>
        </w:tc>
        <w:tc>
          <w:tcPr>
            <w:tcW w:type="dxa" w:w="8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当前仍为 staging，不能作为自动买入策略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2. 数据来源与股票池</w:t>
      </w:r>
    </w:p>
    <w:p>
      <w:pPr>
        <w:spacing w:after="40" w:before="4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股票池来自已拆解落库的产业链公司映射。当前覆盖 18 个产业链、1195 家候选公司、2255 条业务标签映射。每家公司可以对应多个产业链或业务标签，模型会在同一股票的多个映射中保留最强映射。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2"/>
        <w:gridCol w:w="4058"/>
        <w:gridCol w:w="4486"/>
      </w:tblGrid>
      <w:tr>
        <w:trPr>
          <w:tblHeader/>
        </w:trPr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数据层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典型来源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强证据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公告、财报、专利、招投标、中标、官方披露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证明业务存在、研发进展、商用阶段、客户和订单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半强证据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互动易、官网/IR、权威财经新闻、券商研报、政府项目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补充业务进展、市场预期、景气度判断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弱信号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招聘、社区、自媒体、市场传闻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只进入预警和待复核，不直接升级阶段或作为硬证据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行情数据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日线、20 日涨幅、行业/产业链代理指标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衡量市场反应、拥挤度和景气修正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3. 三高评分</w:t>
      </w:r>
    </w:p>
    <w:p>
      <w:pPr>
        <w:spacing w:after="40" w:before="4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模型先对每个产业链业务标签计算三高情况，用来判断业务质量。三高不是公司整体三高，而是该公司在对应产业链标签上的业务质量。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3951"/>
        <w:gridCol w:w="4806"/>
      </w:tblGrid>
      <w:tr>
        <w:trPr>
          <w:tblHeader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分项</w:t>
            </w:r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含义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主要证据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高成长</w:t>
            </w:r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业务收入、订单、产能、客户导入、产业景气是否具备增长性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收入占比、订单、中标、产能建设、出货和景气代理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高盈利</w:t>
            </w:r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该业务是否具备毛利、利润贡献或产品结构改善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毛利率、利润贡献、产品结构、成本下降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高壁垒</w:t>
            </w:r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是否存在技术、客户、认证、专利、国产替代或卡脖子属性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专利、标准、客户认证、工艺难度、国产替代证据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阶段分</w:t>
            </w:r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研发阶段与商业化阶段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R1-R6、C1-C5 阶段证据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证据分</w:t>
            </w:r>
          </w:p>
        </w:tc>
        <w:tc>
          <w:tcPr>
            <w:tcW w:type="dxa" w:w="3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证据数量、强度、可信度和维度覆盖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强证据优先，弱信号不直接确认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4. 预期差评分</w:t>
      </w:r>
    </w:p>
    <w:p>
      <w:pPr>
        <w:spacing w:after="40" w:before="40" w:line="280"/>
        <w:jc w:val="left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F1F1F"/>
          <w:sz w:val="22"/>
          <w:szCs w:val="22"/>
        </w:rPr>
        <w:t xml:space="preserve">预期差核心公式：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实际推进 - 市场预期 + 证据增强 + 景气修正 - 风险惩罚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7689"/>
      </w:tblGrid>
      <w:tr>
        <w:trPr>
          <w:tblHeader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字段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actual_progress_score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业务真实推进程度，来自阶段、证据和景气修正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market_expectation_score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市场是否已经充分预期，来自研报/新闻/声明数量和股价反应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evidence_delta_score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新增或累计证据强度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prosperity_score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产业链景气修正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risk_penalty_score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风险证据和负向价格反应扣分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expectation_gap_score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最终预期差分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5. 预期差动量</w:t>
      </w:r>
    </w:p>
    <w:p>
      <w:pPr>
        <w:spacing w:after="40" w:before="4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新增 gap_momentum_score，用来衡量预期差是否正在形成，而不是只看某一天的绝对分。计算时比较当前 gap、上一期 gap 和约 20 个交易日前 gap。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8"/>
        <w:gridCol w:w="4579"/>
        <w:gridCol w:w="3489"/>
      </w:tblGrid>
      <w:tr>
        <w:trPr>
          <w:tblHeader/>
        </w:trPr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动量方向</w:t>
            </w:r>
          </w:p>
        </w:tc>
        <w:tc>
          <w:tcPr>
            <w:tcW w:type="dxa" w:w="4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含义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模型处理</w:t>
            </w:r>
          </w:p>
        </w:tc>
      </w:tr>
      <w:tr>
        <w:trPr>
          <w:tblHeader w:val="false"/>
        </w:trPr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上升</w:t>
            </w:r>
          </w:p>
        </w:tc>
        <w:tc>
          <w:tcPr>
            <w:tcW w:type="dxa" w:w="4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预期差较上一期和 20 日前改善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548235"/>
                <w:sz w:val="20"/>
                <w:szCs w:val="20"/>
              </w:rPr>
              <w:t xml:space="preserve">加分</w:t>
            </w:r>
          </w:p>
        </w:tc>
      </w:tr>
      <w:tr>
        <w:trPr>
          <w:tblHeader w:val="false"/>
        </w:trPr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持平</w:t>
            </w:r>
          </w:p>
        </w:tc>
        <w:tc>
          <w:tcPr>
            <w:tcW w:type="dxa" w:w="4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预期差没有明显变化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中性处理</w:t>
            </w:r>
          </w:p>
        </w:tc>
      </w:tr>
      <w:tr>
        <w:trPr>
          <w:tblHeader w:val="false"/>
        </w:trPr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下降</w:t>
            </w:r>
          </w:p>
        </w:tc>
        <w:tc>
          <w:tcPr>
            <w:tcW w:type="dxa" w:w="4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预期差走弱或证据边际恶化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扣分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6. 信号分层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2350"/>
        <w:gridCol w:w="3204"/>
        <w:gridCol w:w="3203"/>
      </w:tblGrid>
      <w:tr>
        <w:trPr>
          <w:tblHeader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层级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条件</w:t>
            </w:r>
          </w:p>
        </w:tc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含义</w:t>
            </w:r>
          </w:p>
        </w:tc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使用建议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strong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gap &gt;= 15</w:t>
            </w:r>
          </w:p>
        </w:tc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强信号，正式候选</w:t>
            </w:r>
          </w:p>
        </w:tc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重点研究和排序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watch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 &lt;= gap &lt; 15</w:t>
            </w:r>
          </w:p>
        </w:tc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观察池，早期线索</w:t>
            </w:r>
          </w:p>
        </w:tc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跟踪证据变化，不直接视作强买点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early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 &lt;= gap &lt; 8</w:t>
            </w:r>
          </w:p>
        </w:tc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早期预警</w:t>
            </w:r>
          </w:p>
        </w:tc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进入监控，不进入当前 TopN</w:t>
            </w:r>
          </w:p>
        </w:tc>
      </w:tr>
      <w:tr>
        <w:trPr>
          <w:tblHeader w:val="false"/>
        </w:trPr>
        <w:tc>
          <w:tcPr>
            <w:tcW w:type="dxa" w:w="1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gap &lt; 3</w:t>
            </w:r>
          </w:p>
        </w:tc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无明显预期差</w:t>
            </w:r>
          </w:p>
        </w:tc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不入选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7. 排序公式与过滤条件</w:t>
      </w:r>
    </w:p>
    <w:p>
      <w:pPr>
        <w:spacing w:after="40" w:before="40" w:line="280"/>
        <w:jc w:val="left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F1F1F"/>
          <w:sz w:val="22"/>
          <w:szCs w:val="22"/>
        </w:rPr>
        <w:t xml:space="preserve">当前排序公式：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model_score = 预期差*0.40 + 预期差动量*0.12 + 三高总分*0.25 + 证据强度*0.15 + 壁垒分*0.10 + 景气分*0.10 - 20日涨幅过高惩罚*0.08</w:t>
      </w:r>
    </w:p>
    <w:p>
      <w:pPr>
        <w:pStyle w:val="Heading2"/>
        <w:spacing w:after="80" w:before="160"/>
      </w:pPr>
      <w:r>
        <w:rPr>
          <w:rFonts w:ascii="PingFang SC" w:cs="PingFang SC" w:eastAsia="PingFang SC" w:hAnsi="PingFang SC"/>
          <w:b/>
          <w:bCs/>
          <w:color w:val="1F4E79"/>
          <w:sz w:val="26"/>
          <w:szCs w:val="26"/>
        </w:rPr>
        <w:t xml:space="preserve">硬过滤条件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非 ST 股票。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存在产业链业务映射和当日评分。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gap_type 属于正向或中性观察信号。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默认 expectation_gap_score &gt;= 8，覆盖强信号和观察池。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同一股票多个业务标签时，只保留最强映射。</w:t>
      </w:r>
    </w:p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8. 输出字段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7689"/>
      </w:tblGrid>
      <w:tr>
        <w:trPr>
          <w:tblHeader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字段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code / name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股票代码与名称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chain_id / tag_name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所属产业链与业务标签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model_score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最终排序分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expectation_gap_score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预期差分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gap_momentum_score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预期差动量分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three_high_total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三高总分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signal_tier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strong / watch / early / none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grade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S/A/B/C 评级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evidence_ids / l1_l8_path</w:t>
            </w:r>
          </w:p>
        </w:tc>
        <w:tc>
          <w:tcPr>
            <w:tcW w:type="dxa" w:w="7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证据链和 L1-L8 路径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9. 当前回测结论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0"/>
        <w:gridCol w:w="1388"/>
        <w:gridCol w:w="1602"/>
        <w:gridCol w:w="2243"/>
        <w:gridCol w:w="2243"/>
      </w:tblGrid>
      <w:tr>
        <w:trPr>
          <w:tblHeader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口径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样本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胜率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平均收益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复利收益</w:t>
            </w:r>
          </w:p>
        </w:tc>
      </w:tr>
      <w:tr>
        <w:trPr>
          <w:tblHeader w:val="false"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观察池整体 T+1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92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41.30%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-0.1627%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-0.7349%</w:t>
            </w:r>
          </w:p>
        </w:tc>
      </w:tr>
      <w:tr>
        <w:trPr>
          <w:tblHeader w:val="false"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强信号 T+1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60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43.33%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548235"/>
                <w:sz w:val="20"/>
                <w:szCs w:val="20"/>
              </w:rPr>
              <w:t xml:space="preserve">+0.0772%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548235"/>
                <w:sz w:val="20"/>
                <w:szCs w:val="20"/>
              </w:rPr>
              <w:t xml:space="preserve">+0.1336%</w:t>
            </w:r>
          </w:p>
        </w:tc>
      </w:tr>
      <w:tr>
        <w:trPr>
          <w:tblHeader w:val="false"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观察信号 T+1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32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37.50%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-0.6124%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-0.8674%</w:t>
            </w:r>
          </w:p>
        </w:tc>
      </w:tr>
      <w:tr>
        <w:trPr>
          <w:tblHeader w:val="false"/>
        </w:trPr>
        <w:tc>
          <w:tcPr>
            <w:tcW w:type="dxa" w:w="2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观察信号 T+3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32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37.50%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-1.1492%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-1.9183%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 w:val="false"/>
        </w:trPr>
        <w:tc>
          <w:tcPr>
            <w:tcW w:type="dxa" w:w="10466"/>
            <w:tcBorders>
              <w:top w:val="single" w:color="C00000" w:sz="12"/>
              <w:left w:val="single" w:color="C00000" w:sz="24"/>
              <w:bottom w:val="single" w:color="C00000" w:sz="4"/>
              <w:right w:val="single" w:color="C00000" w:sz="4"/>
            </w:tcBorders>
            <w:shd w:fill="FCE4E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 w:line="2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当前判断</w:t>
            </w:r>
          </w:p>
          <w:p>
            <w:pPr>
              <w:spacing w:after="0" w:before="30" w:line="28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强信号 T+1 平均收益已经转正，但胜率和样本量仍不足。观察池扩大了样本，但当前明显拖累整体收益。因此本模型适合作为产业链预期差候选池，暂不适合升级为 production。</w:t>
            </w:r>
          </w:p>
        </w:tc>
      </w:tr>
    </w:tbl>
    <w:p>
      <w:pPr>
        <w:pStyle w:val="Heading1"/>
        <w:spacing w:after="120" w:before="240"/>
      </w:pPr>
      <w:r>
        <w:rPr>
          <w:rFonts w:ascii="PingFang SC" w:cs="PingFang SC" w:eastAsia="PingFang SC" w:hAnsi="PingFang SC"/>
          <w:b/>
          <w:bCs/>
          <w:color w:val="1F4E79"/>
          <w:sz w:val="32"/>
          <w:szCs w:val="32"/>
        </w:rPr>
        <w:t xml:space="preserve">10. 使用建议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研究优先级应以 strong 信号为主，watch 信号用于跟踪证据变化。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观察池不能直接等同于买入池，尤其需要等待新增强证据、商业化进展或价格回调。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后续需要继续补历史公告、互动易、研报、专利、招投标和产业景气数据，扩大有效样本。</w:t>
      </w:r>
    </w:p>
    <w:p>
      <w:pPr>
        <w:pStyle w:val="ListParagraph"/>
        <w:numPr>
          <w:ilvl w:val="0"/>
          <w:numId w:val="2"/>
        </w:numPr>
        <w:spacing w:after="30" w:before="30" w:line="280"/>
        <w:jc w:val="left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F1F1F"/>
          <w:sz w:val="22"/>
          <w:szCs w:val="22"/>
        </w:rPr>
        <w:t xml:space="preserve">生产化前必须完成更长周期 T+3/T+5/T+10 回测、分产业链回测、分市值回测和市场环境分层回测。</w:t>
      </w:r>
    </w:p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SC" w:cs="PingFang SC" w:eastAsia="PingFang SC" w:hAnsi="PingFang SC"/>
        <w:b w:val="false"/>
        <w:bCs w:val="false"/>
        <w:i w:val="false"/>
        <w:iCs w:val="false"/>
        <w:color w:val="595959"/>
        <w:sz w:val="18"/>
        <w:szCs w:val="18"/>
      </w:rPr>
      <w:t xml:space="preserve">第 </w:t>
    </w:r>
    <w:r>
      <w:rPr>
        <w:rFonts w:ascii="PingFang SC" w:cs="PingFang SC" w:eastAsia="PingFang SC" w:hAnsi="PingFang S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ingFang SC" w:cs="PingFang SC" w:eastAsia="PingFang SC" w:hAnsi="PingFang SC"/>
        <w:b w:val="false"/>
        <w:bCs w:val="false"/>
        <w:i w:val="false"/>
        <w:iCs w:val="false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40" w:line="280"/>
      <w:jc w:val="left"/>
    </w:pPr>
    <w:r>
      <w:rPr>
        <w:rFonts w:ascii="PingFang SC" w:cs="PingFang SC" w:eastAsia="PingFang SC" w:hAnsi="PingFang SC"/>
        <w:b w:val="false"/>
        <w:bCs w:val="false"/>
        <w:i w:val="false"/>
        <w:iCs w:val="false"/>
        <w:color w:val="595959"/>
        <w:sz w:val="18"/>
        <w:szCs w:val="18"/>
      </w:rPr>
      <w:t xml:space="preserve">产业链预期差选股模型逻辑说明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PingFang SC" w:cs="PingFang SC" w:eastAsia="PingFang SC" w:hAnsi="PingFang S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PingFang SC" w:cs="PingFang SC" w:eastAsia="PingFang SC" w:hAnsi="PingFang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PingFang SC" w:cs="PingFang SC" w:eastAsia="PingFang SC" w:hAnsi="PingFang SC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产业链预期差选股模型逻辑说明</dc:title>
  <dc:creator>Codex</dc:creator>
  <dc:description>产业链预期差选股模型 V1.0 的数据、评分、排序、回测和使用建议。</dc:description>
  <cp:lastModifiedBy>Un-named</cp:lastModifiedBy>
  <cp:revision>1</cp:revision>
  <dcterms:created xsi:type="dcterms:W3CDTF">2026-07-07T12:57:31.312Z</dcterms:created>
  <dcterms:modified xsi:type="dcterms:W3CDTF">2026-07-07T12:57:31.315Z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