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5B5" w:rsidRPr="00A46EDF" w:rsidRDefault="003A693D" w:rsidP="000A35B5">
      <w:pPr>
        <w:rPr>
          <w:b/>
        </w:rPr>
      </w:pPr>
      <w:r>
        <w:rPr>
          <w:b/>
        </w:rPr>
        <w:t>SOM A</w:t>
      </w:r>
      <w:r w:rsidR="000A35B5" w:rsidRPr="00A46EDF">
        <w:rPr>
          <w:b/>
        </w:rPr>
        <w:t xml:space="preserve">. </w:t>
      </w:r>
      <w:r w:rsidR="00A46EDF">
        <w:rPr>
          <w:b/>
        </w:rPr>
        <w:t>Calibration variables</w:t>
      </w:r>
    </w:p>
    <w:p w:rsidR="000A35B5" w:rsidRDefault="003A693D" w:rsidP="000A35B5">
      <w:pPr>
        <w:rPr>
          <w:lang w:val="en-GB"/>
        </w:rPr>
      </w:pPr>
      <w:r>
        <w:t>Figure A</w:t>
      </w:r>
      <w:r w:rsidR="000A35B5">
        <w:t>1.</w:t>
      </w:r>
      <w:r>
        <w:t xml:space="preserve"> </w:t>
      </w:r>
      <w:r w:rsidR="000A35B5" w:rsidRPr="00CE10DC">
        <w:rPr>
          <w:sz w:val="24"/>
        </w:rPr>
        <w:t xml:space="preserve">Range graphs for calibration variables (variable numbering and associated acronyms are given in </w:t>
      </w:r>
      <w:r>
        <w:rPr>
          <w:sz w:val="24"/>
        </w:rPr>
        <w:t>Table A</w:t>
      </w:r>
      <w:r w:rsidR="000A35B5">
        <w:rPr>
          <w:sz w:val="24"/>
        </w:rPr>
        <w:t>1</w:t>
      </w:r>
      <w:r w:rsidR="000A35B5" w:rsidRPr="00CE10DC">
        <w:rPr>
          <w:sz w:val="24"/>
        </w:rPr>
        <w:t xml:space="preserve">). Dotted lines denote the equal weight </w:t>
      </w:r>
      <w:r>
        <w:rPr>
          <w:sz w:val="24"/>
        </w:rPr>
        <w:t xml:space="preserve">(EQ) </w:t>
      </w:r>
      <w:r w:rsidR="000A35B5" w:rsidRPr="00CE10DC">
        <w:rPr>
          <w:sz w:val="24"/>
        </w:rPr>
        <w:t>and dashed lines indicate the performance</w:t>
      </w:r>
      <w:r>
        <w:rPr>
          <w:sz w:val="24"/>
        </w:rPr>
        <w:t>-based (PB)</w:t>
      </w:r>
      <w:r w:rsidR="000A35B5" w:rsidRPr="00CE10DC">
        <w:rPr>
          <w:sz w:val="24"/>
        </w:rPr>
        <w:t xml:space="preserve"> decision maker, solid lines denote the individual experts, </w:t>
      </w:r>
      <w:r>
        <w:rPr>
          <w:sz w:val="24"/>
        </w:rPr>
        <w:t xml:space="preserve">line </w:t>
      </w:r>
      <w:r w:rsidR="000A35B5" w:rsidRPr="00CE10DC">
        <w:rPr>
          <w:sz w:val="24"/>
        </w:rPr>
        <w:t>endpoin</w:t>
      </w:r>
      <w:r>
        <w:rPr>
          <w:sz w:val="24"/>
        </w:rPr>
        <w:t>ts are the 5 and 95 percentiles and</w:t>
      </w:r>
      <w:r w:rsidR="000A35B5" w:rsidRPr="00CE10DC">
        <w:rPr>
          <w:sz w:val="24"/>
        </w:rPr>
        <w:t xml:space="preserve"> dots denote the medians</w:t>
      </w:r>
      <w:r>
        <w:rPr>
          <w:sz w:val="24"/>
        </w:rPr>
        <w:t xml:space="preserve"> (50th percentiles)</w:t>
      </w:r>
      <w:r w:rsidR="000A35B5" w:rsidRPr="00CE10DC">
        <w:rPr>
          <w:sz w:val="24"/>
        </w:rPr>
        <w:t>. The red lines indicate the 2011 realizations of each calibration variable.</w:t>
      </w:r>
    </w:p>
    <w:p w:rsidR="000A35B5" w:rsidRDefault="000A35B5">
      <w:r>
        <w:rPr>
          <w:noProof/>
        </w:rPr>
        <w:drawing>
          <wp:inline distT="0" distB="0" distL="0" distR="0">
            <wp:extent cx="5943600" cy="6666068"/>
            <wp:effectExtent l="0" t="0" r="0" b="1905"/>
            <wp:docPr id="1" name="Picture 1" descr="C:\ND\Expert Elicitation\Manuscript 1 Biomass\Con Bio\For submission\Text\Revision\SOM C\Seed_Variables With Numbers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ND\Expert Elicitation\Manuscript 1 Biomass\Con Bio\For submission\Text\Revision\SOM C\Seed_Variables With Numbers.tif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EDF" w:rsidRDefault="003A693D" w:rsidP="00A46EDF">
      <w:r>
        <w:lastRenderedPageBreak/>
        <w:t>Table A</w:t>
      </w:r>
      <w:r w:rsidR="000A35B5">
        <w:t xml:space="preserve">1. </w:t>
      </w:r>
      <w:r w:rsidR="0045770A">
        <w:t>Calibration v</w:t>
      </w:r>
      <w:r w:rsidR="000A35B5">
        <w:t xml:space="preserve">ariable numbering, associated acronyms and description of </w:t>
      </w:r>
      <w:r w:rsidR="0045770A">
        <w:t xml:space="preserve">calibration </w:t>
      </w:r>
      <w:r w:rsidR="000A35B5">
        <w:t xml:space="preserve">variables shown in Figure </w:t>
      </w:r>
      <w:r>
        <w:t>A</w:t>
      </w:r>
      <w:bookmarkStart w:id="0" w:name="_GoBack"/>
      <w:bookmarkEnd w:id="0"/>
      <w:r w:rsidR="000A35B5">
        <w:t xml:space="preserve">1. </w:t>
      </w:r>
      <w:r>
        <w:t>Calibration variable realization d</w:t>
      </w:r>
      <w:r w:rsidR="00A46EDF" w:rsidRPr="00437B00">
        <w:t>ata provided by Ohio Department of Natural Resources (DNR) 2011, Michigan DNR 2011, Ontario Ministry of Natural Resources 2011, Asian Carp Regional Coordinating Committee 2012</w:t>
      </w:r>
      <w:r w:rsidR="00A46EDF">
        <w:t>.</w:t>
      </w:r>
    </w:p>
    <w:p w:rsidR="000A35B5" w:rsidRDefault="000A35B5"/>
    <w:tbl>
      <w:tblPr>
        <w:tblStyle w:val="TableGrid"/>
        <w:tblW w:w="8798" w:type="dxa"/>
        <w:tblLook w:val="04A0" w:firstRow="1" w:lastRow="0" w:firstColumn="1" w:lastColumn="0" w:noHBand="0" w:noVBand="1"/>
      </w:tblPr>
      <w:tblGrid>
        <w:gridCol w:w="530"/>
        <w:gridCol w:w="1322"/>
        <w:gridCol w:w="7036"/>
      </w:tblGrid>
      <w:tr w:rsidR="003A693D" w:rsidRPr="000A35B5" w:rsidTr="00357735">
        <w:trPr>
          <w:trHeight w:val="288"/>
        </w:trPr>
        <w:tc>
          <w:tcPr>
            <w:tcW w:w="440" w:type="dxa"/>
            <w:noWrap/>
          </w:tcPr>
          <w:p w:rsidR="003A693D" w:rsidRPr="000A35B5" w:rsidRDefault="003A693D" w:rsidP="00357735">
            <w:r>
              <w:t>No.</w:t>
            </w:r>
          </w:p>
        </w:tc>
        <w:tc>
          <w:tcPr>
            <w:tcW w:w="1322" w:type="dxa"/>
            <w:noWrap/>
          </w:tcPr>
          <w:p w:rsidR="003A693D" w:rsidRPr="000A35B5" w:rsidRDefault="003A693D" w:rsidP="00357735">
            <w:r>
              <w:t>Code</w:t>
            </w:r>
          </w:p>
        </w:tc>
        <w:tc>
          <w:tcPr>
            <w:tcW w:w="7036" w:type="dxa"/>
            <w:noWrap/>
          </w:tcPr>
          <w:p w:rsidR="003A693D" w:rsidRPr="000A35B5" w:rsidRDefault="003A693D" w:rsidP="00357735">
            <w:r>
              <w:t>Description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WY11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Biomass of walleye in Lake Erie in 2011 (metric tons km^-2)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2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RG11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Biomass of round goby in Central Basin Lake Erie 2011 (metric tons km^-2)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3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RS11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Biomass of rainbow smelt in Lake Erie in 2011 (metric tons km^-2)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4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GS11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Biomass of gizzard shad in Lake Erie in 2011 (metric tons km^-2)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5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SMBa11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fish in diet of smallmouth bass (age 2+)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6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WBy11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fish in diet of white bass (yearling)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7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WBa11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fish in diet of white bass (age 2+)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8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YPy11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fish in diet of yellow perch (yearling)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9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YPa11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fish in diet of yellow perch (age 2+)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10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RS_WYy11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rainbow smelt in diet of walleye (yearling)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11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RS_WYa11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rainbow smelt in diet of walleye (age 2+)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12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RG_WYy11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round goby in diet of walleye (yearling)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13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RG_SMBa11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%of round goby in diet of smallmouth bass (age 2+)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14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RG_YPa1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% of round goby in diet of yellow perch (age 2+) (Central Basin)</w:t>
            </w:r>
          </w:p>
        </w:tc>
      </w:tr>
      <w:tr w:rsidR="000A35B5" w:rsidRPr="000A35B5" w:rsidTr="00357735">
        <w:trPr>
          <w:trHeight w:val="288"/>
        </w:trPr>
        <w:tc>
          <w:tcPr>
            <w:tcW w:w="440" w:type="dxa"/>
            <w:noWrap/>
            <w:hideMark/>
          </w:tcPr>
          <w:p w:rsidR="000A35B5" w:rsidRPr="000A35B5" w:rsidRDefault="000A35B5" w:rsidP="00357735">
            <w:r w:rsidRPr="000A35B5">
              <w:t>15</w:t>
            </w:r>
          </w:p>
        </w:tc>
        <w:tc>
          <w:tcPr>
            <w:tcW w:w="1322" w:type="dxa"/>
            <w:noWrap/>
            <w:hideMark/>
          </w:tcPr>
          <w:p w:rsidR="000A35B5" w:rsidRPr="000A35B5" w:rsidRDefault="000A35B5" w:rsidP="00357735">
            <w:r w:rsidRPr="000A35B5">
              <w:t>pool12</w:t>
            </w:r>
          </w:p>
        </w:tc>
        <w:tc>
          <w:tcPr>
            <w:tcW w:w="7036" w:type="dxa"/>
            <w:noWrap/>
            <w:hideMark/>
          </w:tcPr>
          <w:p w:rsidR="000A35B5" w:rsidRPr="000A35B5" w:rsidRDefault="000A35B5" w:rsidP="00357735">
            <w:r w:rsidRPr="000A35B5">
              <w:t>kg of Asian carps captured in Marseilles and Dresden pools (CAWS) in 2012</w:t>
            </w:r>
          </w:p>
        </w:tc>
      </w:tr>
    </w:tbl>
    <w:p w:rsidR="000A35B5" w:rsidRDefault="000A35B5"/>
    <w:sectPr w:rsidR="000A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5B5"/>
    <w:rsid w:val="000A35B5"/>
    <w:rsid w:val="001E6B17"/>
    <w:rsid w:val="003A693D"/>
    <w:rsid w:val="0045770A"/>
    <w:rsid w:val="009500C3"/>
    <w:rsid w:val="00A46EDF"/>
    <w:rsid w:val="00D0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5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5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35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5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5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35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2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Notre Dame</Company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Reviewer</cp:lastModifiedBy>
  <cp:revision>4</cp:revision>
  <dcterms:created xsi:type="dcterms:W3CDTF">2014-01-29T20:59:00Z</dcterms:created>
  <dcterms:modified xsi:type="dcterms:W3CDTF">2014-02-12T17:47:00Z</dcterms:modified>
</cp:coreProperties>
</file>