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05DA" w:rsidRPr="00FE76D8" w:rsidRDefault="00BA05DA" w:rsidP="00BA05DA">
      <w:pPr>
        <w:spacing w:after="0" w:line="480" w:lineRule="auto"/>
        <w:rPr>
          <w:b/>
        </w:rPr>
      </w:pPr>
      <w:r w:rsidRPr="00FE76D8">
        <w:rPr>
          <w:b/>
        </w:rPr>
        <w:t xml:space="preserve">SOM D. </w:t>
      </w:r>
      <w:r w:rsidR="00FE76D8">
        <w:rPr>
          <w:b/>
        </w:rPr>
        <w:t>Results of expert assessment of p</w:t>
      </w:r>
      <w:r w:rsidRPr="00FE76D8">
        <w:rPr>
          <w:b/>
        </w:rPr>
        <w:t xml:space="preserve">roduction to </w:t>
      </w:r>
      <w:r w:rsidR="00FE76D8">
        <w:rPr>
          <w:b/>
        </w:rPr>
        <w:t>b</w:t>
      </w:r>
      <w:r w:rsidRPr="00FE76D8">
        <w:rPr>
          <w:b/>
        </w:rPr>
        <w:t xml:space="preserve">iomass (P/B) and </w:t>
      </w:r>
      <w:r w:rsidR="00FE76D8">
        <w:rPr>
          <w:b/>
        </w:rPr>
        <w:t>c</w:t>
      </w:r>
      <w:r w:rsidRPr="00FE76D8">
        <w:rPr>
          <w:b/>
        </w:rPr>
        <w:t xml:space="preserve">onsumption to </w:t>
      </w:r>
      <w:r w:rsidR="00FE76D8">
        <w:rPr>
          <w:b/>
        </w:rPr>
        <w:t>b</w:t>
      </w:r>
      <w:r w:rsidRPr="00FE76D8">
        <w:rPr>
          <w:b/>
        </w:rPr>
        <w:t>iomass (Q/B) ratios</w:t>
      </w:r>
      <w:r w:rsidR="00FE76D8">
        <w:rPr>
          <w:b/>
        </w:rPr>
        <w:t>,</w:t>
      </w:r>
      <w:r w:rsidR="00EB6FA5" w:rsidRPr="00FE76D8">
        <w:rPr>
          <w:b/>
        </w:rPr>
        <w:t xml:space="preserve"> and </w:t>
      </w:r>
      <w:r w:rsidR="00FE76D8" w:rsidRPr="00FE76D8">
        <w:rPr>
          <w:b/>
        </w:rPr>
        <w:t>e</w:t>
      </w:r>
      <w:r w:rsidR="00EB6FA5" w:rsidRPr="00FE76D8">
        <w:rPr>
          <w:b/>
        </w:rPr>
        <w:t xml:space="preserve">xpert </w:t>
      </w:r>
      <w:r w:rsidR="00FE76D8" w:rsidRPr="00FE76D8">
        <w:rPr>
          <w:b/>
        </w:rPr>
        <w:t>r</w:t>
      </w:r>
      <w:r w:rsidR="00EB6FA5" w:rsidRPr="00FE76D8">
        <w:rPr>
          <w:b/>
        </w:rPr>
        <w:t>ationales for P/B, Q/B and Asian carp biomass</w:t>
      </w:r>
      <w:r w:rsidR="00FE76D8">
        <w:rPr>
          <w:b/>
        </w:rPr>
        <w:t xml:space="preserve"> estimates.</w:t>
      </w:r>
      <w:bookmarkStart w:id="0" w:name="_GoBack"/>
      <w:bookmarkEnd w:id="0"/>
    </w:p>
    <w:p w:rsidR="00BA05DA" w:rsidRPr="00FE76D8" w:rsidRDefault="00BA05DA" w:rsidP="00BA05DA">
      <w:pPr>
        <w:spacing w:after="0" w:line="480" w:lineRule="auto"/>
      </w:pPr>
      <w:r w:rsidRPr="00FE76D8">
        <w:rPr>
          <w:noProof/>
        </w:rPr>
        <w:drawing>
          <wp:inline distT="0" distB="0" distL="0" distR="0" wp14:anchorId="027F77BB" wp14:editId="6F20FE72">
            <wp:extent cx="5943600" cy="3176260"/>
            <wp:effectExtent l="0" t="0" r="0" b="0"/>
            <wp:docPr id="1" name="Picture 1" descr="C:\ND\Expert Elicitation\Manuscript 1 Biomass\Con Bio\Revision\Figures\Figure 2\WittmannFigure 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ND\Expert Elicitation\Manuscript 1 Biomass\Con Bio\Revision\Figures\Figure 2\WittmannFigure 2.ti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76260"/>
                    </a:xfrm>
                    <a:prstGeom prst="rect">
                      <a:avLst/>
                    </a:prstGeom>
                    <a:noFill/>
                    <a:ln>
                      <a:noFill/>
                    </a:ln>
                  </pic:spPr>
                </pic:pic>
              </a:graphicData>
            </a:graphic>
          </wp:inline>
        </w:drawing>
      </w:r>
    </w:p>
    <w:p w:rsidR="00BA05DA" w:rsidRPr="00FE76D8" w:rsidRDefault="00BA05DA" w:rsidP="00BA05DA">
      <w:pPr>
        <w:spacing w:after="0" w:line="480" w:lineRule="auto"/>
      </w:pPr>
      <w:r w:rsidRPr="00FE76D8">
        <w:t xml:space="preserve">Figure D1. </w:t>
      </w:r>
      <w:proofErr w:type="gramStart"/>
      <w:r w:rsidRPr="00FE76D8">
        <w:t>Individual expert responses (solid lines) and equally-weighted (dotted lines) and performance-based (dashed lines) combination distributions, expressed by the 5</w:t>
      </w:r>
      <w:r w:rsidRPr="00FE76D8">
        <w:rPr>
          <w:vertAlign w:val="superscript"/>
        </w:rPr>
        <w:t>th</w:t>
      </w:r>
      <w:r w:rsidRPr="00FE76D8">
        <w:t>, 50</w:t>
      </w:r>
      <w:r w:rsidRPr="00FE76D8">
        <w:rPr>
          <w:vertAlign w:val="superscript"/>
        </w:rPr>
        <w:t>th</w:t>
      </w:r>
      <w:r w:rsidRPr="00FE76D8">
        <w:t xml:space="preserve"> and 95</w:t>
      </w:r>
      <w:r w:rsidRPr="00FE76D8">
        <w:rPr>
          <w:vertAlign w:val="superscript"/>
        </w:rPr>
        <w:t>th</w:t>
      </w:r>
      <w:r w:rsidRPr="00FE76D8">
        <w:t xml:space="preserve"> percentiles.</w:t>
      </w:r>
      <w:proofErr w:type="gramEnd"/>
      <w:r w:rsidRPr="00FE76D8">
        <w:t xml:space="preserve"> Results include estimates of production to biomass ratios (P/B) when the Lake Erie food web is at equilibrium after Asian carp invasion. P/B ratio estimates are given for the following four scenarios. A. (Top left) silver carp given silver carp only invasion, B. (Top right) bighead carp given bighead carp only, C. (Bottom left) silver carp given the invasion of both bighead and silver carp, D. (Bottom right) bighead carp given the invasion of both bighead and silver carp. The vertical colored lines refer to reference values from previously published literature. Blue line = P/B value estimated for Rainbow Smelt in Lake Superior (</w:t>
      </w:r>
      <w:proofErr w:type="spellStart"/>
      <w:r w:rsidRPr="00FE76D8">
        <w:t>Kitchell</w:t>
      </w:r>
      <w:proofErr w:type="spellEnd"/>
      <w:r w:rsidRPr="00FE76D8">
        <w:t xml:space="preserve"> et al. 2000), red line = P/B value estimated for Dreissenid mussels in Lake Ontario (Stewart and </w:t>
      </w:r>
      <w:proofErr w:type="spellStart"/>
      <w:r w:rsidRPr="00FE76D8">
        <w:t>Sprules</w:t>
      </w:r>
      <w:proofErr w:type="spellEnd"/>
      <w:r w:rsidRPr="00FE76D8">
        <w:t xml:space="preserve"> 2011), green line = P/B value estimated for silver (Panels A, C) or bighead (Panels B, D) in Lake </w:t>
      </w:r>
      <w:proofErr w:type="spellStart"/>
      <w:r w:rsidRPr="00FE76D8">
        <w:t>Qiandaohu</w:t>
      </w:r>
      <w:proofErr w:type="spellEnd"/>
      <w:r w:rsidRPr="00FE76D8">
        <w:t>, China (Liu et al. 2007). Some experts drew upon these values when making their estimates.</w:t>
      </w:r>
    </w:p>
    <w:p w:rsidR="00BA05DA" w:rsidRPr="00FE76D8" w:rsidRDefault="00BA05DA" w:rsidP="00BA05DA">
      <w:pPr>
        <w:spacing w:after="0" w:line="480" w:lineRule="auto"/>
      </w:pPr>
      <w:r w:rsidRPr="00FE76D8">
        <w:rPr>
          <w:noProof/>
        </w:rPr>
        <w:lastRenderedPageBreak/>
        <w:drawing>
          <wp:inline distT="0" distB="0" distL="0" distR="0" wp14:anchorId="5FCE607D" wp14:editId="0B587C98">
            <wp:extent cx="5943600" cy="3237345"/>
            <wp:effectExtent l="0" t="0" r="0" b="0"/>
            <wp:docPr id="2" name="Picture 2" descr="C:\ND\Expert Elicitation\Manuscript 1 Biomass\Con Bio\Revision\Figures\Figure 3\WittmannFigure 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D\Expert Elicitation\Manuscript 1 Biomass\Con Bio\Revision\Figures\Figure 3\WittmannFigure 3.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37345"/>
                    </a:xfrm>
                    <a:prstGeom prst="rect">
                      <a:avLst/>
                    </a:prstGeom>
                    <a:noFill/>
                    <a:ln>
                      <a:noFill/>
                    </a:ln>
                  </pic:spPr>
                </pic:pic>
              </a:graphicData>
            </a:graphic>
          </wp:inline>
        </w:drawing>
      </w:r>
    </w:p>
    <w:p w:rsidR="00BA05DA" w:rsidRPr="00FE76D8" w:rsidRDefault="00BA05DA" w:rsidP="00BA05DA">
      <w:pPr>
        <w:spacing w:after="0" w:line="480" w:lineRule="auto"/>
      </w:pPr>
      <w:r w:rsidRPr="00FE76D8">
        <w:t>Figure D2. Individual expert responses (solid lines) and equally-weighted (dotted lines) and performance-based (dashed lines) combination distributions expressed by the 5</w:t>
      </w:r>
      <w:r w:rsidRPr="00FE76D8">
        <w:rPr>
          <w:vertAlign w:val="superscript"/>
        </w:rPr>
        <w:t>th</w:t>
      </w:r>
      <w:r w:rsidRPr="00FE76D8">
        <w:t>, 50</w:t>
      </w:r>
      <w:r w:rsidRPr="00FE76D8">
        <w:rPr>
          <w:vertAlign w:val="superscript"/>
        </w:rPr>
        <w:t>th</w:t>
      </w:r>
      <w:r w:rsidRPr="00FE76D8">
        <w:t xml:space="preserve"> and 95</w:t>
      </w:r>
      <w:r w:rsidRPr="00FE76D8">
        <w:rPr>
          <w:vertAlign w:val="superscript"/>
        </w:rPr>
        <w:t>th</w:t>
      </w:r>
      <w:r w:rsidRPr="00FE76D8">
        <w:t xml:space="preserve"> percentiles. Results include estimates of consumption to biomass ratios (Q/B) when the Lake Erie food web is at equilibrium after Asian carp invasion. Q/B ratio estimates are given for the following four scenarios. A. (Top left) silver carp given silver carp only invasion, B. (Top right) bighead carp given bighead carp only, C. (Bottom left) silver carp given the invasion of both bighead and silver carp, D. (Bottom right) bighead carp given the invasion of both bighead and silver carp. The vertical colored lines refer to reference values from previously published literature; blue line = Q/B value estimated for Rainbow smelt in Lake Superior </w:t>
      </w:r>
      <w:r w:rsidRPr="00FE76D8">
        <w:fldChar w:fldCharType="begin" w:fldLock="1"/>
      </w:r>
      <w:r w:rsidR="00F44A14" w:rsidRPr="00FE76D8">
        <w:instrText>ADDIN CSL_CITATION { "citationItems" : [ { "id" : "ITEM-1", "itemData" : { "DOI" : "10.1007/s100210000048", "ISBN" : "1432-9840", "ISSN" : "1432-9840", "abstract" : "The restoration and rehabilitation of the native fish communities is a long-term goal for the Laurentian Great Lakes. In Lake Superior, the ongoing restora- tion of the native lake trout populations is now regarded as one of the major success stories in fisheries management. However, populations of the deepwater morphotype (siscowet lake trout) have increased much more substantially than those of the nearshore morphotype (lean lake trout), and the ecosystem now contains an assemblage of exotic species such as sea lamprey, rainbow smelt, and Pacific salmon (chinook, coho, and steelhead). Those species play an important role in defining the constraints and opportunities for ecosystem management. We combined an equilibrium mass balance model (Ecopath) with a dynamic food web model (Ecosim) to evaluate the ecological conse- quences of future alternative management strate- gies and the smelt, deepwater cisco, and sculpins. The abun- dance of forage fish is a key constraint for all sal- monids in Lake Superior. Smelt and Mysis play a prominent role in sustaining the current trophic structure. Competition between the native lake trout and the exotic salmonids is asymmetric. Reductions in the salmon population yield only a modest benefit for the stocks of lake trout, whereas increased fishing of lake trout produces substantial potential increases in the yields of Pacific salmon to recreational fisheries. The deepwater or siscowet morphotype of lake trout has become very abundant. Although it plays amajor role in the structure of the food web it offers little potential for the restoration of a valuable commercial or recreational fishery. Even if a combination of strong management actions is implemented, the populations of lean (nearshore) lake trout cannot be restored to pre-fishery and pre-lamprey levels. Thus, manage- ment strategy must accept the ecological constraints due in part to the presence of exotics and choose alternatives that sustain public interest in the resources while continuing the gradual progress toward restoration. interaction of two different sets of life history characteristics for fishes at the top of the food web. Relatively rapid turnover rates occur among the exotic forage fish, rainbow smelt, and its primary predators, exotic Pacific salmonids. Slower turnover rates occur among the native lake trout and burbot and their primary prey-lake herring,", "author" : [ { "dropping-particle" : "", "family" : "Kitchell", "given" : "James F.", "non-dropping-particle" : "", "parse-names" : false, "suffix" : "" }, { "dropping-particle" : "", "family" : "Cox", "given" : "Sean P.", "non-dropping-particle" : "", "parse-names" : false, "suffix" : "" }, { "dropping-particle" : "", "family" : "Harvey", "given" : "Chris J.", "non-dropping-particle" : "", "parse-names" : false, "suffix" : "" }, { "dropping-particle" : "", "family" : "Johnson", "given" : "Timothy B.", "non-dropping-particle" : "", "parse-names" : false, "suffix" : "" }, { "dropping-particle" : "", "family" : "Mason", "given" : "D.M.", "non-dropping-particle" : "", "parse-names" : false, "suffix" : "" }, { "dropping-particle" : "", "family" : "Schoen", "given" : "K.J.", "non-dropping-particle" : "", "parse-names" : false, "suffix" : "" }, { "dropping-particle" : "", "family" : "Aydin", "given" : "K.", "non-dropping-particle" : "", "parse-names" : false, "suffix" : "" }, { "dropping-particle" : "", "family" : "Bronte", "given" : "Charles", "non-dropping-particle" : "", "parse-names" : false, "suffix" : "" }, { "dropping-particle" : "", "family" : "Ebener", "given" : "Mark", "non-dropping-particle" : "", "parse-names" : false, "suffix" : "" }, { "dropping-particle" : "", "family" : "Hansen", "given" : "M.", "non-dropping-particle" : "", "parse-names" : false, "suffix" : "" }, { "dropping-particle" : "", "family" : "Hoff", "given" : "M.", "non-dropping-particle" : "", "parse-names" : false, "suffix" : "" }, { "dropping-particle" : "", "family" : "Schram", "given" : "S.", "non-dropping-particle" : "", "parse-names" : false, "suffix" : "" }, { "dropping-particle" : "", "family" : "Screiner", "given" : "D.", "non-dropping-particle" : "", "parse-names" : false, "suffix" : "" }, { "dropping-particle" : "", "family" : "Walters", "given" : "C.J.", "non-dropping-particle" : "", "parse-names" : false, "suffix" : "" } ], "container-title" : "Ecosystems", "id" : "ITEM-1", "issue" : "6", "issued" : { "date-parts" : [ [ "2000" ] ] }, "page" : "545-560", "title" : "Sustainability of the Lake Superior Fish Community: Interactions in a Food Web Context", "type" : "article-journal", "volume" : "3" }, "uris" : [ "http://www.mendeley.com/documents/?uuid=69a0210f-3326-47ee-a372-ba7f41c80a81" ] } ], "mendeley" : { "previouslyFormattedCitation" : "(Kitchell et al. 2000)" }, "properties" : { "noteIndex" : 0 }, "schema" : "https://github.com/citation-style-language/schema/raw/master/csl-citation.json" }</w:instrText>
      </w:r>
      <w:r w:rsidRPr="00FE76D8">
        <w:fldChar w:fldCharType="separate"/>
      </w:r>
      <w:r w:rsidRPr="00FE76D8">
        <w:rPr>
          <w:noProof/>
        </w:rPr>
        <w:t>(Kitchell et al. 2000)</w:t>
      </w:r>
      <w:r w:rsidRPr="00FE76D8">
        <w:fldChar w:fldCharType="end"/>
      </w:r>
      <w:r w:rsidRPr="00FE76D8">
        <w:t xml:space="preserve">, red line = Q/B value estimated for Dreissenid mussels in Lake Ontario </w:t>
      </w:r>
      <w:r w:rsidRPr="00FE76D8">
        <w:fldChar w:fldCharType="begin" w:fldLock="1"/>
      </w:r>
      <w:r w:rsidR="00F44A14" w:rsidRPr="00FE76D8">
        <w:instrText>ADDIN CSL_CITATION { "citationItems" : [ { "id" : "ITEM-1", "itemData" : { "DOI" : "10.1016/j.ecolmodel.2010.10.024", "ISBN" : "0304-3800", "ISSN" : "03043800", "abstract" : "Replicate mass-balanced solutions to Ecopath models describing carbon-based trophic structures and flows were developed for the Lake Ontario offshore food web before and after invasion-induced disruption. The food webs link two pathways of energy and matter flow: the grazing chain (phytoplankton-zooplankton-fish) and the microbial lop (bacteria-protozoans) and include 19 species-groups and three detrital groups. Mass-balance was achieved by using constrained optimization techniques to randomly vary initial estimates of biomass and diet composition. After the invasion, production declined for all trophic levels and species-groups except Chinook salmon. The trophic level (TL) increased for smelt, adult sculpin, adult alewife and Chinook salmon. CHanges to ecotrophic efficiencies indicate a reduction in phytoplankton grazing, increased predation pressure on mysis, adult smelt and alewife and decreased predation pressure on protozoans. Specific resource to consumer TTE changed increasing for protozoans (8.0-11.5%), Mysis (0.6-1.0%), and Chinook salmon (1.0-2.3%) and other salmonines (0.4-0.5%) and decreasing for zooplankton (20.2-15.1%), prey-fish (9.7-8.8%), and benthos(1.7-0.6%).", "author" : [ { "dropping-particle" : "", "family" : "Stewart", "given" : "Thomas. J.", "non-dropping-particle" : "", "parse-names" : false, "suffix" : "" }, { "dropping-particle" : "", "family" : "Sprules", "given" : "W. Gary", "non-dropping-particle" : "", "parse-names" : false, "suffix" : "" } ], "container-title" : "Ecological Modelling", "id" : "ITEM-1", "issue" : "3", "issued" : { "date-parts" : [ [ "2011" ] ] }, "page" : "692-708", "title" : "Carbon-based balanced trophic structure and flows in the offshore Lake Ontario food web before (1987\u20131991) and after (2001\u20132005) invasion-induced ecosystem change", "type" : "article-journal", "volume" : "222" }, "uris" : [ "http://www.mendeley.com/documents/?uuid=31e8ee98-7e38-4c8f-87d2-0e299393896a" ] } ], "mendeley" : { "previouslyFormattedCitation" : "(Stewart &amp; Sprules 2011)" }, "properties" : { "noteIndex" : 0 }, "schema" : "https://github.com/citation-style-language/schema/raw/master/csl-citation.json" }</w:instrText>
      </w:r>
      <w:r w:rsidRPr="00FE76D8">
        <w:fldChar w:fldCharType="separate"/>
      </w:r>
      <w:r w:rsidRPr="00FE76D8">
        <w:rPr>
          <w:noProof/>
        </w:rPr>
        <w:t>(Stewart &amp; Sprules 2011)</w:t>
      </w:r>
      <w:r w:rsidRPr="00FE76D8">
        <w:fldChar w:fldCharType="end"/>
      </w:r>
      <w:r w:rsidRPr="00FE76D8">
        <w:t xml:space="preserve"> and green line = Q/B value estimated for silver (Panels A, C) or bighead (Panels B, D) in Lake </w:t>
      </w:r>
      <w:proofErr w:type="spellStart"/>
      <w:r w:rsidRPr="00FE76D8">
        <w:t>Qiandaohu</w:t>
      </w:r>
      <w:proofErr w:type="spellEnd"/>
      <w:r w:rsidRPr="00FE76D8">
        <w:t xml:space="preserve">, China </w:t>
      </w:r>
      <w:r w:rsidRPr="00FE76D8">
        <w:fldChar w:fldCharType="begin" w:fldLock="1"/>
      </w:r>
      <w:r w:rsidR="00F44A14" w:rsidRPr="00FE76D8">
        <w:instrText>ADDIN CSL_CITATION { "citationItems" : [ { "id" : "ITEM-1", "itemData" : { "DOI" : "10.1016/j.ecolmodel.2006.11.028", "ISBN" : "0304-3800", "ISSN" : "03043800", "abstract" : "An Ecopath model was constructed to describe the ecosystem of Lake Qiandaohu, a stock-enhanced large deep Chinese reservoir with silver carp (Hypophthalmichthys molitrix) and bighead carp (Aristichthys nobilis) dominated in its pelagic community. The food web structure and ecosystem property of the reservoir were analyzed and evaluated. The results showed that there were seven trophic levels (TLs) in the system, with the trophic flows primarily occurring through the first four TLs. The food web structure of this ecosystem was characterized with a bulged intermediate trophic level, which was contrary to the wasp-waist food web structure occurred in most natural aquatic ecosystems. The corresponding trophic flow pattern showing by transfer efficiencies (TEs) between TLs indicated that the trophic flows primarily went through from TL I to II with a high TE (of over 50%) and through a flow loop or short cut between detritus and TL II but greatly reduced from TL II to III with a lowest TE of 2.5% due to the bulged biomass at TL II. The trophic flow loop greatly increased the throughput recycled, which, together with high connectance index (CI), system omnivory index (SOI), Finn's cycled index (FCI) and Finn's mean path length (FML), might be beneficial to the maintaining of ecosystem stability. Finally, ecosystem property indices showed that this reservoir had a high value of P-P/R and P-P/B, indicating this ecosystem of short history was immature, but highly productive. This silver carp and bighead carp dominated deep reservoir ecosystem had both the characteristics of high productivity of an immature ecosystem and the feature of high stability of a mature ecosystem. (C) 2006 Elsevier B.V. All rights reserved.", "author" : [ { "dropping-particle" : "", "family" : "Liu", "given" : "Qi-Gen", "non-dropping-particle" : "", "parse-names" : false, "suffix" : "" }, { "dropping-particle" : "", "family" : "Chen", "given" : "Yong", "non-dropping-particle" : "", "parse-names" : false, "suffix" : "" }, { "dropping-particle" : "", "family" : "Chen", "given" : "Li-Qiao", "non-dropping-particle" : "", "parse-names" : false, "suffix" : "" }, { "dropping-particle" : "", "family" : "Li", "given" : "Jia-Le", "non-dropping-particle" : "", "parse-names" : false, "suffix" : "" } ], "container-title" : "Ecological Modelling", "id" : "ITEM-1", "issue" : "3-4", "issued" : { "date-parts" : [ [ "2007" ] ] }, "page" : "279-289", "title" : "The food web structure and ecosystem properties of a filter-feeding carps dominated deep reservoir ecosystem", "type" : "article-journal", "volume" : "203" }, "uris" : [ "http://www.mendeley.com/documents/?uuid=bd81031c-00ea-4283-ba20-7af161461f33" ] } ], "mendeley" : { "previouslyFormattedCitation" : "(Liu et al. 2007)" }, "properties" : { "noteIndex" : 0 }, "schema" : "https://github.com/citation-style-language/schema/raw/master/csl-citation.json" }</w:instrText>
      </w:r>
      <w:r w:rsidRPr="00FE76D8">
        <w:fldChar w:fldCharType="separate"/>
      </w:r>
      <w:r w:rsidRPr="00FE76D8">
        <w:rPr>
          <w:noProof/>
        </w:rPr>
        <w:t>(Liu et al. 2007)</w:t>
      </w:r>
      <w:r w:rsidRPr="00FE76D8">
        <w:fldChar w:fldCharType="end"/>
      </w:r>
      <w:r w:rsidRPr="00FE76D8">
        <w:t>. Some experts drew upon these values when making their estimates.</w:t>
      </w:r>
    </w:p>
    <w:p w:rsidR="00BA05DA" w:rsidRPr="00FE76D8" w:rsidRDefault="00BA05DA" w:rsidP="00BA05DA">
      <w:pPr>
        <w:spacing w:after="0" w:line="480" w:lineRule="auto"/>
      </w:pPr>
    </w:p>
    <w:p w:rsidR="00EB6FA5" w:rsidRPr="00FE76D8" w:rsidRDefault="00EB6FA5" w:rsidP="00BA05DA">
      <w:pPr>
        <w:spacing w:after="0" w:line="480" w:lineRule="auto"/>
        <w:rPr>
          <w:b/>
        </w:rPr>
      </w:pPr>
    </w:p>
    <w:p w:rsidR="009903A2" w:rsidRPr="00FE76D8" w:rsidRDefault="009903A2" w:rsidP="00BA05DA">
      <w:pPr>
        <w:spacing w:after="0" w:line="480" w:lineRule="auto"/>
        <w:rPr>
          <w:b/>
        </w:rPr>
      </w:pPr>
      <w:r w:rsidRPr="00FE76D8">
        <w:rPr>
          <w:b/>
        </w:rPr>
        <w:lastRenderedPageBreak/>
        <w:t>Results of P/B and Q/B Ratios</w:t>
      </w:r>
    </w:p>
    <w:p w:rsidR="009903A2" w:rsidRPr="00FE76D8" w:rsidRDefault="009903A2" w:rsidP="009903A2">
      <w:pPr>
        <w:spacing w:after="0" w:line="480" w:lineRule="auto"/>
        <w:rPr>
          <w:rFonts w:eastAsia="Times New Roman" w:cs="Times New Roman"/>
          <w:color w:val="000000"/>
        </w:rPr>
      </w:pPr>
      <w:r w:rsidRPr="00FE76D8">
        <w:t>Experts' estimated uncertainty ranges (5</w:t>
      </w:r>
      <w:r w:rsidRPr="00FE76D8">
        <w:rPr>
          <w:vertAlign w:val="superscript"/>
        </w:rPr>
        <w:t>th</w:t>
      </w:r>
      <w:r w:rsidRPr="00FE76D8">
        <w:t>, 50</w:t>
      </w:r>
      <w:r w:rsidRPr="00FE76D8">
        <w:rPr>
          <w:vertAlign w:val="superscript"/>
        </w:rPr>
        <w:t>th</w:t>
      </w:r>
      <w:r w:rsidRPr="00FE76D8">
        <w:t xml:space="preserve"> and 95</w:t>
      </w:r>
      <w:r w:rsidRPr="00FE76D8">
        <w:rPr>
          <w:vertAlign w:val="superscript"/>
        </w:rPr>
        <w:t>th</w:t>
      </w:r>
      <w:r w:rsidRPr="00FE76D8">
        <w:t xml:space="preserve"> percentiles) of P/B ratios for all Asian carp invasion scenarios were variable (Figure D1). For the silver carp (only) invasion scenario the EQ combination </w:t>
      </w:r>
      <w:r w:rsidRPr="00FE76D8">
        <w:rPr>
          <w:rFonts w:eastAsia="Times New Roman" w:cs="Times New Roman"/>
          <w:color w:val="000000"/>
        </w:rPr>
        <w:t xml:space="preserve">had both a greater median value and </w:t>
      </w:r>
      <w:r w:rsidRPr="00FE76D8">
        <w:t xml:space="preserve">a wider uncertainty range than that of the PB combination. The EQ and PB for </w:t>
      </w:r>
      <w:r w:rsidRPr="00FE76D8">
        <w:rPr>
          <w:rFonts w:eastAsia="Times New Roman" w:cs="Times New Roman"/>
          <w:color w:val="000000"/>
        </w:rPr>
        <w:t>P/B ratios of silver carp when bighead carp were also present were highly similar (Figure D1a</w:t>
      </w:r>
      <w:proofErr w:type="gramStart"/>
      <w:r w:rsidRPr="00FE76D8">
        <w:rPr>
          <w:rFonts w:eastAsia="Times New Roman" w:cs="Times New Roman"/>
          <w:color w:val="000000"/>
        </w:rPr>
        <w:t>,b</w:t>
      </w:r>
      <w:proofErr w:type="gramEnd"/>
      <w:r w:rsidRPr="00FE76D8">
        <w:rPr>
          <w:rFonts w:eastAsia="Times New Roman" w:cs="Times New Roman"/>
          <w:color w:val="000000"/>
        </w:rPr>
        <w:t>). P/B ratio estimates for bighead carp as the sole invader (Figure D1c</w:t>
      </w:r>
      <w:proofErr w:type="gramStart"/>
      <w:r w:rsidRPr="00FE76D8">
        <w:rPr>
          <w:rFonts w:eastAsia="Times New Roman" w:cs="Times New Roman"/>
          <w:color w:val="000000"/>
        </w:rPr>
        <w:t>,d</w:t>
      </w:r>
      <w:proofErr w:type="gramEnd"/>
      <w:r w:rsidRPr="00FE76D8">
        <w:rPr>
          <w:rFonts w:eastAsia="Times New Roman" w:cs="Times New Roman"/>
          <w:color w:val="000000"/>
        </w:rPr>
        <w:t xml:space="preserve">) had similar uncertainty ranges, but slightly higher median values than those estimated for silver carp as well as for the bighead given </w:t>
      </w:r>
      <w:proofErr w:type="spellStart"/>
      <w:r w:rsidRPr="00FE76D8">
        <w:rPr>
          <w:rFonts w:eastAsia="Times New Roman" w:cs="Times New Roman"/>
          <w:color w:val="000000"/>
        </w:rPr>
        <w:t>bighead+silver</w:t>
      </w:r>
      <w:proofErr w:type="spellEnd"/>
      <w:r w:rsidRPr="00FE76D8">
        <w:rPr>
          <w:rFonts w:eastAsia="Times New Roman" w:cs="Times New Roman"/>
          <w:color w:val="000000"/>
        </w:rPr>
        <w:t xml:space="preserve"> invasion scenario. </w:t>
      </w:r>
    </w:p>
    <w:p w:rsidR="009903A2" w:rsidRPr="00FE76D8" w:rsidRDefault="009903A2" w:rsidP="009903A2">
      <w:pPr>
        <w:spacing w:after="0" w:line="480" w:lineRule="auto"/>
      </w:pPr>
    </w:p>
    <w:p w:rsidR="009903A2" w:rsidRPr="00FE76D8" w:rsidRDefault="009903A2" w:rsidP="009903A2">
      <w:pPr>
        <w:spacing w:after="0" w:line="480" w:lineRule="auto"/>
      </w:pPr>
      <w:r w:rsidRPr="00FE76D8">
        <w:t xml:space="preserve">To estimate P/B ratios, nine experts referred to the published literature. Of these nine, 3 experts used published P/B ratio estimates for other Great Lakes fish species (e.g., alewife, bloater) to estimate Asian carp ratios—citing similarities in feeding strategies and ecological pressures. Six experts referred to published bighead carp P/B estimates, adjusting these estimates to reflect expected Asian carp trophic status, harvest rates, and limnological characteristics specific to Lake Erie. </w:t>
      </w:r>
      <w:r w:rsidRPr="00FE76D8">
        <w:rPr>
          <w:rFonts w:eastAsia="Times New Roman" w:cs="Times New Roman"/>
          <w:color w:val="000000"/>
        </w:rPr>
        <w:t xml:space="preserve">All panels of Figure D1 include vertical colored lines that refer to the published values of P/B that some experts used to estimate their responses. </w:t>
      </w:r>
      <w:r w:rsidRPr="00FE76D8">
        <w:t xml:space="preserve">Expert estimates of P/B ratios for both silver carp only and silver + bighead carp invasion were almost identical to those estimates for bighead carp alone. </w:t>
      </w:r>
    </w:p>
    <w:p w:rsidR="009903A2" w:rsidRPr="00FE76D8" w:rsidRDefault="009903A2" w:rsidP="009903A2">
      <w:pPr>
        <w:spacing w:after="0" w:line="480" w:lineRule="auto"/>
        <w:rPr>
          <w:b/>
          <w:i/>
        </w:rPr>
      </w:pPr>
    </w:p>
    <w:p w:rsidR="009903A2" w:rsidRPr="00FE76D8" w:rsidRDefault="009903A2" w:rsidP="009903A2">
      <w:pPr>
        <w:spacing w:after="0" w:line="480" w:lineRule="auto"/>
      </w:pPr>
      <w:r w:rsidRPr="00FE76D8">
        <w:t>Similar to P/B ratios, experts uncertainty ranges for Q/B were variable with individual expert assessments ranging from 0—100 for all scenarios (Figure D2). The PB combination (</w:t>
      </w:r>
      <w:r w:rsidRPr="00FE76D8">
        <w:rPr>
          <w:rFonts w:eastAsia="Times New Roman" w:cs="Times New Roman"/>
          <w:color w:val="000000"/>
        </w:rPr>
        <w:t>7.5, 15.15, 27.02</w:t>
      </w:r>
      <w:r w:rsidRPr="00FE76D8">
        <w:t xml:space="preserve">) for silver carp given silver carp only invasion was characterized by a higher median value, but narrower uncertainty range than the EQ combination (0.534, 9.048, 59.81) (Figure D2a).  The PB combination for the bighead given bighead only invasion Q/B ratio were identical to that of the silver carp given silver carp only scenario, and the EQ combination was only slightly different than the silver carp EQ </w:t>
      </w:r>
      <w:r w:rsidRPr="00FE76D8">
        <w:lastRenderedPageBreak/>
        <w:t>combination (Figure D2b). Q/B estimates for silver or bighead were essentially unchanged under the scenario where both species invade (Figure D2c</w:t>
      </w:r>
      <w:proofErr w:type="gramStart"/>
      <w:r w:rsidRPr="00FE76D8">
        <w:t>,d</w:t>
      </w:r>
      <w:proofErr w:type="gramEnd"/>
      <w:r w:rsidRPr="00FE76D8">
        <w:t xml:space="preserve">). </w:t>
      </w:r>
    </w:p>
    <w:p w:rsidR="009903A2" w:rsidRPr="00FE76D8" w:rsidRDefault="009903A2" w:rsidP="009903A2">
      <w:pPr>
        <w:spacing w:after="0" w:line="480" w:lineRule="auto"/>
      </w:pPr>
    </w:p>
    <w:p w:rsidR="009903A2" w:rsidRPr="00FE76D8" w:rsidRDefault="009903A2" w:rsidP="009903A2">
      <w:pPr>
        <w:spacing w:after="0" w:line="480" w:lineRule="auto"/>
      </w:pPr>
      <w:r w:rsidRPr="00FE76D8">
        <w:t xml:space="preserve">To estimate Q/B ratios, most experts again referred to the published literature. </w:t>
      </w:r>
      <w:r w:rsidRPr="00FE76D8">
        <w:rPr>
          <w:rFonts w:eastAsia="Times New Roman" w:cs="Times New Roman"/>
          <w:color w:val="000000"/>
        </w:rPr>
        <w:t xml:space="preserve">All panels of Figure D2 include vertical colored lines that refer to the published values of Q/B that some experts used to estimate their responses. </w:t>
      </w:r>
      <w:r w:rsidRPr="00FE76D8">
        <w:t>Some experts based responses on combinations of Q/B values estimated for other Lake Erie species such as gizzard shad. Two experts used their estimated P/B ratios (given in the previous section) to derive Q/B ratios, and one expert based his estimates on the published literature and adjusted those values based on personally conducted experimental observations and published measurements of Lake Erie productivity. Three experts estimated identical Q/B ratios for silver and bighead carp, however 8 of 11 experts estimated that Q/B estimates for silver carp will be higher than bighead carp because of differing feeding strategies (e.g., detrivory by silver carp) and food assimilation efficiencies.</w:t>
      </w:r>
    </w:p>
    <w:p w:rsidR="009903A2" w:rsidRPr="00FE76D8" w:rsidRDefault="009903A2" w:rsidP="00BA05DA">
      <w:pPr>
        <w:spacing w:after="0" w:line="480" w:lineRule="auto"/>
        <w:rPr>
          <w:b/>
        </w:rPr>
      </w:pPr>
    </w:p>
    <w:p w:rsidR="00BA05DA" w:rsidRPr="00FE76D8" w:rsidRDefault="00BA05DA" w:rsidP="00BA05DA">
      <w:pPr>
        <w:spacing w:after="0" w:line="480" w:lineRule="auto"/>
        <w:rPr>
          <w:b/>
        </w:rPr>
      </w:pPr>
      <w:r w:rsidRPr="00FE76D8">
        <w:rPr>
          <w:b/>
        </w:rPr>
        <w:t>Discussion of P/B and Q/B Ratios</w:t>
      </w:r>
    </w:p>
    <w:p w:rsidR="00BA05DA" w:rsidRPr="00FE76D8" w:rsidRDefault="00BA05DA" w:rsidP="00BA05DA">
      <w:pPr>
        <w:spacing w:after="0" w:line="480" w:lineRule="auto"/>
      </w:pPr>
      <w:r w:rsidRPr="00FE76D8">
        <w:t xml:space="preserve">While expert estimates of fish biomass may quantify the magnitude of impact of Asian carp populations in Lake Erie, understanding the ecological mechanisms behind the establishment of an invasive species may provide further insight to the potential impacts on trophic structure and ecosystem functioning.  An examination of P/B and Q/B ratios estimated in this study may inform some of these elements and also provide another set of quantities by which to assess potential impacts to Lake Erie biota. For example, the performance-based combination for bighead and silver carp P/B ratios estimated in this study ranged from 0.130-3.762, and Q/B ratios ranged from 0.503-60.83, indicating the potential for Asian carps to have a significant impact on energy transfer between trophic levels in Lake Erie. Typically, P/B ratios are high for plankton (high production, low biomass) and relatively low for fishes (low production, </w:t>
      </w:r>
      <w:r w:rsidRPr="00FE76D8">
        <w:lastRenderedPageBreak/>
        <w:t xml:space="preserve">high biomass). For example, for fish populations in lakes, most P/B ratios vary between 0.2- 5.0, are inversely related to maximum fish size and positively correlated with lake productivity </w:t>
      </w:r>
      <w:r w:rsidRPr="00FE76D8">
        <w:fldChar w:fldCharType="begin" w:fldLock="1"/>
      </w:r>
      <w:r w:rsidR="00F44A14" w:rsidRPr="00FE76D8">
        <w:instrText>ADDIN CSL_CITATION { "citationItems" : [ { "id" : "ITEM-1", "itemData" : { "author" : [ { "dropping-particle" : "", "family" : "Downing", "given" : "J A", "non-dropping-particle" : "", "parse-names" : false, "suffix" : "" }, { "dropping-particle" : "", "family" : "Plante", "given" : "C.", "non-dropping-particle" : "", "parse-names" : false, "suffix" : "" } ], "container-title" : "Canadian Journal of Fisheries and Aquatic Sciences", "id" : "ITEM-1", "issued" : { "date-parts" : [ [ "1993" ] ] }, "page" : "110-120", "title" : "Production of fish populations in lakes", "type" : "article-journal", "volume" : "50" }, "uris" : [ "http://www.mendeley.com/documents/?uuid=147a71bf-0f12-4b35-92ac-d6a490ee5801" ] }, { "id" : "ITEM-2", "itemData" : { "DOI" : "10.1139/f00-103", "ISBN" : "0706-652X", "ISSN" : "0706-652X", "abstract" : "Species-specific production rate per unit biomass (P/B, per year) ratios were calculated for 79 freshwater fish species of eastern Canada. P/B (per year) ratios were calculated using two methods, which were based on allometry with fish weight-at-maturity and life expectancy, respectively. P/B (per year) values obtained by the two methods were significantly correlated, as expected from life history theory, since the two predictors (longevity, size-at-maturity) were themselves correlated. Species-specific P/B (per year) ratios were also significantly correlated with field observations of P/B from published sources. The estimation of P/B based on allometry with fish size is recommended because of its utility; the predictive equation is P/B (per year) = 2.64Wmat-0.35, where Wmat is weight-at-maturity. Both the coefficient 2.64 and the exponent -0.35 of this equation are provisional and require further validation from field studies of fish production. More accurate estimates of P/B are possible if population-specific information on size-at-maturity or mean size is known. The product of average fish biomass and estimated P/B coefficients (habitat productivity index (HPI) = B P/B) is a proposed measure of habitat productive capacity.", "author" : [ { "dropping-particle" : "", "family" : "Randall", "given" : "R G", "non-dropping-particle" : "", "parse-names" : false, "suffix" : "" }, { "dropping-particle" : "", "family" : "Minns", "given" : "C K", "non-dropping-particle" : "", "parse-names" : false, "suffix" : "" } ], "container-title" : "Canadian Journal of Fisheries and Aquatic Sciences", "id" : "ITEM-2", "issue" : "8", "issued" : { "date-parts" : [ [ "2000" ] ] }, "page" : "1657-1667", "title" : "Use of fish production per unit biomass ratios for measuring the productive capacity of fish habitats", "type" : "article-journal", "volume" : "57" }, "uris" : [ "http://www.mendeley.com/documents/?uuid=9885d976-5966-480f-8819-797c5573eceb" ] } ], "mendeley" : { "previouslyFormattedCitation" : "(Downing &amp; Plante 1993; Randall &amp; Minns 2000)" }, "properties" : { "noteIndex" : 0 }, "schema" : "https://github.com/citation-style-language/schema/raw/master/csl-citation.json" }</w:instrText>
      </w:r>
      <w:r w:rsidRPr="00FE76D8">
        <w:fldChar w:fldCharType="separate"/>
      </w:r>
      <w:r w:rsidRPr="00FE76D8">
        <w:rPr>
          <w:noProof/>
        </w:rPr>
        <w:t>(Downing &amp; Plante 1993; Randall &amp; Minns 2000)</w:t>
      </w:r>
      <w:r w:rsidRPr="00FE76D8">
        <w:fldChar w:fldCharType="end"/>
      </w:r>
      <w:r w:rsidRPr="00FE76D8">
        <w:t xml:space="preserve">. In an Asian carp-dominated (and stocked) reservoir in China, bighead carp P/B ratios were estimated at 1.299 and silver carp at 1.503, and Q/B were estimated to be 7.53 for bighead and 10.19 for silver </w:t>
      </w:r>
      <w:r w:rsidRPr="00FE76D8">
        <w:fldChar w:fldCharType="begin" w:fldLock="1"/>
      </w:r>
      <w:r w:rsidR="00F44A14" w:rsidRPr="00FE76D8">
        <w:instrText>ADDIN CSL_CITATION { "citationItems" : [ { "id" : "ITEM-1", "itemData" : { "DOI" : "10.1016/j.ecolmodel.2006.11.028", "ISBN" : "0304-3800", "ISSN" : "03043800", "abstract" : "An Ecopath model was constructed to describe the ecosystem of Lake Qiandaohu, a stock-enhanced large deep Chinese reservoir with silver carp (Hypophthalmichthys molitrix) and bighead carp (Aristichthys nobilis) dominated in its pelagic community. The food web structure and ecosystem property of the reservoir were analyzed and evaluated. The results showed that there were seven trophic levels (TLs) in the system, with the trophic flows primarily occurring through the first four TLs. The food web structure of this ecosystem was characterized with a bulged intermediate trophic level, which was contrary to the wasp-waist food web structure occurred in most natural aquatic ecosystems. The corresponding trophic flow pattern showing by transfer efficiencies (TEs) between TLs indicated that the trophic flows primarily went through from TL I to II with a high TE (of over 50%) and through a flow loop or short cut between detritus and TL II but greatly reduced from TL II to III with a lowest TE of 2.5% due to the bulged biomass at TL II. The trophic flow loop greatly increased the throughput recycled, which, together with high connectance index (CI), system omnivory index (SOI), Finn's cycled index (FCI) and Finn's mean path length (FML), might be beneficial to the maintaining of ecosystem stability. Finally, ecosystem property indices showed that this reservoir had a high value of P-P/R and P-P/B, indicating this ecosystem of short history was immature, but highly productive. This silver carp and bighead carp dominated deep reservoir ecosystem had both the characteristics of high productivity of an immature ecosystem and the feature of high stability of a mature ecosystem. (C) 2006 Elsevier B.V. All rights reserved.", "author" : [ { "dropping-particle" : "", "family" : "Liu", "given" : "Qi-Gen", "non-dropping-particle" : "", "parse-names" : false, "suffix" : "" }, { "dropping-particle" : "", "family" : "Chen", "given" : "Yong", "non-dropping-particle" : "", "parse-names" : false, "suffix" : "" }, { "dropping-particle" : "", "family" : "Chen", "given" : "Li-Qiao", "non-dropping-particle" : "", "parse-names" : false, "suffix" : "" }, { "dropping-particle" : "", "family" : "Li", "given" : "Jia-Le", "non-dropping-particle" : "", "parse-names" : false, "suffix" : "" } ], "container-title" : "Ecological Modelling", "id" : "ITEM-1", "issue" : "3-4", "issued" : { "date-parts" : [ [ "2007" ] ] }, "page" : "279-289", "title" : "The food web structure and ecosystem properties of a filter-feeding carps dominated deep reservoir ecosystem", "type" : "article-journal", "volume" : "203" }, "uris" : [ "http://www.mendeley.com/documents/?uuid=bd81031c-00ea-4283-ba20-7af161461f33" ] } ], "mendeley" : { "previouslyFormattedCitation" : "(Liu et al. 2007)" }, "properties" : { "noteIndex" : 0 }, "schema" : "https://github.com/citation-style-language/schema/raw/master/csl-citation.json" }</w:instrText>
      </w:r>
      <w:r w:rsidRPr="00FE76D8">
        <w:fldChar w:fldCharType="separate"/>
      </w:r>
      <w:r w:rsidRPr="00FE76D8">
        <w:rPr>
          <w:noProof/>
        </w:rPr>
        <w:t>(Liu et al. 2007)</w:t>
      </w:r>
      <w:r w:rsidRPr="00FE76D8">
        <w:fldChar w:fldCharType="end"/>
      </w:r>
      <w:r w:rsidRPr="00FE76D8">
        <w:t xml:space="preserve">. P/B and Q/B ratio uncertainty ranges estimated by experts in this study indicate that Asian carp may in fact produce or consume, relative to their biomass, at unprecedented rates, potentially causing detrimental perturbations to the Lake Erie food web. Future studies could use the values we report here to investigate (e.g., via the use of food web or trophic interaction modeling) how these bioenergetics ratios affect ecosystem-level functioning.  </w:t>
      </w:r>
    </w:p>
    <w:p w:rsidR="0068014F" w:rsidRPr="00FE76D8" w:rsidRDefault="0068014F"/>
    <w:p w:rsidR="0068014F" w:rsidRPr="00FE76D8" w:rsidRDefault="00FE76D8">
      <w:pPr>
        <w:rPr>
          <w:b/>
        </w:rPr>
      </w:pPr>
      <w:r w:rsidRPr="00FE76D8">
        <w:rPr>
          <w:b/>
        </w:rPr>
        <w:t>Expert rationales regarding Asian carp b</w:t>
      </w:r>
      <w:r w:rsidR="0068014F" w:rsidRPr="00FE76D8">
        <w:rPr>
          <w:b/>
        </w:rPr>
        <w:t>iomass</w:t>
      </w:r>
      <w:r w:rsidRPr="00FE76D8">
        <w:rPr>
          <w:b/>
        </w:rPr>
        <w:t xml:space="preserve"> estimates</w:t>
      </w:r>
    </w:p>
    <w:p w:rsidR="00F44A14" w:rsidRPr="00FE76D8" w:rsidRDefault="00F44A14" w:rsidP="0068014F">
      <w:pPr>
        <w:spacing w:after="0" w:line="480" w:lineRule="auto"/>
      </w:pPr>
      <w:r w:rsidRPr="00FE76D8">
        <w:t xml:space="preserve">According to both the equal weighted and performance-based combination of expert assessments, both bighead and silver carp can successfully establish in Lake Erie with the potential to achieve biomass levels similar to or greater than other Lake Erie taxa. In addition, most experts agreed that Asian carp establishment in Lake Erie is both spatially and temporally dependent, and that the productivity of Lake Erie, particularly in the western basin, would provide an adequate source of energy for both bighead and silver carp. However, the effect on walleye, yellow perch, gizzard shad and rainbow smelt biomass was estimated by experts to be negligible and, in the case of yellow perch, possibly increase whole lake biomass, relative to 2011 as well as long-term averages for these species. This suggests that bighead and silver carp may assimilate into the Lake Erie ecosystem with little, and potentially a positive, effects on the $18.5 million (USD) yellow perch, $6.8 million walleye, $0.7 million rainbow smelt, and $0.06 million gizzard shad binational commercial fisheries </w:t>
      </w:r>
      <w:r w:rsidRPr="00FE76D8">
        <w:fldChar w:fldCharType="begin" w:fldLock="1"/>
      </w:r>
      <w:r w:rsidRPr="00FE76D8">
        <w:instrText>ADDIN CSL_CITATION { "citationItems" : [ { "id" : "ITEM-1", "itemData" : { "DOI" : "ISBN 978-1-4435-6433-5", "author" : [ { "dropping-particle" : "", "family" : "Ontario Ministry of Natural Resources (OMNR)", "given" : "", "non-dropping-particle" : "", "parse-names" : false, "suffix" : "" } ], "id" : "ITEM-1", "issued" : { "date-parts" : [ [ "2011" ] ] }, "title" : "2010 Status of Major Stocks. Ontario Ministry of Natural Resources Lake Erie Management Unit", "type" : "report" }, "uris" : [ "http://www.mendeley.com/documents/?uuid=27d314b3-eb45-4bbb-b8ce-ceaea0ca2bb8" ] }, { "id" : "ITEM-2", "itemData" : { "URL" : "http://www.glsc.usgs.gov/", "author" : [ { "dropping-particle" : "", "family" : "USGS", "given" : "", "non-dropping-particle" : "", "parse-names" : false, "suffix" : "" } ], "container-title" : "U.S. Geological Survey - Great Lakes Science Center", "id" : "ITEM-2", "issued" : { "date-parts" : [ [ "2011" ] ] }, "title" : "Great Lakes Commercial Fishing Reports", "type" : "webpage" }, "uris" : [ "http://www.mendeley.com/documents/?uuid=04985b3f-3564-4087-9994-3111dd12b31f" ] } ], "mendeley" : { "previouslyFormattedCitation" : "(Ontario Ministry of Natural Resources (OMNR) 2011; USGS 2011)" }, "properties" : { "noteIndex" : 0 }, "schema" : "https://github.com/citation-style-language/schema/raw/master/csl-citation.json" }</w:instrText>
      </w:r>
      <w:r w:rsidRPr="00FE76D8">
        <w:fldChar w:fldCharType="separate"/>
      </w:r>
      <w:r w:rsidRPr="00FE76D8">
        <w:rPr>
          <w:noProof/>
        </w:rPr>
        <w:t>(Ontario Ministry of Natural Resources (OMNR) 2011; USGS 2011)</w:t>
      </w:r>
      <w:r w:rsidRPr="00FE76D8">
        <w:fldChar w:fldCharType="end"/>
      </w:r>
      <w:r w:rsidRPr="00FE76D8">
        <w:t>.</w:t>
      </w:r>
    </w:p>
    <w:p w:rsidR="0068014F" w:rsidRPr="00FE76D8" w:rsidRDefault="0068014F" w:rsidP="0068014F">
      <w:pPr>
        <w:spacing w:after="0" w:line="480" w:lineRule="auto"/>
      </w:pPr>
      <w:r w:rsidRPr="00FE76D8">
        <w:lastRenderedPageBreak/>
        <w:t xml:space="preserve">Experts expressed a range of opinions about the mechanisms of Asian carp establishment, growth and limitation in Lake Erie. Five experts expect that bighead and silver carp equilibrium biomass will follow a “boom-bust” scenario and will be controlled by food availability and other density dependent effects. One expert specifically noted that predators may eventually switch from current preferred prey to juvenile Asian carps, increasing predation pressure on carp populations impacting trophic interactions. One expert indicated that the limiting factor for Asian carps would be food availability at lower trophic levels (suggesting the influence of bottom-up control), but the same expert stated that top-down control would also be a factor. In contrast, another expert stated that food availability will not limit Asian carp establishment in Lake Erie, but rather recruitment, spawning habitat, and physical factors related to spawning will determine Asian carp population levels. Citing these mechanisms, this expert asserted that Asian carps will establish but maintain populations at low levels, due to a recruitment bottleneck. </w:t>
      </w:r>
    </w:p>
    <w:p w:rsidR="0068014F" w:rsidRPr="00FE76D8" w:rsidRDefault="0068014F" w:rsidP="0068014F">
      <w:pPr>
        <w:spacing w:after="0" w:line="480" w:lineRule="auto"/>
      </w:pPr>
    </w:p>
    <w:p w:rsidR="0068014F" w:rsidRPr="00FE76D8" w:rsidRDefault="0068014F" w:rsidP="0068014F">
      <w:pPr>
        <w:spacing w:after="0" w:line="480" w:lineRule="auto"/>
      </w:pPr>
      <w:r w:rsidRPr="00FE76D8">
        <w:t xml:space="preserve">Three experts expected that bighead and silver carp will not establish in Lake Erie with significant populations, noting that most Lake Erie habitat was not suitable for Asian carp and that the open niche for filter feeders has already been filled by Dreissenid mussels. One expert compared both bighead and silver carp to common carp, stating that they are ecologically similar and that common carp are currently established, but not causing noticeable damage. One expert also referred to scenarios in other lakes (Lake Kinneret, Lake Balaton), concluding that Asian carp do not seem to thrive in large lakes and adding that overwinter mortality may be significant in the GL region. </w:t>
      </w:r>
    </w:p>
    <w:p w:rsidR="00FE76D8" w:rsidRPr="00FE76D8" w:rsidRDefault="00FE76D8" w:rsidP="00F44A14">
      <w:pPr>
        <w:spacing w:after="0" w:line="480" w:lineRule="auto"/>
      </w:pPr>
    </w:p>
    <w:p w:rsidR="00F44A14" w:rsidRPr="00FE76D8" w:rsidRDefault="00F44A14" w:rsidP="00F44A14">
      <w:pPr>
        <w:spacing w:after="0" w:line="480" w:lineRule="auto"/>
      </w:pPr>
      <w:r w:rsidRPr="00FE76D8">
        <w:t xml:space="preserve">Given our focus on impacts to the biomass of important recreational and commercial species biomass, our results do not quantify the potential effects of Asian carp on angling or other recreational activities. For example, silver carp leaping behavior may alter the recreational experience of personal watercraft </w:t>
      </w:r>
      <w:r w:rsidRPr="00FE76D8">
        <w:lastRenderedPageBreak/>
        <w:t xml:space="preserve">users, charter fishing boats, and recreational anglers in the Great Lakes. This impact may be particularly profound in Lake Erie where 43% of annual US Great Lakes recreational angling days occur and 20% of all Canadian Great Lakes anglers allocate their effort </w:t>
      </w:r>
      <w:r w:rsidRPr="00FE76D8">
        <w:fldChar w:fldCharType="begin" w:fldLock="1"/>
      </w:r>
      <w:r w:rsidRPr="00FE76D8">
        <w:instrText>ADDIN CSL_CITATION { "citationItems" : [ { "id" : "ITEM-1", "itemData" : { "DOI" : "Catalogue No. Fs23-522/2005-1E", "author" : [ { "dropping-particle" : "", "family" : "DFO", "given" : "", "non-dropping-particle" : "", "parse-names" : false, "suffix" : "" } ], "id" : "ITEM-1", "issued" : { "date-parts" : [ [ "2005" ] ] }, "page" : "1-64", "publisher-place" : "Ottawa, Ontario", "title" : "Survey of Recreational Fishing in Canada Selected Results for the Great Lakes Fishery", "type" : "report" }, "uris" : [ "http://www.mendeley.com/documents/?uuid=2fa6f788-c122-4312-a27c-b913fb8fb3ca" ] }, { "id" : "ITEM-2", "itemData" : { "author" : [ { "dropping-particle" : "", "family" : "US Department of Interior (USDOI)", "given" : "", "non-dropping-particle" : "", "parse-names" : false, "suffix" : "" } ], "id" : "ITEM-2", "issued" : { "date-parts" : [ [ "2011" ] ] }, "page" : "1-172", "title" : "National Survey of Fishing, Hunting, and Wildlife-Associated Recreation", "type" : "report" }, "uris" : [ "http://www.mendeley.com/documents/?uuid=76acf7a4-8c2b-4281-a84c-204476f8ab18" ] } ], "mendeley" : { "previouslyFormattedCitation" : "(DFO 2005; US Department of Interior (USDOI) 2011)" }, "properties" : { "noteIndex" : 0 }, "schema" : "https://github.com/citation-style-language/schema/raw/master/csl-citation.json" }</w:instrText>
      </w:r>
      <w:r w:rsidRPr="00FE76D8">
        <w:fldChar w:fldCharType="separate"/>
      </w:r>
      <w:r w:rsidRPr="00FE76D8">
        <w:rPr>
          <w:noProof/>
        </w:rPr>
        <w:t>(DFO 2005; US Department of Interior (USDOI) 2011)</w:t>
      </w:r>
      <w:r w:rsidRPr="00FE76D8">
        <w:fldChar w:fldCharType="end"/>
      </w:r>
      <w:r w:rsidRPr="00FE76D8">
        <w:t xml:space="preserve">. Thus, an assessment of the impacts of Asian carp establishment on other Great Lakes use values is necessary for a complete risk analysis. </w:t>
      </w:r>
    </w:p>
    <w:p w:rsidR="00F44A14" w:rsidRPr="00FE76D8" w:rsidRDefault="00BA05DA">
      <w:pPr>
        <w:pStyle w:val="NormalWeb"/>
        <w:ind w:left="480" w:hanging="480"/>
        <w:divId w:val="1511942605"/>
        <w:rPr>
          <w:rFonts w:asciiTheme="minorHAnsi" w:hAnsiTheme="minorHAnsi"/>
          <w:b/>
          <w:sz w:val="22"/>
          <w:szCs w:val="22"/>
        </w:rPr>
      </w:pPr>
      <w:r w:rsidRPr="00FE76D8">
        <w:rPr>
          <w:rFonts w:asciiTheme="minorHAnsi" w:hAnsiTheme="minorHAnsi"/>
          <w:b/>
          <w:sz w:val="22"/>
          <w:szCs w:val="22"/>
        </w:rPr>
        <w:t>References</w:t>
      </w:r>
      <w:r w:rsidRPr="00FE76D8">
        <w:rPr>
          <w:rFonts w:asciiTheme="minorHAnsi" w:hAnsiTheme="minorHAnsi"/>
          <w:b/>
          <w:sz w:val="22"/>
          <w:szCs w:val="22"/>
        </w:rPr>
        <w:fldChar w:fldCharType="begin" w:fldLock="1"/>
      </w:r>
      <w:r w:rsidRPr="00FE76D8">
        <w:rPr>
          <w:rFonts w:asciiTheme="minorHAnsi" w:hAnsiTheme="minorHAnsi"/>
          <w:b/>
          <w:sz w:val="22"/>
          <w:szCs w:val="22"/>
        </w:rPr>
        <w:instrText xml:space="preserve">ADDIN Mendeley Bibliography CSL_BIBLIOGRAPHY </w:instrText>
      </w:r>
      <w:r w:rsidRPr="00FE76D8">
        <w:rPr>
          <w:rFonts w:asciiTheme="minorHAnsi" w:hAnsiTheme="minorHAnsi"/>
          <w:b/>
          <w:sz w:val="22"/>
          <w:szCs w:val="22"/>
        </w:rPr>
        <w:fldChar w:fldCharType="separate"/>
      </w:r>
    </w:p>
    <w:p w:rsidR="00F44A14" w:rsidRPr="00FE76D8" w:rsidRDefault="00F44A14">
      <w:pPr>
        <w:pStyle w:val="NormalWeb"/>
        <w:ind w:left="480" w:hanging="480"/>
        <w:divId w:val="1511942605"/>
        <w:rPr>
          <w:rFonts w:asciiTheme="minorHAnsi" w:hAnsiTheme="minorHAnsi"/>
          <w:noProof/>
          <w:sz w:val="22"/>
          <w:szCs w:val="22"/>
        </w:rPr>
      </w:pPr>
      <w:r w:rsidRPr="00FE76D8">
        <w:rPr>
          <w:rFonts w:asciiTheme="minorHAnsi" w:hAnsiTheme="minorHAnsi"/>
          <w:noProof/>
          <w:sz w:val="22"/>
          <w:szCs w:val="22"/>
        </w:rPr>
        <w:t>DFO. 2005. Survey of Recreational Fishing in Canada Selected Results for the Great Lakes Fishery. Pages 1–64. Ottawa, Ontario. Retrieved from http://www.dfo-mpo.gc.ca.</w:t>
      </w:r>
    </w:p>
    <w:p w:rsidR="00F44A14" w:rsidRPr="00FE76D8" w:rsidRDefault="00F44A14">
      <w:pPr>
        <w:pStyle w:val="NormalWeb"/>
        <w:ind w:left="480" w:hanging="480"/>
        <w:divId w:val="1511942605"/>
        <w:rPr>
          <w:rFonts w:asciiTheme="minorHAnsi" w:hAnsiTheme="minorHAnsi"/>
          <w:noProof/>
          <w:sz w:val="22"/>
          <w:szCs w:val="22"/>
        </w:rPr>
      </w:pPr>
      <w:r w:rsidRPr="00FE76D8">
        <w:rPr>
          <w:rFonts w:asciiTheme="minorHAnsi" w:hAnsiTheme="minorHAnsi"/>
          <w:noProof/>
          <w:sz w:val="22"/>
          <w:szCs w:val="22"/>
        </w:rPr>
        <w:t xml:space="preserve">Downing, J. A., and C. Plante. 1993. Production of fish populations in lakes. Canadian Journal of Fisheries and Aquatic Sciences </w:t>
      </w:r>
      <w:r w:rsidRPr="00FE76D8">
        <w:rPr>
          <w:rFonts w:asciiTheme="minorHAnsi" w:hAnsiTheme="minorHAnsi"/>
          <w:b/>
          <w:bCs/>
          <w:noProof/>
          <w:sz w:val="22"/>
          <w:szCs w:val="22"/>
        </w:rPr>
        <w:t>50</w:t>
      </w:r>
      <w:r w:rsidRPr="00FE76D8">
        <w:rPr>
          <w:rFonts w:asciiTheme="minorHAnsi" w:hAnsiTheme="minorHAnsi"/>
          <w:noProof/>
          <w:sz w:val="22"/>
          <w:szCs w:val="22"/>
        </w:rPr>
        <w:t>:110–120.</w:t>
      </w:r>
    </w:p>
    <w:p w:rsidR="00F44A14" w:rsidRPr="00FE76D8" w:rsidRDefault="00F44A14">
      <w:pPr>
        <w:pStyle w:val="NormalWeb"/>
        <w:ind w:left="480" w:hanging="480"/>
        <w:divId w:val="1511942605"/>
        <w:rPr>
          <w:rFonts w:asciiTheme="minorHAnsi" w:hAnsiTheme="minorHAnsi"/>
          <w:noProof/>
          <w:sz w:val="22"/>
          <w:szCs w:val="22"/>
        </w:rPr>
      </w:pPr>
      <w:r w:rsidRPr="00FE76D8">
        <w:rPr>
          <w:rFonts w:asciiTheme="minorHAnsi" w:hAnsiTheme="minorHAnsi"/>
          <w:noProof/>
          <w:sz w:val="22"/>
          <w:szCs w:val="22"/>
        </w:rPr>
        <w:t xml:space="preserve">Kitchell, J. F. et al. 2000. Sustainability of the Lake Superior Fish Community: Interactions in a Food Web Context. Ecosystems </w:t>
      </w:r>
      <w:r w:rsidRPr="00FE76D8">
        <w:rPr>
          <w:rFonts w:asciiTheme="minorHAnsi" w:hAnsiTheme="minorHAnsi"/>
          <w:b/>
          <w:bCs/>
          <w:noProof/>
          <w:sz w:val="22"/>
          <w:szCs w:val="22"/>
        </w:rPr>
        <w:t>3</w:t>
      </w:r>
      <w:r w:rsidRPr="00FE76D8">
        <w:rPr>
          <w:rFonts w:asciiTheme="minorHAnsi" w:hAnsiTheme="minorHAnsi"/>
          <w:noProof/>
          <w:sz w:val="22"/>
          <w:szCs w:val="22"/>
        </w:rPr>
        <w:t>:545–560.</w:t>
      </w:r>
    </w:p>
    <w:p w:rsidR="00F44A14" w:rsidRPr="00FE76D8" w:rsidRDefault="00F44A14">
      <w:pPr>
        <w:pStyle w:val="NormalWeb"/>
        <w:ind w:left="480" w:hanging="480"/>
        <w:divId w:val="1511942605"/>
        <w:rPr>
          <w:rFonts w:asciiTheme="minorHAnsi" w:hAnsiTheme="minorHAnsi"/>
          <w:noProof/>
          <w:sz w:val="22"/>
          <w:szCs w:val="22"/>
        </w:rPr>
      </w:pPr>
      <w:r w:rsidRPr="00FE76D8">
        <w:rPr>
          <w:rFonts w:asciiTheme="minorHAnsi" w:hAnsiTheme="minorHAnsi"/>
          <w:noProof/>
          <w:sz w:val="22"/>
          <w:szCs w:val="22"/>
        </w:rPr>
        <w:t xml:space="preserve">Liu, Q.-G., Y. Chen, L.-Q. Chen, and J.-L. Li. 2007. The food web structure and ecosystem properties of a filter-feeding carps dominated deep reservoir ecosystem. Ecological Modelling </w:t>
      </w:r>
      <w:r w:rsidRPr="00FE76D8">
        <w:rPr>
          <w:rFonts w:asciiTheme="minorHAnsi" w:hAnsiTheme="minorHAnsi"/>
          <w:b/>
          <w:bCs/>
          <w:noProof/>
          <w:sz w:val="22"/>
          <w:szCs w:val="22"/>
        </w:rPr>
        <w:t>203</w:t>
      </w:r>
      <w:r w:rsidRPr="00FE76D8">
        <w:rPr>
          <w:rFonts w:asciiTheme="minorHAnsi" w:hAnsiTheme="minorHAnsi"/>
          <w:noProof/>
          <w:sz w:val="22"/>
          <w:szCs w:val="22"/>
        </w:rPr>
        <w:t>:279–289.</w:t>
      </w:r>
    </w:p>
    <w:p w:rsidR="00F44A14" w:rsidRPr="00FE76D8" w:rsidRDefault="00F44A14">
      <w:pPr>
        <w:pStyle w:val="NormalWeb"/>
        <w:ind w:left="480" w:hanging="480"/>
        <w:divId w:val="1511942605"/>
        <w:rPr>
          <w:rFonts w:asciiTheme="minorHAnsi" w:hAnsiTheme="minorHAnsi"/>
          <w:noProof/>
          <w:sz w:val="22"/>
          <w:szCs w:val="22"/>
        </w:rPr>
      </w:pPr>
      <w:r w:rsidRPr="00FE76D8">
        <w:rPr>
          <w:rFonts w:asciiTheme="minorHAnsi" w:hAnsiTheme="minorHAnsi"/>
          <w:noProof/>
          <w:sz w:val="22"/>
          <w:szCs w:val="22"/>
        </w:rPr>
        <w:t>Ontario Ministry of Natural Resources (OMNR). 2011. 2010 Status of Major Stocks. Ontario Ministry of Natural Resources Lake Erie Management Unit.</w:t>
      </w:r>
    </w:p>
    <w:p w:rsidR="00F44A14" w:rsidRPr="00FE76D8" w:rsidRDefault="00F44A14">
      <w:pPr>
        <w:pStyle w:val="NormalWeb"/>
        <w:ind w:left="480" w:hanging="480"/>
        <w:divId w:val="1511942605"/>
        <w:rPr>
          <w:rFonts w:asciiTheme="minorHAnsi" w:hAnsiTheme="minorHAnsi"/>
          <w:noProof/>
          <w:sz w:val="22"/>
          <w:szCs w:val="22"/>
        </w:rPr>
      </w:pPr>
      <w:r w:rsidRPr="00FE76D8">
        <w:rPr>
          <w:rFonts w:asciiTheme="minorHAnsi" w:hAnsiTheme="minorHAnsi"/>
          <w:noProof/>
          <w:sz w:val="22"/>
          <w:szCs w:val="22"/>
        </w:rPr>
        <w:t xml:space="preserve">Randall, R. G., and C. K. Minns. 2000. Use of fish production per unit biomass ratios for measuring the productive capacity of fish habitats. Canadian Journal of Fisheries and Aquatic Sciences </w:t>
      </w:r>
      <w:r w:rsidRPr="00FE76D8">
        <w:rPr>
          <w:rFonts w:asciiTheme="minorHAnsi" w:hAnsiTheme="minorHAnsi"/>
          <w:b/>
          <w:bCs/>
          <w:noProof/>
          <w:sz w:val="22"/>
          <w:szCs w:val="22"/>
        </w:rPr>
        <w:t>57</w:t>
      </w:r>
      <w:r w:rsidRPr="00FE76D8">
        <w:rPr>
          <w:rFonts w:asciiTheme="minorHAnsi" w:hAnsiTheme="minorHAnsi"/>
          <w:noProof/>
          <w:sz w:val="22"/>
          <w:szCs w:val="22"/>
        </w:rPr>
        <w:t>:1657–1667.</w:t>
      </w:r>
    </w:p>
    <w:p w:rsidR="00F44A14" w:rsidRPr="00FE76D8" w:rsidRDefault="00F44A14">
      <w:pPr>
        <w:pStyle w:val="NormalWeb"/>
        <w:ind w:left="480" w:hanging="480"/>
        <w:divId w:val="1511942605"/>
        <w:rPr>
          <w:rFonts w:asciiTheme="minorHAnsi" w:hAnsiTheme="minorHAnsi"/>
          <w:noProof/>
          <w:sz w:val="22"/>
          <w:szCs w:val="22"/>
        </w:rPr>
      </w:pPr>
      <w:r w:rsidRPr="00FE76D8">
        <w:rPr>
          <w:rFonts w:asciiTheme="minorHAnsi" w:hAnsiTheme="minorHAnsi"/>
          <w:noProof/>
          <w:sz w:val="22"/>
          <w:szCs w:val="22"/>
        </w:rPr>
        <w:t xml:space="preserve">Stewart, T. J., and W. G. Sprules. 2011. Carbon-based balanced trophic structure and flows in the offshore Lake Ontario food web before (1987–1991) and after (2001–2005) invasion-induced ecosystem change. Ecological Modelling </w:t>
      </w:r>
      <w:r w:rsidRPr="00FE76D8">
        <w:rPr>
          <w:rFonts w:asciiTheme="minorHAnsi" w:hAnsiTheme="minorHAnsi"/>
          <w:b/>
          <w:bCs/>
          <w:noProof/>
          <w:sz w:val="22"/>
          <w:szCs w:val="22"/>
        </w:rPr>
        <w:t>222</w:t>
      </w:r>
      <w:r w:rsidRPr="00FE76D8">
        <w:rPr>
          <w:rFonts w:asciiTheme="minorHAnsi" w:hAnsiTheme="minorHAnsi"/>
          <w:noProof/>
          <w:sz w:val="22"/>
          <w:szCs w:val="22"/>
        </w:rPr>
        <w:t>:692–708.</w:t>
      </w:r>
    </w:p>
    <w:p w:rsidR="00F44A14" w:rsidRPr="00FE76D8" w:rsidRDefault="00F44A14">
      <w:pPr>
        <w:pStyle w:val="NormalWeb"/>
        <w:ind w:left="480" w:hanging="480"/>
        <w:divId w:val="1511942605"/>
        <w:rPr>
          <w:rFonts w:asciiTheme="minorHAnsi" w:hAnsiTheme="minorHAnsi"/>
          <w:noProof/>
          <w:sz w:val="22"/>
          <w:szCs w:val="22"/>
        </w:rPr>
      </w:pPr>
      <w:r w:rsidRPr="00FE76D8">
        <w:rPr>
          <w:rFonts w:asciiTheme="minorHAnsi" w:hAnsiTheme="minorHAnsi"/>
          <w:noProof/>
          <w:sz w:val="22"/>
          <w:szCs w:val="22"/>
        </w:rPr>
        <w:t>US Department of Interior (USDOI). 2011. National Survey of Fishing, Hunting, and Wildlife-Associated Recreation. Pages 1–172.</w:t>
      </w:r>
    </w:p>
    <w:p w:rsidR="00F44A14" w:rsidRPr="00FE76D8" w:rsidRDefault="00F44A14">
      <w:pPr>
        <w:pStyle w:val="NormalWeb"/>
        <w:ind w:left="480" w:hanging="480"/>
        <w:divId w:val="1511942605"/>
        <w:rPr>
          <w:rFonts w:asciiTheme="minorHAnsi" w:hAnsiTheme="minorHAnsi"/>
          <w:noProof/>
          <w:sz w:val="22"/>
          <w:szCs w:val="22"/>
        </w:rPr>
      </w:pPr>
      <w:r w:rsidRPr="00FE76D8">
        <w:rPr>
          <w:rFonts w:asciiTheme="minorHAnsi" w:hAnsiTheme="minorHAnsi"/>
          <w:noProof/>
          <w:sz w:val="22"/>
          <w:szCs w:val="22"/>
        </w:rPr>
        <w:t>USGS. 2011. Great Lakes Commercial Fishing Reports. Retrieved from http://www.glsc.usgs.gov/.</w:t>
      </w:r>
    </w:p>
    <w:p w:rsidR="000843C2" w:rsidRPr="00FE76D8" w:rsidRDefault="00BA05DA" w:rsidP="00F44A14">
      <w:pPr>
        <w:pStyle w:val="NormalWeb"/>
        <w:ind w:left="480" w:hanging="480"/>
        <w:divId w:val="42876982"/>
        <w:rPr>
          <w:rFonts w:asciiTheme="minorHAnsi" w:hAnsiTheme="minorHAnsi"/>
          <w:sz w:val="22"/>
          <w:szCs w:val="22"/>
        </w:rPr>
      </w:pPr>
      <w:r w:rsidRPr="00FE76D8">
        <w:rPr>
          <w:rFonts w:asciiTheme="minorHAnsi" w:hAnsiTheme="minorHAnsi"/>
          <w:sz w:val="22"/>
          <w:szCs w:val="22"/>
        </w:rPr>
        <w:fldChar w:fldCharType="end"/>
      </w:r>
    </w:p>
    <w:sectPr w:rsidR="000843C2" w:rsidRPr="00FE7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081"/>
    <w:rsid w:val="001E6B17"/>
    <w:rsid w:val="00555081"/>
    <w:rsid w:val="0068014F"/>
    <w:rsid w:val="009903A2"/>
    <w:rsid w:val="00BA05DA"/>
    <w:rsid w:val="00D06B68"/>
    <w:rsid w:val="00EB6FA5"/>
    <w:rsid w:val="00F44A14"/>
    <w:rsid w:val="00FE7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5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05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5DA"/>
    <w:rPr>
      <w:rFonts w:ascii="Tahoma" w:hAnsi="Tahoma" w:cs="Tahoma"/>
      <w:sz w:val="16"/>
      <w:szCs w:val="16"/>
    </w:rPr>
  </w:style>
  <w:style w:type="paragraph" w:styleId="NormalWeb">
    <w:name w:val="Normal (Web)"/>
    <w:basedOn w:val="Normal"/>
    <w:uiPriority w:val="99"/>
    <w:unhideWhenUsed/>
    <w:rsid w:val="00BA05DA"/>
    <w:pPr>
      <w:spacing w:before="100" w:beforeAutospacing="1" w:after="100" w:afterAutospacing="1" w:line="240" w:lineRule="auto"/>
    </w:pPr>
    <w:rPr>
      <w:rFonts w:ascii="Times New Roman" w:eastAsiaTheme="minorEastAsia"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5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05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5DA"/>
    <w:rPr>
      <w:rFonts w:ascii="Tahoma" w:hAnsi="Tahoma" w:cs="Tahoma"/>
      <w:sz w:val="16"/>
      <w:szCs w:val="16"/>
    </w:rPr>
  </w:style>
  <w:style w:type="paragraph" w:styleId="NormalWeb">
    <w:name w:val="Normal (Web)"/>
    <w:basedOn w:val="Normal"/>
    <w:uiPriority w:val="99"/>
    <w:unhideWhenUsed/>
    <w:rsid w:val="00BA05DA"/>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252115">
      <w:bodyDiv w:val="1"/>
      <w:marLeft w:val="0"/>
      <w:marRight w:val="0"/>
      <w:marTop w:val="0"/>
      <w:marBottom w:val="0"/>
      <w:divBdr>
        <w:top w:val="none" w:sz="0" w:space="0" w:color="auto"/>
        <w:left w:val="none" w:sz="0" w:space="0" w:color="auto"/>
        <w:bottom w:val="none" w:sz="0" w:space="0" w:color="auto"/>
        <w:right w:val="none" w:sz="0" w:space="0" w:color="auto"/>
      </w:divBdr>
      <w:divsChild>
        <w:div w:id="42876982">
          <w:marLeft w:val="0"/>
          <w:marRight w:val="0"/>
          <w:marTop w:val="0"/>
          <w:marBottom w:val="0"/>
          <w:divBdr>
            <w:top w:val="none" w:sz="0" w:space="0" w:color="auto"/>
            <w:left w:val="none" w:sz="0" w:space="0" w:color="auto"/>
            <w:bottom w:val="none" w:sz="0" w:space="0" w:color="auto"/>
            <w:right w:val="none" w:sz="0" w:space="0" w:color="auto"/>
          </w:divBdr>
          <w:divsChild>
            <w:div w:id="151194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tif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tif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E90E2FA4-5AC9-459D-AF1F-F5B70FFE6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4805</Words>
  <Characters>27390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University of Notre Dame</Company>
  <LinksUpToDate>false</LinksUpToDate>
  <CharactersWithSpaces>32131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5</cp:revision>
  <dcterms:created xsi:type="dcterms:W3CDTF">2014-01-31T19:04:00Z</dcterms:created>
  <dcterms:modified xsi:type="dcterms:W3CDTF">2014-02-12T17:53:00Z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marionmarionw@yahoo.com@www.mendeley.com</vt:lpwstr>
  </property>
  <property fmtid="{D5CDD505-2E9C-101B-9397-08002B2CF9AE}" pid="4" name="Mendeley Citation Style_1">
    <vt:lpwstr>http://www.zotero.org/styles/conservation-biology</vt:lpwstr>
  </property>
  <property fmtid="{D5CDD505-2E9C-101B-9397-08002B2CF9AE}" pid="5" name="Mendeley Recent Style Id 0_1">
    <vt:lpwstr>http://www.zotero.org/styles/american-chemical-society-with-titles-sentence-case</vt:lpwstr>
  </property>
  <property fmtid="{D5CDD505-2E9C-101B-9397-08002B2CF9AE}" pid="6" name="Mendeley Recent Style Name 0_1">
    <vt:lpwstr>American Chemical Society (with titles, sentence case)</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6th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vt:lpwstr>
  </property>
  <property fmtid="{D5CDD505-2E9C-101B-9397-08002B2CF9AE}" pid="15" name="Mendeley Recent Style Id 5_1">
    <vt:lpwstr>http://www.zotero.org/styles/canadian-journal-of-fisheries-and-aquatic-sciences</vt:lpwstr>
  </property>
  <property fmtid="{D5CDD505-2E9C-101B-9397-08002B2CF9AE}" pid="16" name="Mendeley Recent Style Name 5_1">
    <vt:lpwstr>Canadian Journal of Fisheries and Aquatic Sciences</vt:lpwstr>
  </property>
  <property fmtid="{D5CDD505-2E9C-101B-9397-08002B2CF9AE}" pid="17" name="Mendeley Recent Style Id 6_1">
    <vt:lpwstr>http://www.zotero.org/styles/conservation-biology</vt:lpwstr>
  </property>
  <property fmtid="{D5CDD505-2E9C-101B-9397-08002B2CF9AE}" pid="18" name="Mendeley Recent Style Name 6_1">
    <vt:lpwstr>Conservation Biology</vt:lpwstr>
  </property>
  <property fmtid="{D5CDD505-2E9C-101B-9397-08002B2CF9AE}" pid="19" name="Mendeley Recent Style Id 7_1">
    <vt:lpwstr>http://www.zotero.org/styles/environmental-science-and-technology</vt:lpwstr>
  </property>
  <property fmtid="{D5CDD505-2E9C-101B-9397-08002B2CF9AE}" pid="20" name="Mendeley Recent Style Name 7_1">
    <vt:lpwstr>Environmental Science &amp; Technology</vt:lpwstr>
  </property>
  <property fmtid="{D5CDD505-2E9C-101B-9397-08002B2CF9AE}" pid="21" name="Mendeley Recent Style Id 8_1">
    <vt:lpwstr>http://www.zotero.org/styles/fish-and-fisheries</vt:lpwstr>
  </property>
  <property fmtid="{D5CDD505-2E9C-101B-9397-08002B2CF9AE}" pid="22" name="Mendeley Recent Style Name 8_1">
    <vt:lpwstr>Fish and Fisheries</vt:lpwstr>
  </property>
  <property fmtid="{D5CDD505-2E9C-101B-9397-08002B2CF9AE}" pid="23" name="Mendeley Recent Style Id 9_1">
    <vt:lpwstr>http://www.zotero.org/styles/modern-humanities-research-association</vt:lpwstr>
  </property>
  <property fmtid="{D5CDD505-2E9C-101B-9397-08002B2CF9AE}" pid="24" name="Mendeley Recent Style Name 9_1">
    <vt:lpwstr>Modern Humanities Research Association 3rd edition (note with bibliography)</vt:lpwstr>
  </property>
</Properties>
</file>