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personeelshandboek-noordkade"/>
    <w:p>
      <w:pPr>
        <w:pStyle w:val="Heading1"/>
      </w:pPr>
      <w:r>
        <w:t xml:space="preserve">Personeelshandboek Noordkade</w:t>
      </w:r>
    </w:p>
    <w:p>
      <w:pPr>
        <w:pStyle w:val="FirstParagraph"/>
      </w:pPr>
      <w:r>
        <w:t xml:space="preserve">Dit handboek beschrijft de afspraken die gelden voor alle medewerkers van Noordkade Installatietechniek B.V. Het handboek geldt vanaf 1 januari 2026 en vervangt alle eerdere versies.</w:t>
      </w:r>
    </w:p>
    <w:bookmarkStart w:id="11" w:name="werktijden"/>
    <w:p>
      <w:pPr>
        <w:pStyle w:val="Heading2"/>
      </w:pPr>
      <w:r>
        <w:t xml:space="preserve">1 Werktijden</w:t>
      </w:r>
    </w:p>
    <w:p>
      <w:pPr>
        <w:pStyle w:val="FirstParagraph"/>
      </w:pPr>
      <w:r>
        <w:t xml:space="preserve">De normale werkweek bestaat uit 38 uur, verdeeld over maandag tot en met vrijdag. Werktijden liggen tussen 07:30 en 18:00 uur. In overleg met de leidinggevende kan een medewerker zijn werktijden binnen deze bandbreedte zelf indelen.</w:t>
      </w:r>
    </w:p>
    <w:bookmarkStart w:id="9" w:name="weekendwerk"/>
    <w:p>
      <w:pPr>
        <w:pStyle w:val="Heading3"/>
      </w:pPr>
      <w:r>
        <w:t xml:space="preserve">1.1 Weekendwerk</w:t>
      </w:r>
    </w:p>
    <w:p>
      <w:pPr>
        <w:pStyle w:val="FirstParagraph"/>
      </w:pPr>
      <w:r>
        <w:t xml:space="preserve">In het vierde kwartaal wordt in principe niet in het weekend gewerkt. Uitzonderingen zijn alleen mogelijk bij storingen aan installaties van klanten met een servicecontract. Weekendwerk wordt vergoed tegen 150 procent van het uurloon.</w:t>
      </w:r>
    </w:p>
    <w:bookmarkEnd w:id="9"/>
    <w:bookmarkStart w:id="10" w:name="overwerk"/>
    <w:p>
      <w:pPr>
        <w:pStyle w:val="Heading3"/>
      </w:pPr>
      <w:r>
        <w:t xml:space="preserve">1.2 Overwerk</w:t>
      </w:r>
    </w:p>
    <w:p>
      <w:pPr>
        <w:pStyle w:val="FirstParagraph"/>
      </w:pPr>
      <w:r>
        <w:t xml:space="preserve">Overwerk moet vooraf door de leidinggevende worden goedgekeurd. Overuren worden gecompenseerd in tijd of uitbetaald aan het einde van het kwartaal, naar keuze van de medewerker.</w:t>
      </w:r>
    </w:p>
    <w:bookmarkEnd w:id="10"/>
    <w:bookmarkEnd w:id="11"/>
    <w:bookmarkStart w:id="14" w:name="verlof"/>
    <w:p>
      <w:pPr>
        <w:pStyle w:val="Heading2"/>
      </w:pPr>
      <w:r>
        <w:t xml:space="preserve">2 Verlof</w:t>
      </w:r>
    </w:p>
    <w:bookmarkStart w:id="12" w:name="vakantiedagen"/>
    <w:p>
      <w:pPr>
        <w:pStyle w:val="Heading3"/>
      </w:pPr>
      <w:r>
        <w:t xml:space="preserve">2.1 Vakantiedagen</w:t>
      </w:r>
    </w:p>
    <w:p>
      <w:pPr>
        <w:pStyle w:val="FirstParagraph"/>
      </w:pPr>
      <w:r>
        <w:t xml:space="preserve">Medewerkers met een fulltime dienstverband hebben recht op 25 vakantiedagen per kalenderjaar. Parttimers bouwen naar rato vakantiedagen op. Vakantie wordt minimaal vier weken van tevoren aangevraagd via het verlofsysteem.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Dienstjaren</w:t>
            </w:r>
          </w:p>
        </w:tc>
        <w:tc>
          <w:tcPr/>
          <w:p>
            <w:pPr>
              <w:pStyle w:val="Compact"/>
            </w:pPr>
            <w:r>
              <w:t xml:space="preserve">Extra vakantiedagen</w:t>
            </w:r>
          </w:p>
        </w:tc>
      </w:tr>
      <w:tr>
        <w:tc>
          <w:tcPr/>
          <w:p>
            <w:pPr>
              <w:pStyle w:val="Compact"/>
            </w:pPr>
            <w:r>
              <w:t xml:space="preserve">5 tot 10 jaar</w:t>
            </w:r>
          </w:p>
        </w:tc>
        <w:tc>
          <w:tcPr/>
          <w:p>
            <w:pPr>
              <w:pStyle w:val="Compact"/>
            </w:pPr>
            <w:r>
              <w:t xml:space="preserve">1 dag</w:t>
            </w:r>
          </w:p>
        </w:tc>
      </w:tr>
      <w:tr>
        <w:tc>
          <w:tcPr/>
          <w:p>
            <w:pPr>
              <w:pStyle w:val="Compact"/>
            </w:pPr>
            <w:r>
              <w:t xml:space="preserve">10 tot 20 jaar</w:t>
            </w:r>
          </w:p>
        </w:tc>
        <w:tc>
          <w:tcPr/>
          <w:p>
            <w:pPr>
              <w:pStyle w:val="Compact"/>
            </w:pPr>
            <w:r>
              <w:t xml:space="preserve">2 dagen</w:t>
            </w:r>
          </w:p>
        </w:tc>
      </w:tr>
      <w:tr>
        <w:tc>
          <w:tcPr/>
          <w:p>
            <w:pPr>
              <w:pStyle w:val="Compact"/>
            </w:pPr>
            <w:r>
              <w:t xml:space="preserve">20 jaar of langer</w:t>
            </w:r>
          </w:p>
        </w:tc>
        <w:tc>
          <w:tcPr/>
          <w:p>
            <w:pPr>
              <w:pStyle w:val="Compact"/>
            </w:pPr>
            <w:r>
              <w:t xml:space="preserve">3 dagen</w:t>
            </w:r>
          </w:p>
        </w:tc>
      </w:tr>
    </w:tbl>
    <w:bookmarkEnd w:id="12"/>
    <w:bookmarkStart w:id="13" w:name="bijzonder-verlof"/>
    <w:p>
      <w:pPr>
        <w:pStyle w:val="Heading3"/>
      </w:pPr>
      <w:r>
        <w:t xml:space="preserve">2.2 Bijzonder verlof</w:t>
      </w:r>
    </w:p>
    <w:p>
      <w:pPr>
        <w:pStyle w:val="FirstParagraph"/>
      </w:pPr>
      <w:r>
        <w:t xml:space="preserve">Bij een huwelijk heeft de medewerker recht op twee dagen bijzonder verlof. Bij het overlijden van een partner, ouder of kind bestaat recht op vier dagen verlof. Verhuizing geeft recht op één dag verlof per jaar.</w:t>
      </w:r>
    </w:p>
    <w:bookmarkEnd w:id="13"/>
    <w:bookmarkEnd w:id="14"/>
    <w:bookmarkStart w:id="16" w:name="ziekmelding"/>
    <w:p>
      <w:pPr>
        <w:pStyle w:val="Heading2"/>
      </w:pPr>
      <w:r>
        <w:t xml:space="preserve">3 Ziekmelding</w:t>
      </w:r>
    </w:p>
    <w:p>
      <w:pPr>
        <w:pStyle w:val="FirstParagraph"/>
      </w:pPr>
      <w:r>
        <w:t xml:space="preserve">Een medewerker die ziek is, meldt zich vóór 09:00 uur telefonisch bij de eigen leidinggevende. Een ziekmelding per e-mail of WhatsApp is niet voldoende. De leidinggevende neemt binnen twee werkdagen contact op over het verwachte herstel.</w:t>
      </w:r>
    </w:p>
    <w:bookmarkStart w:id="15" w:name="bereikbaarheid-tijdens-ziekte"/>
    <w:p>
      <w:pPr>
        <w:pStyle w:val="Heading3"/>
      </w:pPr>
      <w:r>
        <w:t xml:space="preserve">3.1 Bereikbaarheid tijdens ziekte</w:t>
      </w:r>
    </w:p>
    <w:p>
      <w:pPr>
        <w:pStyle w:val="FirstParagraph"/>
      </w:pPr>
      <w:r>
        <w:t xml:space="preserve">Tijdens ziekte blijft de medewerker bereikbaar op het bij HR bekende telefoonnummer. Bij afwezigheid langer dan een week wordt de bedrijfsarts ingeschakeld.</w:t>
      </w:r>
    </w:p>
    <w:bookmarkEnd w:id="15"/>
    <w:bookmarkEnd w:id="16"/>
    <w:bookmarkStart w:id="17" w:name="onkosten"/>
    <w:p>
      <w:pPr>
        <w:pStyle w:val="Heading2"/>
      </w:pPr>
      <w:r>
        <w:t xml:space="preserve">4 Onkosten</w:t>
      </w:r>
    </w:p>
    <w:p>
      <w:pPr>
        <w:pStyle w:val="FirstParagraph"/>
      </w:pPr>
      <w:r>
        <w:t xml:space="preserve">Zakelijke onkosten worden binnen dertig dagen gedeclareerd met een bon. Kilometers met de eigen auto worden vergoed tegen € 0,23 per kilometer. Declaraties boven € 250 worden vooraf afgestemd met de leidinggevende.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2026-10-01T15:00:36Z</dcterms:created>
  <dcterms:modified xsi:type="dcterms:W3CDTF">2026-10-01T15:00:36Z</dcterms:modified>
</cp:coreProperties>
</file>

<file path=docProps/custom.xml><?xml version="1.0" encoding="utf-8"?>
<Properties xmlns="http://schemas.openxmlformats.org/officeDocument/2006/custom-properties" xmlns:vt="http://schemas.openxmlformats.org/officeDocument/2006/docPropsVTypes"/>
</file>