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 Table &amp; Legal Review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1. Executive Summary</w:t>
      </w:r>
    </w:p>
    <w:p>
      <w:r>
        <w:rPr>
          <w:rFonts w:ascii="Arial" w:hAnsi="Arial"/>
          <w:sz w:val="20"/>
        </w:rPr>
        <w:t>{{ executive_summary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2. Company Structure</w:t>
      </w:r>
    </w:p>
    <w:p>
      <w:r>
        <w:rPr>
          <w:rFonts w:ascii="Arial" w:hAnsi="Arial"/>
          <w:sz w:val="20"/>
        </w:rPr>
        <w:t>{{ company_structure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3. Cap Table Overview</w:t>
      </w:r>
    </w:p>
    <w:p>
      <w:r>
        <w:rPr>
          <w:rFonts w:ascii="Arial" w:hAnsi="Arial"/>
          <w:sz w:val="20"/>
        </w:rPr>
        <w:t>{{ cap_table_overview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4. Convertible Instruments Review</w:t>
      </w:r>
    </w:p>
    <w:p>
      <w:r>
        <w:rPr>
          <w:rFonts w:ascii="Arial" w:hAnsi="Arial"/>
          <w:sz w:val="20"/>
        </w:rPr>
        <w:t>{{ convertible_instruments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5. Equity Grant Documentation</w:t>
      </w:r>
    </w:p>
    <w:p>
      <w:r>
        <w:rPr>
          <w:rFonts w:ascii="Arial" w:hAnsi="Arial"/>
          <w:sz w:val="20"/>
        </w:rPr>
        <w:t>{{ equity_grant_docs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6. Legal Compliance &amp; Filings</w:t>
      </w:r>
    </w:p>
    <w:p>
      <w:r>
        <w:rPr>
          <w:rFonts w:ascii="Arial" w:hAnsi="Arial"/>
          <w:sz w:val="20"/>
        </w:rPr>
        <w:t>{{ legal_compliance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7. Investor Rights &amp; Preferences</w:t>
      </w:r>
    </w:p>
    <w:p>
      <w:r>
        <w:rPr>
          <w:rFonts w:ascii="Arial" w:hAnsi="Arial"/>
          <w:sz w:val="20"/>
        </w:rPr>
        <w:t>{{ investor_rights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8. Side Letters &amp; Amendments</w:t>
      </w:r>
    </w:p>
    <w:p>
      <w:r>
        <w:rPr>
          <w:rFonts w:ascii="Arial" w:hAnsi="Arial"/>
          <w:sz w:val="20"/>
        </w:rPr>
        <w:t>{{ side_letters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9. Option Pool Analysis</w:t>
      </w:r>
    </w:p>
    <w:p>
      <w:r>
        <w:rPr>
          <w:rFonts w:ascii="Arial" w:hAnsi="Arial"/>
          <w:sz w:val="20"/>
        </w:rPr>
        <w:t>{{ option_pool_analysis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10. Key Risks &amp; Issues</w:t>
      </w:r>
    </w:p>
    <w:p>
      <w:r>
        <w:rPr>
          <w:rFonts w:ascii="Arial" w:hAnsi="Arial"/>
          <w:sz w:val="20"/>
        </w:rPr>
        <w:t>{{ key_risks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11. Recommendations</w:t>
      </w:r>
    </w:p>
    <w:p>
      <w:r>
        <w:rPr>
          <w:rFonts w:ascii="Arial" w:hAnsi="Arial"/>
          <w:sz w:val="20"/>
        </w:rPr>
        <w:t>{{ recommendations }}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By: {{ prepared_by }}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2835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440000" cy="1312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iligence-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1312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003366"/>
              <w:sz w:val="24"/>
            </w:rPr>
            <w:t>CAP TABLE &amp; LEGAL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