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Commercial Due Diligence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1. Executive Summary</w:t>
      </w:r>
    </w:p>
    <w:p>
      <w:r>
        <w:rPr>
          <w:rFonts w:ascii="Arial" w:hAnsi="Arial"/>
          <w:sz w:val="20"/>
        </w:rPr>
        <w:t>{{ executive_summary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2. Business Overview</w:t>
      </w:r>
    </w:p>
    <w:p>
      <w:r>
        <w:rPr>
          <w:rFonts w:ascii="Arial" w:hAnsi="Arial"/>
          <w:sz w:val="20"/>
        </w:rPr>
        <w:t>{{ business_overview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3. Market Overview</w:t>
      </w:r>
    </w:p>
    <w:p>
      <w:r>
        <w:rPr>
          <w:rFonts w:ascii="Arial" w:hAnsi="Arial"/>
          <w:sz w:val="20"/>
        </w:rPr>
        <w:t>{{ market_overview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4. Industry Trends &amp; Drivers</w:t>
      </w:r>
    </w:p>
    <w:p>
      <w:r>
        <w:rPr>
          <w:rFonts w:ascii="Arial" w:hAnsi="Arial"/>
          <w:sz w:val="20"/>
        </w:rPr>
        <w:t>{{ industry_trends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5. Competitive Landscape</w:t>
      </w:r>
    </w:p>
    <w:p>
      <w:r>
        <w:rPr>
          <w:rFonts w:ascii="Arial" w:hAnsi="Arial"/>
          <w:sz w:val="20"/>
        </w:rPr>
        <w:t>{{ competitive_landscape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6. Customer Analysis</w:t>
      </w:r>
    </w:p>
    <w:p>
      <w:r>
        <w:rPr>
          <w:rFonts w:ascii="Arial" w:hAnsi="Arial"/>
          <w:sz w:val="20"/>
        </w:rPr>
        <w:t>{{ customer_analysis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7. Go-to-Market Strategy</w:t>
      </w:r>
    </w:p>
    <w:p>
      <w:r>
        <w:rPr>
          <w:rFonts w:ascii="Arial" w:hAnsi="Arial"/>
          <w:sz w:val="20"/>
        </w:rPr>
        <w:t>{{ gtm_strategy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8. Revenue Quality &amp; Concentration</w:t>
      </w:r>
    </w:p>
    <w:p>
      <w:r>
        <w:rPr>
          <w:rFonts w:ascii="Arial" w:hAnsi="Arial"/>
          <w:sz w:val="20"/>
        </w:rPr>
        <w:t>{{ revenue_quality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9. Key Contracts &amp; Partnerships</w:t>
      </w:r>
    </w:p>
    <w:p>
      <w:r>
        <w:rPr>
          <w:rFonts w:ascii="Arial" w:hAnsi="Arial"/>
          <w:sz w:val="20"/>
        </w:rPr>
        <w:t>{{ key_contracts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10. Risks &amp; Mitigating Factors</w:t>
      </w:r>
    </w:p>
    <w:p>
      <w:r>
        <w:rPr>
          <w:rFonts w:ascii="Arial" w:hAnsi="Arial"/>
          <w:sz w:val="20"/>
        </w:rPr>
        <w:t>{{ risks_mitigation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11. Recommendations</w:t>
      </w:r>
    </w:p>
    <w:p>
      <w:r>
        <w:rPr>
          <w:rFonts w:ascii="Arial" w:hAnsi="Arial"/>
          <w:sz w:val="20"/>
        </w:rPr>
        <w:t>{{ recommendations }}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By: {{ prepared_by }}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2835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440000" cy="131245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iligence-kit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131245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36"/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003366"/>
              <w:sz w:val="24"/>
            </w:rPr>
            <w:t>COMMERCIAL DUE DILIGENCE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