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Due Diligence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1. Executive Summary</w:t>
      </w:r>
    </w:p>
    <w:p>
      <w:r>
        <w:rPr>
          <w:rFonts w:ascii="Arial" w:hAnsi="Arial"/>
          <w:sz w:val="20"/>
        </w:rPr>
        <w:t>{{ executive_summary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2. Company Overview</w:t>
      </w:r>
    </w:p>
    <w:p>
      <w:r>
        <w:rPr>
          <w:rFonts w:ascii="Arial" w:hAnsi="Arial"/>
          <w:sz w:val="20"/>
        </w:rPr>
        <w:t>{{ company_overview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3. Income Statement Analysis</w:t>
      </w:r>
    </w:p>
    <w:p>
      <w:r>
        <w:rPr>
          <w:rFonts w:ascii="Arial" w:hAnsi="Arial"/>
          <w:sz w:val="20"/>
        </w:rPr>
        <w:t>{{ income_statement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4. Quality of Earnings (QofE)</w:t>
      </w:r>
    </w:p>
    <w:p>
      <w:r>
        <w:rPr>
          <w:rFonts w:ascii="Arial" w:hAnsi="Arial"/>
          <w:sz w:val="20"/>
        </w:rPr>
        <w:t>{{ quality_of_earnings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5. Revenue Recognition &amp; Concentration</w:t>
      </w:r>
    </w:p>
    <w:p>
      <w:r>
        <w:rPr>
          <w:rFonts w:ascii="Arial" w:hAnsi="Arial"/>
          <w:sz w:val="20"/>
        </w:rPr>
        <w:t>{{ revenue_recognition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6. Gross Margin and Cost Structure</w:t>
      </w:r>
    </w:p>
    <w:p>
      <w:r>
        <w:rPr>
          <w:rFonts w:ascii="Arial" w:hAnsi="Arial"/>
          <w:sz w:val="20"/>
        </w:rPr>
        <w:t>{{ gross_margin_cost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7. Working Capital Review</w:t>
      </w:r>
    </w:p>
    <w:p>
      <w:r>
        <w:rPr>
          <w:rFonts w:ascii="Arial" w:hAnsi="Arial"/>
          <w:sz w:val="20"/>
        </w:rPr>
        <w:t>{{ working_capital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8. Cash Flow Analysis</w:t>
      </w:r>
    </w:p>
    <w:p>
      <w:r>
        <w:rPr>
          <w:rFonts w:ascii="Arial" w:hAnsi="Arial"/>
          <w:sz w:val="20"/>
        </w:rPr>
        <w:t>{{ cash_flow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9. Balance Sheet Review</w:t>
      </w:r>
    </w:p>
    <w:p>
      <w:r>
        <w:rPr>
          <w:rFonts w:ascii="Arial" w:hAnsi="Arial"/>
          <w:sz w:val="20"/>
        </w:rPr>
        <w:t>{{ balance_sheet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10. Debt and Debt-like Items</w:t>
      </w:r>
    </w:p>
    <w:p>
      <w:r>
        <w:rPr>
          <w:rFonts w:ascii="Arial" w:hAnsi="Arial"/>
          <w:sz w:val="20"/>
        </w:rPr>
        <w:t>{{ debt_items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11. Tax Matters</w:t>
      </w:r>
    </w:p>
    <w:p>
      <w:r>
        <w:rPr>
          <w:rFonts w:ascii="Arial" w:hAnsi="Arial"/>
          <w:sz w:val="20"/>
        </w:rPr>
        <w:t>{{ tax_matters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12. Forecast &amp; Budget Review</w:t>
      </w:r>
    </w:p>
    <w:p>
      <w:r>
        <w:rPr>
          <w:rFonts w:ascii="Arial" w:hAnsi="Arial"/>
          <w:sz w:val="20"/>
        </w:rPr>
        <w:t>{{ forecast_budget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13. Key Risks &amp; Issues</w:t>
      </w:r>
    </w:p>
    <w:p>
      <w:r>
        <w:rPr>
          <w:rFonts w:ascii="Arial" w:hAnsi="Arial"/>
          <w:sz w:val="20"/>
        </w:rPr>
        <w:t>{{ key_risks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14. Recommendations</w:t>
      </w:r>
    </w:p>
    <w:p>
      <w:r>
        <w:rPr>
          <w:rFonts w:ascii="Arial" w:hAnsi="Arial"/>
          <w:sz w:val="20"/>
        </w:rPr>
        <w:t>{{ recommendations }}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By: {{ prepared_by }}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2835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440000" cy="1312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iligence-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1312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003366"/>
              <w:sz w:val="24"/>
            </w:rPr>
            <w:t>FINANCIAL DUE DILIGENCE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