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Operational Due Diligence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Executive Summary</w:t>
      </w:r>
    </w:p>
    <w:p>
      <w:r>
        <w:rPr>
          <w:rFonts w:ascii="Arial" w:hAnsi="Arial"/>
          <w:sz w:val="20"/>
        </w:rPr>
        <w:t>{{ executive_summary }}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Company Overview</w:t>
      </w:r>
    </w:p>
    <w:p>
      <w:r>
        <w:rPr>
          <w:rFonts w:ascii="Arial" w:hAnsi="Arial"/>
          <w:sz w:val="20"/>
        </w:rPr>
        <w:t>{{ company_overview }}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Organizational Structure</w:t>
      </w:r>
    </w:p>
    <w:p>
      <w:r>
        <w:rPr>
          <w:rFonts w:ascii="Arial" w:hAnsi="Arial"/>
          <w:sz w:val="20"/>
        </w:rPr>
        <w:t>{{ org_structure }}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Human Resources &amp; Talent</w:t>
      </w:r>
    </w:p>
    <w:p>
      <w:r>
        <w:rPr>
          <w:rFonts w:ascii="Arial" w:hAnsi="Arial"/>
          <w:sz w:val="20"/>
        </w:rPr>
        <w:t>{{ hr_talent }}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Technology &amp; Infrastructure</w:t>
      </w:r>
    </w:p>
    <w:p>
      <w:r>
        <w:rPr>
          <w:rFonts w:ascii="Arial" w:hAnsi="Arial"/>
          <w:sz w:val="20"/>
        </w:rPr>
        <w:t>{{ tech_infrastructure }}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Process &amp; Systems Review</w:t>
      </w:r>
    </w:p>
    <w:p>
      <w:r>
        <w:rPr>
          <w:rFonts w:ascii="Arial" w:hAnsi="Arial"/>
          <w:sz w:val="20"/>
        </w:rPr>
        <w:t>{{ process_systems }}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Go-to-Market Execution</w:t>
      </w:r>
    </w:p>
    <w:p>
      <w:r>
        <w:rPr>
          <w:rFonts w:ascii="Arial" w:hAnsi="Arial"/>
          <w:sz w:val="20"/>
        </w:rPr>
        <w:t>{{ gtm_execution }}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Financial Operations</w:t>
      </w:r>
    </w:p>
    <w:p>
      <w:r>
        <w:rPr>
          <w:rFonts w:ascii="Arial" w:hAnsi="Arial"/>
          <w:sz w:val="20"/>
        </w:rPr>
        <w:t>{{ financial_ops }}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Legal, Compliance &amp; Risk</w:t>
      </w:r>
    </w:p>
    <w:p>
      <w:r>
        <w:rPr>
          <w:rFonts w:ascii="Arial" w:hAnsi="Arial"/>
          <w:sz w:val="20"/>
        </w:rPr>
        <w:t>{{ legal_risk }}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Scalability &amp; Growth Readiness</w:t>
      </w:r>
    </w:p>
    <w:p>
      <w:r>
        <w:rPr>
          <w:rFonts w:ascii="Arial" w:hAnsi="Arial"/>
          <w:sz w:val="20"/>
        </w:rPr>
        <w:t>{{ scalability }}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Key Risks &amp; Mitigation</w:t>
      </w:r>
    </w:p>
    <w:p>
      <w:r>
        <w:rPr>
          <w:rFonts w:ascii="Arial" w:hAnsi="Arial"/>
          <w:sz w:val="20"/>
        </w:rPr>
        <w:t>{{ key_risks }}</w:t>
      </w:r>
    </w:p>
    <w:p/>
    <w:p>
      <w:pPr>
        <w:pStyle w:val="Heading1"/>
      </w:pPr>
      <w:r>
        <w:rPr>
          <w:rFonts w:ascii="Arial" w:hAnsi="Arial"/>
          <w:b/>
          <w:color w:val="003366"/>
          <w:sz w:val="28"/>
        </w:rPr>
        <w:t>Recommendations &amp; Next Steps</w:t>
      </w:r>
    </w:p>
    <w:p>
      <w:r>
        <w:rPr>
          <w:rFonts w:ascii="Arial" w:hAnsi="Arial"/>
          <w:sz w:val="20"/>
        </w:rPr>
        <w:t>{{ recommendations }}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Prepared By: {{ prepared_by }}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535"/>
      <w:gridCol w:w="4535"/>
    </w:tblGrid>
    <w:tr>
      <w:tc>
        <w:tcPr>
          <w:tcW w:type="dxa" w:w="2835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1440000" cy="131245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iligence-kit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000" cy="131245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236"/>
          <w:vAlign w:val="center"/>
        </w:tcPr>
        <w:p>
          <w:pPr>
            <w:jc w:val="right"/>
          </w:pPr>
          <w:r>
            <w:rPr>
              <w:rFonts w:ascii="Arial" w:hAnsi="Arial"/>
              <w:b/>
              <w:color w:val="003366"/>
              <w:sz w:val="24"/>
            </w:rPr>
            <w:t>OPERATIONAL DUE DILIGENCE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