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1F3A5F"/>
          <w:sz w:val="44"/>
        </w:rPr>
        <w:t>Critical reading texts: study summaries</w:t>
      </w:r>
    </w:p>
    <w:p>
      <w:pPr>
        <w:jc w:val="center"/>
      </w:pPr>
      <w:r>
        <w:rPr>
          <w:rFonts w:ascii="Calibri" w:hAnsi="Calibri"/>
          <w:i/>
          <w:sz w:val="28"/>
        </w:rPr>
        <w:t>SIT4200 Principles of Learning and Curriculum Design (Level 7)</w:t>
      </w:r>
    </w:p>
    <w:p>
      <w:pPr>
        <w:spacing w:after="360"/>
        <w:jc w:val="center"/>
      </w:pPr>
      <w:r>
        <w:rPr>
          <w:rFonts w:ascii="Calibri" w:hAnsi="Calibri"/>
          <w:sz w:val="22"/>
        </w:rPr>
        <w:t>About 1,500 words on each text, with citations found in the supplied PDFs</w:t>
      </w:r>
    </w:p>
    <w:p>
      <w:pPr>
        <w:spacing w:after="160" w:line="276" w:lineRule="auto"/>
      </w:pPr>
      <w:r>
        <w:rPr>
          <w:rFonts w:ascii="Calibri" w:hAnsi="Calibri"/>
          <w:sz w:val="22"/>
        </w:rPr>
        <w:t>These summaries are original study notes written from the PDFs supplied in this workspace. They are for private study. They are not a substitute for reading the books, and they are not copy-and-paste extracts.</w:t>
      </w:r>
    </w:p>
    <w:p>
      <w:pPr>
        <w:pStyle w:val="Heading2"/>
      </w:pPr>
      <w:r>
        <w:rPr>
          <w:rFonts w:ascii="Calibri" w:hAnsi="Calibri"/>
          <w:color w:val="1F3A5F"/>
          <w:sz w:val="26"/>
        </w:rPr>
        <w:t>Important edition note</w:t>
      </w:r>
    </w:p>
    <w:p>
      <w:pPr>
        <w:spacing w:after="160" w:line="276" w:lineRule="auto"/>
      </w:pPr>
      <w:r>
        <w:rPr>
          <w:rFonts w:ascii="Calibri" w:hAnsi="Calibri"/>
          <w:sz w:val="22"/>
        </w:rPr>
        <w:t>The PGCE reading list cites some later editions than the files available here. Each summary states the edition actually read. Do not reference a 2019/2023/2024/2026 edition for page-level claims taken from an earlier PDF.</w:t>
      </w:r>
    </w:p>
    <w:p>
      <w:pPr>
        <w:pStyle w:val="Heading2"/>
      </w:pPr>
      <w:r>
        <w:rPr>
          <w:rFonts w:ascii="Calibri" w:hAnsi="Calibri"/>
          <w:color w:val="1F3A5F"/>
          <w:sz w:val="26"/>
        </w:rPr>
        <w:t>How to use these notes in the assignment</w:t>
      </w:r>
    </w:p>
    <w:p>
      <w:pPr>
        <w:spacing w:after="160" w:line="276" w:lineRule="auto"/>
      </w:pPr>
      <w:r>
        <w:rPr>
          <w:rFonts w:ascii="Calibri" w:hAnsi="Calibri"/>
          <w:sz w:val="22"/>
        </w:rPr>
        <w:t>Read them as a map of each author’s argument. When you write, follow claim → evidence → critique → decision → impact. These books teach the critique step: they show how not to summarise sources one by one (Ridley; Williams), how to treat a claim as conclusion plus warrant (Wallace and Wray), and what Level 7 actually requires (QAA).</w:t>
      </w:r>
    </w:p>
    <w:p>
      <w:r>
        <w:rPr>
          <w:rFonts w:ascii="Calibri" w:hAnsi="Calibri"/>
          <w:i/>
          <w:color w:val="555555"/>
          <w:sz w:val="20"/>
        </w:rPr>
        <w:t>Harvard citations follow the PGCE reading list. Where the PDF is an older edition than the list, both are given. Do not cite a later edition for claims taken from an earlier PDF. These notes are for private study; they are not the assignment.</w:t>
      </w:r>
    </w:p>
    <w:p>
      <w:r>
        <w:br w:type="page"/>
      </w:r>
    </w:p>
    <w:p>
      <w:pPr>
        <w:pStyle w:val="Heading1"/>
      </w:pPr>
      <w:r>
        <w:rPr>
          <w:rFonts w:ascii="Calibri" w:hAnsi="Calibri"/>
          <w:color w:val="1F3A5F"/>
        </w:rPr>
        <w:t>1. Wallace and Wray — Critical Reading and Writing for Postgraduates</w:t>
      </w:r>
    </w:p>
    <w:p>
      <w:r>
        <w:rPr>
          <w:rFonts w:ascii="Calibri" w:hAnsi="Calibri"/>
          <w:i/>
          <w:color w:val="555555"/>
          <w:sz w:val="20"/>
        </w:rPr>
        <w:t>Summary length: 1520 words.</w:t>
      </w:r>
    </w:p>
    <w:p>
      <w:r>
        <w:rPr>
          <w:rFonts w:ascii="Calibri" w:hAnsi="Calibri"/>
          <w:b/>
          <w:sz w:val="22"/>
        </w:rPr>
        <w:t>Reading-list citation:</w:t>
      </w:r>
      <w:r>
        <w:rPr>
          <w:rFonts w:ascii="Calibri" w:hAnsi="Calibri"/>
          <w:sz w:val="22"/>
        </w:rPr>
        <w:t xml:space="preserve"> Wallace, M. and Wray, A. (2026) Critical Reading and Writing for Postgraduates. 5th edn. London: Sage. [Essential]</w:t>
      </w:r>
    </w:p>
    <w:p>
      <w:r>
        <w:rPr>
          <w:rFonts w:ascii="Calibri" w:hAnsi="Calibri"/>
          <w:b/>
          <w:sz w:val="22"/>
        </w:rPr>
        <w:t>PDF actually read:</w:t>
      </w:r>
      <w:r>
        <w:rPr>
          <w:rFonts w:ascii="Calibri" w:hAnsi="Calibri"/>
          <w:sz w:val="22"/>
        </w:rPr>
        <w:t xml:space="preserve"> Wallace, M. and Wray, A. (2011) Critical Reading and Writing for Postgraduates. 2nd edn. London: Sage. First edition 2006. The 2011 text is the basis of this summary. Core ideas (argument as conclusion plus warranting; critical synopsis and critical analysis; the mental map) are stable across editions, but you must not cite 2026 for claims taken from 2011.</w:t>
      </w:r>
    </w:p>
    <w:p>
      <w:pPr>
        <w:pStyle w:val="Heading2"/>
      </w:pPr>
      <w:r>
        <w:rPr>
          <w:rFonts w:ascii="Calibri" w:hAnsi="Calibri"/>
          <w:color w:val="1F3A5F"/>
          <w:sz w:val="26"/>
        </w:rPr>
        <w:t>Purpose and audience</w:t>
      </w:r>
    </w:p>
    <w:p>
      <w:pPr>
        <w:spacing w:after="160" w:line="276" w:lineRule="auto"/>
      </w:pPr>
      <w:r>
        <w:rPr>
          <w:rFonts w:ascii="Calibri" w:hAnsi="Calibri"/>
          <w:sz w:val="22"/>
        </w:rPr>
        <w:t>Wallace and Wray wrote the book for social-science postgraduates who must engage published (and unpublished) literature in essays, master’s dissertations, doctoral theses, papers and presentations. They also address early-career academics. The book is designed for self-study, research-methods modules, and supervisor–student work. Two ideas structure everything.</w:t>
      </w:r>
    </w:p>
    <w:p>
      <w:pPr>
        <w:spacing w:after="160" w:line="276" w:lineRule="auto"/>
      </w:pPr>
      <w:r>
        <w:rPr>
          <w:rFonts w:ascii="Calibri" w:hAnsi="Calibri"/>
          <w:sz w:val="22"/>
        </w:rPr>
        <w:t>First, academic discourse is a two-way, constructively critical process. As a critical reader you evaluate how others try to convince a target audience by developing a sufficiently strong argument. As a self-critical writer you develop your own argument, making it as strong and as clear as possible for your audience (assessors, examiners, journal readers). Successful writers apply the same standards to the literature and to their own commentary on it.</w:t>
      </w:r>
    </w:p>
    <w:p>
      <w:pPr>
        <w:spacing w:after="160" w:line="276" w:lineRule="auto"/>
      </w:pPr>
      <w:r>
        <w:rPr>
          <w:rFonts w:ascii="Calibri" w:hAnsi="Calibri"/>
          <w:sz w:val="22"/>
        </w:rPr>
        <w:t>Second, an argument has two major components: a conclusion (claims or assertions about some aspect of the social world, or how to interpret it) and warranting (backing based on evidence). For a conclusion to convince a sceptical audience it must be adequately warranted by sufficient and appropriate evidence. Evidence may include research findings, professional experience, a theoretical definition, or research-ethics guidelines. Incomplete or flawed arguments fail this test. This is the same logic as the PGCE launch’s claim → evidence → critique → decision → impact chain: a decision with no warrant is not Level 7.</w:t>
      </w:r>
    </w:p>
    <w:p>
      <w:pPr>
        <w:pStyle w:val="Heading2"/>
      </w:pPr>
      <w:r>
        <w:rPr>
          <w:rFonts w:ascii="Calibri" w:hAnsi="Calibri"/>
          <w:color w:val="1F3A5F"/>
          <w:sz w:val="26"/>
        </w:rPr>
        <w:t>Structure of the 2011 edition</w:t>
      </w:r>
    </w:p>
    <w:p>
      <w:pPr>
        <w:spacing w:after="160" w:line="276" w:lineRule="auto"/>
      </w:pPr>
      <w:r>
        <w:rPr>
          <w:rFonts w:ascii="Calibri" w:hAnsi="Calibri"/>
          <w:sz w:val="22"/>
        </w:rPr>
        <w:t>Part One (Chapters 1–5) is about becoming a critical reader and self-critical writer. Products at this stage are a critical summary of one text and a comparative critical summary of several. Part Two (Chapters 6–11) develops a mental map for navigating literature, analysing one text in depth, and writing a critical review. Products are a critical review of one text and a comparative critical review. Part Three (Chapters 12–15) puts reviews to work in a dissertation, research papers and oral presentations. Appendices include abridged articles by Wray and Staczek (‘One word or two?’) and Wallace (‘Sharing leadership of schools through teamwork’), a blank critical-analysis form, and a logic checksheet for a dissertation’s overall argument.</w:t>
      </w:r>
    </w:p>
    <w:p>
      <w:pPr>
        <w:pStyle w:val="Heading2"/>
      </w:pPr>
      <w:r>
        <w:rPr>
          <w:rFonts w:ascii="Calibri" w:hAnsi="Calibri"/>
          <w:color w:val="1F3A5F"/>
          <w:sz w:val="26"/>
        </w:rPr>
        <w:t>Chapter 1: what it means to be critical</w:t>
      </w:r>
    </w:p>
    <w:p>
      <w:pPr>
        <w:spacing w:after="160" w:line="276" w:lineRule="auto"/>
      </w:pPr>
      <w:r>
        <w:rPr>
          <w:rFonts w:ascii="Calibri" w:hAnsi="Calibri"/>
          <w:sz w:val="22"/>
        </w:rPr>
        <w:t>The authors distinguish everyday suspicion (scams, hidden motives) from academic criticality. Academic writers are not usually assumed to be lying, but texts still have hidden layers: values, assumptions, and a match (or mismatch) between claims, other authors, and evidence. Critical reading is task-driven: you read for a written task of your own, so your questions decide what to read and how deeply. Self-critical writing is the counterpart: whatever you look for as a reader of others, you should supply as a writer. Table 1.1 helps readers judge where their prior education sits on a continuum from uncritical reproduction to constructively critical engagement. Postgraduate expectations include critical thinking and creativity: making judgements with incomplete data, evaluating methodologies, and communicating conclusions to specialist and non-specialist audiences — language that echoes the QAA Level 7 descriptor.</w:t>
      </w:r>
    </w:p>
    <w:p>
      <w:pPr>
        <w:pStyle w:val="Heading2"/>
      </w:pPr>
      <w:r>
        <w:rPr>
          <w:rFonts w:ascii="Calibri" w:hAnsi="Calibri"/>
          <w:color w:val="1F3A5F"/>
          <w:sz w:val="26"/>
        </w:rPr>
        <w:t>Chapter 2: making a critical choice</w:t>
      </w:r>
    </w:p>
    <w:p>
      <w:pPr>
        <w:spacing w:after="160" w:line="276" w:lineRule="auto"/>
      </w:pPr>
      <w:r>
        <w:rPr>
          <w:rFonts w:ascii="Calibri" w:hAnsi="Calibri"/>
          <w:sz w:val="22"/>
        </w:rPr>
        <w:t>What you choose to read is as important as how you read it. Textbooks, readers, handbooks and encyclopaedias are support literature: they help you into a field but they interpret research for you. Over-reliance shows up as citing ideas without going to the research that produced them. Theoretical literature, data-driven research, practice literature and policy literature generate different kinds of knowledge. Models show how theory and evidence interact (Figure 2.1). Internet material ranges from peer-reviewed journal articles (usually reliable) to unattributed web pages. A claim such as ‘Metaphors are central to how we navigate the world (Lakoff and Johnson)’ is not adequately warranted by a web page; you need the source. March and Olsen’s (1976) ‘garbage can’ metaphor is used later to show how a single image highlights some aspects of organisational decision-making (ambiguity) and hides others (order). Hargreaves (1994), Giddens (1984) and other organisational and sociological sources appear as examples of how concepts travel.</w:t>
      </w:r>
    </w:p>
    <w:p>
      <w:pPr>
        <w:pStyle w:val="Heading2"/>
      </w:pPr>
      <w:r>
        <w:rPr>
          <w:rFonts w:ascii="Calibri" w:hAnsi="Calibri"/>
          <w:color w:val="1F3A5F"/>
          <w:sz w:val="26"/>
        </w:rPr>
        <w:t>Chapters 3–5: starting to read and write critically</w:t>
      </w:r>
    </w:p>
    <w:p>
      <w:pPr>
        <w:spacing w:after="160" w:line="276" w:lineRule="auto"/>
      </w:pPr>
      <w:r>
        <w:rPr>
          <w:rFonts w:ascii="Calibri" w:hAnsi="Calibri"/>
          <w:sz w:val="22"/>
        </w:rPr>
        <w:t>A central question and a review question focus reading. Opinion is distinguished from warranted conclusion. Readers learn to identify the conclusion and the warranting, and to spot incomplete or flawed arguments. Critical Synopsis Questions (for example: what are the authors trying to do in writing this?) produce a short critical synopsis. Self-critical writing begins with a sense of audience (assessors’ characteristics) and with developing an argument rather than a topic tour. A critical summary of one text, then a comparative critical summary of several (examples use Langford, 2000; Butters, 2004; Wray and Staczek, 2005), forces comparison instead of sequential summary. That is Ridley’s point too, and it is what Williams’s stairway calls synthesis.</w:t>
      </w:r>
    </w:p>
    <w:p>
      <w:pPr>
        <w:pStyle w:val="Heading2"/>
      </w:pPr>
      <w:r>
        <w:rPr>
          <w:rFonts w:ascii="Calibri" w:hAnsi="Calibri"/>
          <w:color w:val="1F3A5F"/>
          <w:sz w:val="26"/>
        </w:rPr>
        <w:t>Chapters 6–8: the mental map</w:t>
      </w:r>
    </w:p>
    <w:p>
      <w:pPr>
        <w:spacing w:after="160" w:line="276" w:lineRule="auto"/>
      </w:pPr>
      <w:r>
        <w:rPr>
          <w:rFonts w:ascii="Calibri" w:hAnsi="Calibri"/>
          <w:sz w:val="22"/>
        </w:rPr>
        <w:t>The ‘key’ to the mental map is a set of tools for thinking, used with a warning: writers do not agree on what each tool means. Concepts (for example ‘education’) classify, interpret, describe, explain and evaluate; no one owns a concept’s meaning, so stipulative definitions matter (examples at pages 88 and 111 of the 2011 text). Perspectives are screens made of selected facts, values and assumptions; a cultural perspective (Firestone and Louis, 1999, is cited in the companion Poulson and Wallace volume) highlights shared beliefs and rituals (a degree ceremony as symbol) and downplays other features. Metaphors describe one thing as another; they can be used interchangeably with ‘perspective’ or more narrowly as a single image. Theories and models are further tools. Assumptions and ideologies often remain implicit; Wallace (Appendix 2 / Wallace, 2001) is used to show assumptions under normative theories of educational leadership (Starratt, 1995; Nias et al., 1989; Pounder, 1998; Southworth, 1998; Wallace and Hall, 1994; Grace, 1995; Hall and Southworth, 1997; Lortie, 1969 appear in this cluster).</w:t>
      </w:r>
    </w:p>
    <w:p>
      <w:pPr>
        <w:spacing w:after="160" w:line="276" w:lineRule="auto"/>
      </w:pPr>
      <w:r>
        <w:rPr>
          <w:rFonts w:ascii="Calibri" w:hAnsi="Calibri"/>
          <w:sz w:val="22"/>
        </w:rPr>
        <w:t>Knowledge claims vary along two dimensions: certainty and level of abstraction. High-risk writing over-claims; under-ambitious writing never claims enough. Three kinds of knowledge are distinguished: theoretical knowledge, research knowledge, and practice knowledge. Four types of literature attempt to develop them: theoretical, research, practice, and policy. Five sorts of intellectual project lead to literature: knowledge-for-understanding, knowledge-for-critical evaluation, knowledge-for-action, instrumentalism, and reflexive action (the 2011 text sets out characteristics of each). Identifying which project a paper is doing is part of critical analysis. Generalization is treated as a vulnerability: claims that leap from a small sample to a universal rule are easy to reject.</w:t>
      </w:r>
    </w:p>
    <w:p>
      <w:pPr>
        <w:pStyle w:val="Heading2"/>
      </w:pPr>
      <w:r>
        <w:rPr>
          <w:rFonts w:ascii="Calibri" w:hAnsi="Calibri"/>
          <w:color w:val="1F3A5F"/>
          <w:sz w:val="26"/>
        </w:rPr>
        <w:t>Chapters 9–11: critical analysis and the critical review</w:t>
      </w:r>
    </w:p>
    <w:p>
      <w:pPr>
        <w:spacing w:after="160" w:line="276" w:lineRule="auto"/>
      </w:pPr>
      <w:r>
        <w:rPr>
          <w:rFonts w:ascii="Calibri" w:hAnsi="Calibri"/>
          <w:sz w:val="22"/>
        </w:rPr>
        <w:t>Critical Analysis Questions (blank form, Appendix 3) go deeper than synopsis questions. They ask, among other things, how clear the intellectual project is, how claims are warranted, and how tools for thinking are used. Chapter 10 is a worked example on Wallace (2001). Chapter 11 shows how to turn analysis into a written critical review of one text (structure and a ‘perfect’ review) and a comparative review of several. Introducing the text, what the authors were trying to find out, and building the warranting in 150–250 words is modelled. The review is personal in the legitimate sense that you have taken charge of the analysis; it is not a relic of the author’s section headings.</w:t>
      </w:r>
    </w:p>
    <w:p>
      <w:pPr>
        <w:pStyle w:val="Heading2"/>
      </w:pPr>
      <w:r>
        <w:rPr>
          <w:rFonts w:ascii="Calibri" w:hAnsi="Calibri"/>
          <w:color w:val="1F3A5F"/>
          <w:sz w:val="26"/>
        </w:rPr>
        <w:t>Chapters 12–15: literature reviews, dissertations, papers, talks</w:t>
      </w:r>
    </w:p>
    <w:p>
      <w:pPr>
        <w:spacing w:after="160" w:line="276" w:lineRule="auto"/>
      </w:pPr>
      <w:r>
        <w:rPr>
          <w:rFonts w:ascii="Calibri" w:hAnsi="Calibri"/>
          <w:sz w:val="22"/>
        </w:rPr>
        <w:t>A critical literature review is defined and illustrated (including a noun-gender / linguistics example). Structure differs for a single review question and for multiple review questions. Flexible approaches and reviewing multiple themes are discussed. Integrating reviews into a dissertation means matching the study process to the written account, knowing what examiners need, focusing the enquiry, and signposting. Substantive, methodological and theoretical aims are distinguished. The literature should inform empirical work and methods, not sit in a ghetto chapter. A logic checksheet (Appendix 4) tests whether the overall argument of a dissertation is logical (linkage tracker test). Chapter 15 applies the same architecture to research papers (abstract, audience) and oral presentations.</w:t>
      </w:r>
    </w:p>
    <w:p>
      <w:pPr>
        <w:pStyle w:val="Heading2"/>
      </w:pPr>
      <w:r>
        <w:rPr>
          <w:rFonts w:ascii="Calibri" w:hAnsi="Calibri"/>
          <w:color w:val="1F3A5F"/>
          <w:sz w:val="26"/>
        </w:rPr>
        <w:t>Implications for SIT4200</w:t>
      </w:r>
    </w:p>
    <w:p>
      <w:pPr>
        <w:spacing w:after="160" w:line="276" w:lineRule="auto"/>
      </w:pPr>
      <w:r>
        <w:rPr>
          <w:rFonts w:ascii="Calibri" w:hAnsi="Calibri"/>
          <w:sz w:val="22"/>
        </w:rPr>
        <w:t>Do not ‘name-drop’ Vygotsky or Young. State a claim, show its warrant, say how far the warrant transfers to secondary Computing in England, compare it with another source, then take a position that becomes a lesson-sequence decision. That is Wallace and Wray’s method applied to the PGCE chain. Use a critical synopsis when a source is background; use a full critical analysis when a source is doing real work in Section 1 or 2.</w:t>
      </w:r>
    </w:p>
    <w:p>
      <w:pPr>
        <w:pStyle w:val="Heading2"/>
      </w:pPr>
      <w:r>
        <w:rPr>
          <w:rFonts w:ascii="Calibri" w:hAnsi="Calibri"/>
          <w:color w:val="1F3A5F"/>
          <w:sz w:val="26"/>
        </w:rPr>
        <w:t>Citations found in the 2011 PDF (selected)</w:t>
      </w:r>
    </w:p>
    <w:p>
      <w:pPr>
        <w:spacing w:after="160" w:line="276" w:lineRule="auto"/>
      </w:pPr>
      <w:r>
        <w:rPr>
          <w:rFonts w:ascii="Calibri" w:hAnsi="Calibri"/>
          <w:sz w:val="22"/>
        </w:rPr>
        <w:t>Barthes et al. (1979); Browning (2005); Butters (2004); Firestone and Louis (1999) [companion volume]; Giddens (1984); Goodman (2009); Grace (1995); Hall and Southworth (1997); Hargreaves (1994); Hodder (2006); Jennings (2003); Jones (2004); Lakoff and Johnson (as commonly cited on metaphor); Langford (2000); Lortie (1969); March and Olsen (1976); Nias et al. (1989); Nussbaum (1998); Pounder (1998); Southworth (1998); Starratt (1995); Tauber (1991); Vrey and Lambert (2005); Wallace (1999); Wallace (2001); Wallace and Hall (1994); Wray (2002); Wray (2010); Wray and Staczek (2005).</w:t>
      </w:r>
    </w:p>
    <w:p>
      <w:r>
        <w:br w:type="page"/>
      </w:r>
    </w:p>
    <w:p>
      <w:pPr>
        <w:pStyle w:val="Heading1"/>
      </w:pPr>
      <w:r>
        <w:rPr>
          <w:rFonts w:ascii="Calibri" w:hAnsi="Calibri"/>
          <w:color w:val="1F3A5F"/>
        </w:rPr>
        <w:t>2. Ridley — The Literature Review: A Step-by-Step Guide for Students</w:t>
      </w:r>
    </w:p>
    <w:p>
      <w:r>
        <w:rPr>
          <w:rFonts w:ascii="Calibri" w:hAnsi="Calibri"/>
          <w:i/>
          <w:color w:val="555555"/>
          <w:sz w:val="20"/>
        </w:rPr>
        <w:t>Summary length: 1586 words.</w:t>
      </w:r>
    </w:p>
    <w:p>
      <w:r>
        <w:rPr>
          <w:rFonts w:ascii="Calibri" w:hAnsi="Calibri"/>
          <w:b/>
          <w:sz w:val="22"/>
        </w:rPr>
        <w:t>Reading-list citation:</w:t>
      </w:r>
      <w:r>
        <w:rPr>
          <w:rFonts w:ascii="Calibri" w:hAnsi="Calibri"/>
          <w:sz w:val="22"/>
        </w:rPr>
        <w:t xml:space="preserve"> Ridley, D. (2019) The Literature Review: A Step-by-Step Guide for Students. 3rd edn. London: Sage. [Essential]</w:t>
      </w:r>
    </w:p>
    <w:p>
      <w:r>
        <w:rPr>
          <w:rFonts w:ascii="Calibri" w:hAnsi="Calibri"/>
          <w:b/>
          <w:sz w:val="22"/>
        </w:rPr>
        <w:t>PDF actually read:</w:t>
      </w:r>
      <w:r>
        <w:rPr>
          <w:rFonts w:ascii="Calibri" w:hAnsi="Calibri"/>
          <w:sz w:val="22"/>
        </w:rPr>
        <w:t xml:space="preserve"> Ridley, D. (2012) The Literature Review: A Step-by-Step Guide for Students. 2nd edn. London: Sage. First published 2008. This summary follows the 2012 edition. The 2019 edition will have updates; do not invent 2019 page numbers.</w:t>
      </w:r>
    </w:p>
    <w:p>
      <w:pPr>
        <w:pStyle w:val="Heading2"/>
      </w:pPr>
      <w:r>
        <w:rPr>
          <w:rFonts w:ascii="Calibri" w:hAnsi="Calibri"/>
          <w:color w:val="1F3A5F"/>
          <w:sz w:val="26"/>
        </w:rPr>
        <w:t>Purpose</w:t>
      </w:r>
    </w:p>
    <w:p>
      <w:pPr>
        <w:spacing w:after="160" w:line="276" w:lineRule="auto"/>
      </w:pPr>
      <w:r>
        <w:rPr>
          <w:rFonts w:ascii="Calibri" w:hAnsi="Calibri"/>
          <w:sz w:val="22"/>
        </w:rPr>
        <w:t>Ridley teaches students how to find, read, organise, cite and — above all — synthesise literature so that a review is an argument, not a book-by-book summary. That last point is why the reading list calls the book essential: ‘constructing coherent academic arguments rather than summarising sources individually’. The 2012 text uses extracts from real master’s and doctoral work (Ruth Bacigalupo, Emma Coveney, Dawn Culverson, Hannah Fairbrother, Ling Feng, Eileen Lee, Analeen Moore, Morgan Meyer, Dino Ovcina, Key-young Son, Ian Watson, Thomas Webb, among others).</w:t>
      </w:r>
    </w:p>
    <w:p>
      <w:pPr>
        <w:pStyle w:val="Heading2"/>
      </w:pPr>
      <w:r>
        <w:rPr>
          <w:rFonts w:ascii="Calibri" w:hAnsi="Calibri"/>
          <w:color w:val="1F3A5F"/>
          <w:sz w:val="26"/>
        </w:rPr>
        <w:t>Chapter 1: what a literature review is</w:t>
      </w:r>
    </w:p>
    <w:p>
      <w:pPr>
        <w:spacing w:after="160" w:line="276" w:lineRule="auto"/>
      </w:pPr>
      <w:r>
        <w:rPr>
          <w:rFonts w:ascii="Calibri" w:hAnsi="Calibri"/>
          <w:sz w:val="22"/>
        </w:rPr>
        <w:t>A literature review provides background and justification for research (Bruce is quoted to that effect). It looks different at different degree levels (Table 1.1). It may be a dedicated chapter after the introduction, integrated, or both; Ridley shows tables of contents from science and social-science theses (including a second-language master’s and a parallel-computing example). Structuring choices are introduced early: students must choose an approach (Task 1.1) rather than dump everything they have read.</w:t>
      </w:r>
    </w:p>
    <w:p>
      <w:pPr>
        <w:pStyle w:val="Heading2"/>
      </w:pPr>
      <w:r>
        <w:rPr>
          <w:rFonts w:ascii="Calibri" w:hAnsi="Calibri"/>
          <w:color w:val="1F3A5F"/>
          <w:sz w:val="26"/>
        </w:rPr>
        <w:t>Chapter 2: multiple purposes</w:t>
      </w:r>
    </w:p>
    <w:p>
      <w:pPr>
        <w:spacing w:after="160" w:line="276" w:lineRule="auto"/>
      </w:pPr>
      <w:r>
        <w:rPr>
          <w:rFonts w:ascii="Calibri" w:hAnsi="Calibri"/>
          <w:sz w:val="22"/>
        </w:rPr>
        <w:t>A review typically: provides historical background; maps the contemporary context and current debates; sets out theoretical underpinnings; defines terminology; signals a gap in previous research and uses that gap to justify the present study; and shows why the problem matters. Table 2.1 invites you to tick which purposes your own review must serve. Examples include Ling’s discussion of four curriculum perspectives (three of which become her framework) and work on Cold War containment and engagement. Historical sources in the examples include Gaddis (1982) and Platt (1977); childhood sociology examples include James and Prout (1997) and Prout (2005); Parsons (1956) appears in a theoretical discussion. The ‘gap’ is not a complaint that nobody has ever written about your topic; it is a precise claim about what existing work does not yet do, warranting your contribution.</w:t>
      </w:r>
    </w:p>
    <w:p>
      <w:pPr>
        <w:pStyle w:val="Heading2"/>
      </w:pPr>
      <w:r>
        <w:rPr>
          <w:rFonts w:ascii="Calibri" w:hAnsi="Calibri"/>
          <w:color w:val="1F3A5F"/>
          <w:sz w:val="26"/>
        </w:rPr>
        <w:t>Chapter 3: searching</w:t>
      </w:r>
    </w:p>
    <w:p>
      <w:pPr>
        <w:spacing w:after="160" w:line="276" w:lineRule="auto"/>
      </w:pPr>
      <w:r>
        <w:rPr>
          <w:rFonts w:ascii="Calibri" w:hAnsi="Calibri"/>
          <w:sz w:val="22"/>
        </w:rPr>
        <w:t>A literature search is a systematic process with purposes, not a Google habit. Sources include books, journals, theses, official publications, and websites (evaluate them; a site map helps). Different types of research (empirical, theoretical, and so on) sit in different places. Tools include library OPACs, Copac, BUBL, electronic databases and search engines. Because one database does not scan every journal, use more than one. Keywords and Boolean logic (AND, OR, NOT) structure queries. RSS feeds, email alerts and social bookmarking (with caveats about tag clouds and bias) help you keep up to date. MacDougall and Brittain (1998) and Lee (2001) appear among information-science references. Task 3.1 is to track and record searches — a record that later prevents both duplication and accidental plagiarism.</w:t>
      </w:r>
    </w:p>
    <w:p>
      <w:pPr>
        <w:pStyle w:val="Heading2"/>
      </w:pPr>
      <w:r>
        <w:rPr>
          <w:rFonts w:ascii="Calibri" w:hAnsi="Calibri"/>
          <w:color w:val="1F3A5F"/>
          <w:sz w:val="26"/>
        </w:rPr>
        <w:t>Chapter 4: reading and note-taking</w:t>
      </w:r>
    </w:p>
    <w:p>
      <w:pPr>
        <w:spacing w:after="160" w:line="276" w:lineRule="auto"/>
      </w:pPr>
      <w:r>
        <w:rPr>
          <w:rFonts w:ascii="Calibri" w:hAnsi="Calibri"/>
          <w:sz w:val="22"/>
        </w:rPr>
        <w:t>Efficient reading is not passive soaking (see Ridley’s contrast with unquestioning reading). Critical reading asks what the argument is and how strong the evidence is. Speed can be increased without abandoning criticism. Notes exist to force paraphrase, to separate the source’s words from yours, and to record bibliographic detail at the point of reading. Formats include linear notes, pattern notes (Figure 4.1) and tabular comparison of sources (Table 4.1) — a practical way to synthesise. Keywords connect texts; a table makes agreement and disagreement visible. Summary-writing techniques are practised. Hart (1998) and later Machi and McEvoy (2009) sit in the wider ‘how to review’ literature Ridley points to.</w:t>
      </w:r>
    </w:p>
    <w:p>
      <w:pPr>
        <w:pStyle w:val="Heading2"/>
      </w:pPr>
      <w:r>
        <w:rPr>
          <w:rFonts w:ascii="Calibri" w:hAnsi="Calibri"/>
          <w:color w:val="1F3A5F"/>
          <w:sz w:val="26"/>
        </w:rPr>
        <w:t>Chapter 5: reference management</w:t>
      </w:r>
    </w:p>
    <w:p>
      <w:pPr>
        <w:spacing w:after="160" w:line="276" w:lineRule="auto"/>
      </w:pPr>
      <w:r>
        <w:rPr>
          <w:rFonts w:ascii="Calibri" w:hAnsi="Calibri"/>
          <w:sz w:val="22"/>
        </w:rPr>
        <w:t>Three record systems matter: keyword-search records; bibliographic details for the reference list; and a personal library (how you file hard copies). Copyright legislation is not optional: extensive copying of illustrations, maps or diagrams needs permission. Bibliographical software (EndNote is demonstrated; download of details, abstracts and links) is treated as a professional tool, not a gadget. Rudestam and Newton (2007) appear among research-process references.</w:t>
      </w:r>
    </w:p>
    <w:p>
      <w:pPr>
        <w:pStyle w:val="Heading2"/>
      </w:pPr>
      <w:r>
        <w:rPr>
          <w:rFonts w:ascii="Calibri" w:hAnsi="Calibri"/>
          <w:color w:val="1F3A5F"/>
          <w:sz w:val="26"/>
        </w:rPr>
        <w:t>Chapter 6: structuring the review</w:t>
      </w:r>
    </w:p>
    <w:p>
      <w:pPr>
        <w:spacing w:after="160" w:line="276" w:lineRule="auto"/>
      </w:pPr>
      <w:r>
        <w:rPr>
          <w:rFonts w:ascii="Calibri" w:hAnsi="Calibri"/>
          <w:sz w:val="22"/>
        </w:rPr>
        <w:t>Creating a review is a process (Figure 6.1), not a single sitting. Organisational patterns (Figure 6.2) include thematic, chronological, and methodological architectures. Table 6.1 sets out ‘literature review architecture’; Table 6.2 exemplifies it with ‘models of goal-achievement’, showing argument steps (for example, limited previous research on a comparison). The relationship between the thesis introduction and the literature chapter is worked through with real contents pages: the introduction can outline the thesis and the literature chapter can then do the close-up critical work. Signalling language (what has been discussed; what comes next) is illustrated in italics in student extracts. Wellington et al. (2005) is among the research-writing sources.</w:t>
      </w:r>
    </w:p>
    <w:p>
      <w:pPr>
        <w:pStyle w:val="Heading2"/>
      </w:pPr>
      <w:r>
        <w:rPr>
          <w:rFonts w:ascii="Calibri" w:hAnsi="Calibri"/>
          <w:color w:val="1F3A5F"/>
          <w:sz w:val="26"/>
        </w:rPr>
        <w:t>Chapter 7: in-text citations</w:t>
      </w:r>
    </w:p>
    <w:p>
      <w:pPr>
        <w:spacing w:after="160" w:line="276" w:lineRule="auto"/>
      </w:pPr>
      <w:r>
        <w:rPr>
          <w:rFonts w:ascii="Calibri" w:hAnsi="Calibri"/>
          <w:sz w:val="22"/>
        </w:rPr>
        <w:t>References appear in the text and in a list at the end. In-text citations are where propositional content is attributed to another source (Hyland, 2004). Reasons to cite include respect for others’ contributions; allegiance to a research community; credibility; support for assertions; showing how the argument developed; creating a niche by extending or challenging previous studies; comparing and evaluating; proving wide and relevant reading; enabling readers to track sources; allowing accuracy to be checked; and avoiding plagiarism.</w:t>
      </w:r>
    </w:p>
    <w:p>
      <w:pPr>
        <w:spacing w:after="160" w:line="276" w:lineRule="auto"/>
      </w:pPr>
      <w:r>
        <w:rPr>
          <w:rFonts w:ascii="Calibri" w:hAnsi="Calibri"/>
          <w:sz w:val="22"/>
        </w:rPr>
        <w:t>Plagiarism is defined as deliberate or unintentional use of others’ ideas, words or work without appropriate acknowledgement. It includes wholesale copying; rephrasing ideas without a reference (unless common knowledge); copying a textbook’s wording even when the idea is common knowledge; acknowledging a source but staying too close to its wording; self-plagiarism (submitting the same wording for two assessments — though a proposal can be adapted into a dissertation); and unreferenced copy-and-paste from the internet. Grey areas include patchworking (Hull and Rose, 1989; Howard, 1995): sentences from several sources, each referenced, but still too close to the originals — and over-dependence on direct quotations, which hides the writer’s interpretation. Turnitin is described as a text-matching tool, not a morality engine.</w:t>
      </w:r>
    </w:p>
    <w:p>
      <w:pPr>
        <w:spacing w:after="160" w:line="276" w:lineRule="auto"/>
      </w:pPr>
      <w:r>
        <w:rPr>
          <w:rFonts w:ascii="Calibri" w:hAnsi="Calibri"/>
          <w:sz w:val="22"/>
        </w:rPr>
        <w:t>Referencing systems differ (Table 7.1). Integral citations put the author in the sentence; non-integral citations put the author in parentheses. Disciplines differ in which they prefer (Table 7.2) and in citation type (summary, paraphrase, generalisation, quotation — Table 7.3). Reporting verbs and their tenses carry evaluation (Table 7.4): ‘found’ in the past simple (Chappelle et al., 1995, in an example) is not the same as ‘speculates’ (Wenger, 1998, in an acceptable-summary example). Combined attributions and generalisations are often non-integral. Effective versus unacceptable citations are contrasted, including an acceptable summary of Wenger (1998). Weissberg and Buker (1990) are cited on research-writing conventions.</w:t>
      </w:r>
    </w:p>
    <w:p>
      <w:pPr>
        <w:pStyle w:val="Heading2"/>
      </w:pPr>
      <w:r>
        <w:rPr>
          <w:rFonts w:ascii="Calibri" w:hAnsi="Calibri"/>
          <w:color w:val="1F3A5F"/>
          <w:sz w:val="26"/>
        </w:rPr>
        <w:t>Chapters 8–9: being critical and writer voice</w:t>
      </w:r>
    </w:p>
    <w:p>
      <w:pPr>
        <w:spacing w:after="160" w:line="276" w:lineRule="auto"/>
      </w:pPr>
      <w:r>
        <w:rPr>
          <w:rFonts w:ascii="Calibri" w:hAnsi="Calibri"/>
          <w:sz w:val="22"/>
        </w:rPr>
        <w:t>Critical reading is not yet critical writing. Critical writing compares, contrasts, evaluates, and takes a position. Extracts show how researchers (including Key-young on realism, liberalism and constructivism) adopt a critical approach. Writer voice is how you appear as an organiser of the argument: unattributed assertions followed by supporting citations; explicit connections between citations; summary and evaluation of source material; an overall summary at the end of a section; careful use of personal pronouns (Example 9.7 uses ‘I’ to signpost organisation); choice of citation pattern (Table 9.1 on propositional responsibility and textual voice); evaluative reporting verbs; and evaluative adjectives, adverbs and phrases (Table 9.2 on degrees of commitment). A mixture of strategies is recommended. This is the opposite of a paragraph that is only ‘Author A said… Author B said…’.</w:t>
      </w:r>
    </w:p>
    <w:p>
      <w:pPr>
        <w:pStyle w:val="Heading2"/>
      </w:pPr>
      <w:r>
        <w:rPr>
          <w:rFonts w:ascii="Calibri" w:hAnsi="Calibri"/>
          <w:color w:val="1F3A5F"/>
          <w:sz w:val="26"/>
        </w:rPr>
        <w:t>Chapter 10: the continuing process</w:t>
      </w:r>
    </w:p>
    <w:p>
      <w:pPr>
        <w:spacing w:after="160" w:line="276" w:lineRule="auto"/>
      </w:pPr>
      <w:r>
        <w:rPr>
          <w:rFonts w:ascii="Calibri" w:hAnsi="Calibri"/>
          <w:sz w:val="22"/>
        </w:rPr>
        <w:t>The literature does not end when the literature chapter ends. Discussion chapters use literature to: show findings supporting an existing theory; compare a new model with an existing theory; explain a finding; state a contribution to theory; interpret data; and apply theory to findings (Examples 10.1–10.7). That is how a Computing assignment should use Willingham or Florian in Sections 3–4: not as decoration, but as a tool for interpreting this class and this sequence.</w:t>
      </w:r>
    </w:p>
    <w:p>
      <w:pPr>
        <w:pStyle w:val="Heading2"/>
      </w:pPr>
      <w:r>
        <w:rPr>
          <w:rFonts w:ascii="Calibri" w:hAnsi="Calibri"/>
          <w:color w:val="1F3A5F"/>
          <w:sz w:val="26"/>
        </w:rPr>
        <w:t>Chapter 11: systematic reviews</w:t>
      </w:r>
    </w:p>
    <w:p>
      <w:pPr>
        <w:spacing w:after="160" w:line="276" w:lineRule="auto"/>
      </w:pPr>
      <w:r>
        <w:rPr>
          <w:rFonts w:ascii="Calibri" w:hAnsi="Calibri"/>
          <w:sz w:val="22"/>
        </w:rPr>
        <w:t>A systematic literature review follows an explicit, replicable protocol. Meta-analysis statistically combines quantitative results; narrative synthesis (Popay and colleagues are acknowledged in the front matter) combines studies that cannot be reduced to a single statistic, including ‘vote-counting’ as a weaker option. Appraisal questions (randomisation, blinding, and so on) are rehearsed. An example is discussed; Torgerson, Brooks and Hall (2006) on phonics appears in the references. EPPI-Centre and Cochrane (Higgins and Green, 2011) are further-reading landmarks. Task 11.1 is to find and critique a systematic review in your field. Computing students might later meet EEF evidence reviews in this spirit: a guidance report is not a single guru’s opinion.</w:t>
      </w:r>
    </w:p>
    <w:p>
      <w:pPr>
        <w:pStyle w:val="Heading2"/>
      </w:pPr>
      <w:r>
        <w:rPr>
          <w:rFonts w:ascii="Calibri" w:hAnsi="Calibri"/>
          <w:color w:val="1F3A5F"/>
          <w:sz w:val="26"/>
        </w:rPr>
        <w:t>Implications for SIT4200</w:t>
      </w:r>
    </w:p>
    <w:p>
      <w:pPr>
        <w:spacing w:after="160" w:line="276" w:lineRule="auto"/>
      </w:pPr>
      <w:r>
        <w:rPr>
          <w:rFonts w:ascii="Calibri" w:hAnsi="Calibri"/>
          <w:sz w:val="22"/>
        </w:rPr>
        <w:t>Your 4,000 words are not a literature review chapter, but Ridley’s rules still apply: synthesise; define terms; show a gap (what generic pedagogy does not yet say about Computing); cite with integral/non-integral control; keep writer voice; do not patchwork. Use a comparison table for Sweller versus Vygotsky versus PRIMM before you write Section 1.</w:t>
      </w:r>
    </w:p>
    <w:p>
      <w:pPr>
        <w:pStyle w:val="Heading2"/>
      </w:pPr>
      <w:r>
        <w:rPr>
          <w:rFonts w:ascii="Calibri" w:hAnsi="Calibri"/>
          <w:color w:val="1F3A5F"/>
          <w:sz w:val="26"/>
        </w:rPr>
        <w:t>Citations found in the 2012 PDFs (selected)</w:t>
      </w:r>
    </w:p>
    <w:p>
      <w:pPr>
        <w:spacing w:after="160" w:line="276" w:lineRule="auto"/>
      </w:pPr>
      <w:r>
        <w:rPr>
          <w:rFonts w:ascii="Calibri" w:hAnsi="Calibri"/>
          <w:sz w:val="22"/>
        </w:rPr>
        <w:t>Armitage and Connor (2001); Bacigalupo (2000); Chappelle et al. (1995); Clark (2006); Corcoran et al. (2004); Fasold (1984); Fernandez and Griffiths (2010); Findlen (1994); Gaddis (1982); Gyurcsik and Brawley (2001); Hall (2006); Hamilton et al. (1980); Hart (1998); Hollensen (2004); Howard (1995); Hull and Rose (1989); Hyland (2004); James and Prout (1997); Lee (2001); MacDougall and Brittain (1998); Machi and McEvoy (2009); Moore (2001); Muraven et al. (1998); Oliver (1990); Orbell and Sheeran (1998); Parsons (1956); Perlmutter (1989); Platt (1977); Prout (2005); RevMan (2008); Rudestam and Newton (2007); Sheeran (2002); Taylor (1989); Torgerson, Brooks and Hall (2006); Webb and Sheeran (2003); Wegner and Wheatley (1999); Weissberg and Buker (1990); Wellington et al. (2005); Wenger (1998).</w:t>
      </w:r>
    </w:p>
    <w:p>
      <w:r>
        <w:br w:type="page"/>
      </w:r>
    </w:p>
    <w:p>
      <w:pPr>
        <w:pStyle w:val="Heading1"/>
      </w:pPr>
      <w:r>
        <w:rPr>
          <w:rFonts w:ascii="Calibri" w:hAnsi="Calibri"/>
          <w:color w:val="1F3A5F"/>
        </w:rPr>
        <w:t>3. Poulson and Wallace (eds.) — Learning to Read Critically in Teaching and Learning</w:t>
      </w:r>
    </w:p>
    <w:p>
      <w:r>
        <w:rPr>
          <w:rFonts w:ascii="Calibri" w:hAnsi="Calibri"/>
          <w:i/>
          <w:color w:val="555555"/>
          <w:sz w:val="20"/>
        </w:rPr>
        <w:t>Summary length: 1640 words.</w:t>
      </w:r>
    </w:p>
    <w:p>
      <w:r>
        <w:rPr>
          <w:rFonts w:ascii="Calibri" w:hAnsi="Calibri"/>
          <w:b/>
          <w:sz w:val="22"/>
        </w:rPr>
        <w:t>Reading-list citation:</w:t>
      </w:r>
      <w:r>
        <w:rPr>
          <w:rFonts w:ascii="Calibri" w:hAnsi="Calibri"/>
          <w:sz w:val="22"/>
        </w:rPr>
        <w:t xml:space="preserve"> Poulson, L. and Wallace, M. (eds.) (2004) Learning to Read Critically in Teaching and Learning. London: Sage. [Recommended]</w:t>
      </w:r>
    </w:p>
    <w:p>
      <w:r>
        <w:rPr>
          <w:rFonts w:ascii="Calibri" w:hAnsi="Calibri"/>
          <w:b/>
          <w:sz w:val="22"/>
        </w:rPr>
        <w:t>PDF actually read:</w:t>
      </w:r>
      <w:r>
        <w:rPr>
          <w:rFonts w:ascii="Calibri" w:hAnsi="Calibri"/>
          <w:sz w:val="22"/>
        </w:rPr>
        <w:t xml:space="preserve"> the same 2004 Sage edition (ISBN 0 7619-4797-3 / 0 7619-4798-1 pbk). This is the matching edition.</w:t>
      </w:r>
    </w:p>
    <w:p>
      <w:pPr>
        <w:pStyle w:val="Heading2"/>
      </w:pPr>
      <w:r>
        <w:rPr>
          <w:rFonts w:ascii="Calibri" w:hAnsi="Calibri"/>
          <w:color w:val="1F3A5F"/>
          <w:sz w:val="26"/>
        </w:rPr>
        <w:t>Purpose and series</w:t>
      </w:r>
    </w:p>
    <w:p>
      <w:pPr>
        <w:spacing w:after="160" w:line="276" w:lineRule="auto"/>
      </w:pPr>
      <w:r>
        <w:rPr>
          <w:rFonts w:ascii="Calibri" w:hAnsi="Calibri"/>
          <w:sz w:val="22"/>
        </w:rPr>
        <w:t>This is a ‘three-in-one’ text in a series edited by Mike Wallace, supporting research-based teaching on master’s and taught doctorate courses. It aims to: develop students’ critical understanding of research literature; increase appreciation of what small-scale investigations can achieve (the scale of a dissertation); and present major findings and concepts in teaching and learning. Professionally conducted research, not previously published in this form, is included so that students can practise critical reviewing on substantial examples. The book is addressed to master’s and doctoral students but is also useful for undergraduates, vocational postgraduates and tutors.</w:t>
      </w:r>
    </w:p>
    <w:p>
      <w:pPr>
        <w:pStyle w:val="Heading2"/>
      </w:pPr>
      <w:r>
        <w:rPr>
          <w:rFonts w:ascii="Calibri" w:hAnsi="Calibri"/>
          <w:color w:val="1F3A5F"/>
          <w:sz w:val="26"/>
        </w:rPr>
        <w:t>Part 1: becoming a critical consumer</w:t>
      </w:r>
    </w:p>
    <w:p>
      <w:pPr>
        <w:spacing w:after="160" w:line="276" w:lineRule="auto"/>
      </w:pPr>
      <w:r>
        <w:rPr>
          <w:rFonts w:ascii="Calibri" w:hAnsi="Calibri"/>
          <w:sz w:val="22"/>
        </w:rPr>
        <w:t>Chapter 1, ‘Critical reading for self-critical writing’ (Wallace and Poulson), is the education-field version of the method later expanded in Wallace and Wray (2011). Being critical means discernment and scepticism, not hostility. Tools for thinking — concepts, perspectives, metaphors, theories, models, assumptions, ideologies — are the key to a mental map. There is no one-to-one correspondence between the social world and people’s interpretations of it: one person’s valuable play-based learning is another’s waste of time. Concepts need stipulative definitions. Perspectives (for example a cultural perspective drawing on Firestone and Louis, 1999) are screens that highlight some facts and values and hide others. Rituals (degree ceremonies, certificates as symbols) illustrate cultural concepts. Metaphors may be broad screens or single images; March and Olsen’s (1976) garbage-can metaphor of organisational decision-making shows how an image captures ambiguity and misses order. Combining perspectives is possible but cognitively costly. Two dimensions of knowledge claims, three kinds of knowledge, four types of literature and five intellectual projects reappear here: this chapter is the parent of Wallace and Wray’s Part Two.</w:t>
      </w:r>
    </w:p>
    <w:p>
      <w:pPr>
        <w:spacing w:after="160" w:line="276" w:lineRule="auto"/>
      </w:pPr>
      <w:r>
        <w:rPr>
          <w:rFonts w:ascii="Calibri" w:hAnsi="Calibri"/>
          <w:sz w:val="22"/>
        </w:rPr>
        <w:t>Chapter 2, ‘Designing and writing about research: developing a critical frame of mind’ (Poulson and Wallace), turns the same tools onto the student’s own small-scale study: focus, design, methods, and the written account that examiners will see. Bolam (1999), Gorard (2001), and Miles and Huberman (1994) sit among methodological reference points in the wider volume.</w:t>
      </w:r>
    </w:p>
    <w:p>
      <w:pPr>
        <w:pStyle w:val="Heading2"/>
      </w:pPr>
      <w:r>
        <w:rPr>
          <w:rFonts w:ascii="Calibri" w:hAnsi="Calibri"/>
          <w:color w:val="1F3A5F"/>
          <w:sz w:val="26"/>
        </w:rPr>
        <w:t>Part 2: research reports (models to practise on)</w:t>
      </w:r>
    </w:p>
    <w:p>
      <w:pPr>
        <w:spacing w:after="160" w:line="276" w:lineRule="auto"/>
      </w:pPr>
      <w:r>
        <w:rPr>
          <w:rFonts w:ascii="Calibri" w:hAnsi="Calibri"/>
          <w:sz w:val="22"/>
        </w:rPr>
        <w:t>These chapters are not ‘the assignment reading list’. They are authentic reports on which to practise critical analysis. Use them as Wallace and Wray instruct: identify the intellectual project, the warrant, the tools for thinking, and what is downplayed.</w:t>
      </w:r>
    </w:p>
    <w:p>
      <w:pPr>
        <w:spacing w:after="160" w:line="276" w:lineRule="auto"/>
      </w:pPr>
      <w:r>
        <w:rPr>
          <w:rFonts w:ascii="Calibri" w:hAnsi="Calibri"/>
          <w:sz w:val="22"/>
        </w:rPr>
        <w:t>Chapter 3 — Hilda Borko with Kathryn Davinroy, Carribeth Bliem and Kathryn Cumbo: changing instructional and assessment practices through professional development. US context. Useful for asking how far professional-development evidence transfers to an English PGCE placement.</w:t>
      </w:r>
    </w:p>
    <w:p>
      <w:pPr>
        <w:spacing w:after="160" w:line="276" w:lineRule="auto"/>
      </w:pPr>
      <w:r>
        <w:rPr>
          <w:rFonts w:ascii="Calibri" w:hAnsi="Calibri"/>
          <w:sz w:val="22"/>
        </w:rPr>
        <w:t>Chapter 4 — Martin Hughes and Pamela Greenhough: learning from homework, a case study (University of Bristol). Small-scale, qualitative, useful as a model of what a modest investigation can warrant — and what it cannot.</w:t>
      </w:r>
    </w:p>
    <w:p>
      <w:pPr>
        <w:spacing w:after="160" w:line="276" w:lineRule="auto"/>
      </w:pPr>
      <w:r>
        <w:rPr>
          <w:rFonts w:ascii="Calibri" w:hAnsi="Calibri"/>
          <w:sz w:val="22"/>
        </w:rPr>
        <w:t>Chapter 5 — Gary Fenstermacher and Virginia Richardson: an inquiry into the moral dimensions of teaching (University of Michigan). Raises values and assumptions that a ‘what works’ cognitive-science sequence can skip. Hansen (1993), Green (1999), Sanger (2001) and Chow-Hoy (2001) belong to this moral-philosophical neighbourhood in the volume’s references; Cole (1985) and Cazden (1985) appear in related pedagogical discussion.</w:t>
      </w:r>
    </w:p>
    <w:p>
      <w:pPr>
        <w:spacing w:after="160" w:line="276" w:lineRule="auto"/>
      </w:pPr>
      <w:r>
        <w:rPr>
          <w:rFonts w:ascii="Calibri" w:hAnsi="Calibri"/>
          <w:sz w:val="22"/>
        </w:rPr>
        <w:t>Chapter 6 — Harry Torrance and John Pryor: investigating formative classroom assessment. Directly relevant to Black and Wiliam (1998) and Wiliam (2018) on your generic list. Stiggins (1991) is among assessment references. Critique: what does this study warrant for Computing exit tickets?</w:t>
      </w:r>
    </w:p>
    <w:p>
      <w:pPr>
        <w:spacing w:after="160" w:line="276" w:lineRule="auto"/>
      </w:pPr>
      <w:r>
        <w:rPr>
          <w:rFonts w:ascii="Calibri" w:hAnsi="Calibri"/>
          <w:sz w:val="22"/>
        </w:rPr>
        <w:t>Chapter 7 — Diane Reay and Madeleine Arnot: participation and control in learning as a pedagogic democratic right? Sociological, political, and about whose voice counts. Useful when the assignment asks about representation, equity and cultural capital, not only SEND labels. Wertsch (1991), Rogoff (1990), and Pollard and Filer (1996) appear in the sociocultural/participation literature around this theme.</w:t>
      </w:r>
    </w:p>
    <w:p>
      <w:pPr>
        <w:spacing w:after="160" w:line="276" w:lineRule="auto"/>
      </w:pPr>
      <w:r>
        <w:rPr>
          <w:rFonts w:ascii="Calibri" w:hAnsi="Calibri"/>
          <w:sz w:val="22"/>
        </w:rPr>
        <w:t>Chapter 8 — Louise Poulson and Elias Avramidis: primary teachers’ theoretical beliefs about literacy, an exploratory study. Pajares (1992) on teachers’ beliefs, Duffy and Anderson (1984), and related work on how beliefs shape practice. For Computing, the analogue is teachers’ beliefs about programming (discovery versus explicit instruction; PRIMM versus ‘just let them code’).</w:t>
      </w:r>
    </w:p>
    <w:p>
      <w:pPr>
        <w:pStyle w:val="Heading2"/>
      </w:pPr>
      <w:r>
        <w:rPr>
          <w:rFonts w:ascii="Calibri" w:hAnsi="Calibri"/>
          <w:color w:val="1F3A5F"/>
          <w:sz w:val="26"/>
        </w:rPr>
        <w:t>Part 3: reporting a literature review</w:t>
      </w:r>
    </w:p>
    <w:p>
      <w:pPr>
        <w:spacing w:after="160" w:line="276" w:lineRule="auto"/>
      </w:pPr>
      <w:r>
        <w:rPr>
          <w:rFonts w:ascii="Calibri" w:hAnsi="Calibri"/>
          <w:sz w:val="22"/>
        </w:rPr>
        <w:t>Chapter 9 — Elias Avramidis and Brahm Norwich: promoting inclusive education, a review of literature on teachers’ attitudes towards integration and inclusion. This is the model of a critical literature review in the field, not a research report. It draws on a large attitude literature: Clough and Lindsay (1991); Forlin (1995); Center and Ward (1987); Janney et al. (1995); Scruggs and Mastropieri (1996); Salvia and Munson (1986); Leyser et al. (1994); Weiner (1984); Ford (1985). For SIT4200 Section 4, this chapter is the nearest education-specific demonstration of how to review inclusion research without reducing it to ‘SEND pupils need strategy Y’. Florian and Black-Hawkins (2011) on your 2022 reading list is later than this 2004 review; a Level 7 move is to put Avramidis and Norwich (2004) next to Florian and Black-Hawkins (2011) and the EEF (2020) SEND guidance and ask what changed.</w:t>
      </w:r>
    </w:p>
    <w:p>
      <w:pPr>
        <w:pStyle w:val="Heading2"/>
      </w:pPr>
      <w:r>
        <w:rPr>
          <w:rFonts w:ascii="Calibri" w:hAnsi="Calibri"/>
          <w:color w:val="1F3A5F"/>
          <w:sz w:val="26"/>
        </w:rPr>
        <w:t>Appendices</w:t>
      </w:r>
    </w:p>
    <w:p>
      <w:pPr>
        <w:spacing w:after="160" w:line="276" w:lineRule="auto"/>
      </w:pPr>
      <w:r>
        <w:rPr>
          <w:rFonts w:ascii="Calibri" w:hAnsi="Calibri"/>
          <w:sz w:val="22"/>
        </w:rPr>
        <w:t>Appendix 1: useful sources of guidance. Appendix 2: blank form for the critical analysis of a text (the ancestor of Wallace and Wray’s Appendix 3). Author index and general index follow.</w:t>
      </w:r>
    </w:p>
    <w:p>
      <w:pPr>
        <w:spacing w:after="160" w:line="276" w:lineRule="auto"/>
      </w:pPr>
      <w:r>
        <w:rPr>
          <w:rFonts w:ascii="Calibri" w:hAnsi="Calibri"/>
          <w:sz w:val="22"/>
        </w:rPr>
        <w:t>How to read the reports critically (the book’s own method) For each Part 2 chapter, ask: What is the intellectual project (understanding, critique, action)? What is the conclusion and what warrants it? What sample, country, and date limit transfer to an English secondary Computing class in 2026–27? Which tools for thinking (for example ‘formative assessment’, ‘inclusion’, ‘beliefs’) are defined, and which are left implicit? What would a Computing sequence be wrong to copy uncritically?</w:t>
      </w:r>
    </w:p>
    <w:p>
      <w:pPr>
        <w:pStyle w:val="Heading2"/>
      </w:pPr>
      <w:r>
        <w:rPr>
          <w:rFonts w:ascii="Calibri" w:hAnsi="Calibri"/>
          <w:color w:val="1F3A5F"/>
          <w:sz w:val="26"/>
        </w:rPr>
        <w:t>Implications for SIT4200</w:t>
      </w:r>
    </w:p>
    <w:p>
      <w:pPr>
        <w:spacing w:after="160" w:line="276" w:lineRule="auto"/>
      </w:pPr>
      <w:r>
        <w:rPr>
          <w:rFonts w:ascii="Calibri" w:hAnsi="Calibri"/>
          <w:sz w:val="22"/>
        </w:rPr>
        <w:t>The reading list marks this book recommended, not essential, because it is education-specific practice in the Wallace method. You do not need to cite Borko’s professional-development study unless it earns a place. You should use the blank analysis form on one Computing pedagogy paper (for example Sentance and Waite on PRIMM, or Rosenshine, 2012) so that Section 1 is a critical review, not a theory parade. Chapter 9 is the strongest bridge to your inclusion section: attitudes to inclusion are not the same as inclusive pedagogy, and Avramidis and Norwich’s review lets you say so with warrant.</w:t>
      </w:r>
    </w:p>
    <w:p>
      <w:pPr>
        <w:pStyle w:val="Heading2"/>
      </w:pPr>
      <w:r>
        <w:rPr>
          <w:rFonts w:ascii="Calibri" w:hAnsi="Calibri"/>
          <w:color w:val="1F3A5F"/>
          <w:sz w:val="26"/>
        </w:rPr>
        <w:t>Citations found in the 2004 PDF (selected)</w:t>
      </w:r>
    </w:p>
    <w:p>
      <w:pPr>
        <w:spacing w:after="160" w:line="276" w:lineRule="auto"/>
      </w:pPr>
      <w:r>
        <w:rPr>
          <w:rFonts w:ascii="Calibri" w:hAnsi="Calibri"/>
          <w:sz w:val="22"/>
        </w:rPr>
        <w:t>Anderson (1989); Bolam (1999); Burns (1991); Cazden (1985); Center and Ward (1987); Chow-Hoy (2001); Clough and Lindsay (1991); Cole (1985); Duffy and Anderson (1984); Firestone and Louis (1999); Ford (1985); Forlin (1995); Gorard (2001); Green (1999); Hansen (1993); Janney et al. (1995); Leyser et al. (1994); March and Olsen (1976); Miles and Huberman (1994); Pajares (1992); Pollard and Filer (1996); Richardson (1992); Rogoff (1990); Salvia and Munson (1986); Sanger (2001); Scruggs and Mastropieri (1996); Stiggins (1991); Weiner (1984); Wertsch (1991).</w:t>
      </w:r>
    </w:p>
    <w:p>
      <w:pPr>
        <w:spacing w:after="160" w:line="276" w:lineRule="auto"/>
      </w:pPr>
      <w:r>
        <w:rPr>
          <w:rFonts w:ascii="Calibri" w:hAnsi="Calibri"/>
          <w:sz w:val="22"/>
        </w:rPr>
        <w:t>Working a critical analysis of one report (how the book wants you to practise) Take Torrance and Pryor (Chapter 6) as an example of the method you should apply to Computing sources. First, identify the conclusion: formative classroom assessment is a socially situated practice, not only a set of techniques. Second, identify the warrant: empirical investigation of classroom assessment interactions, not a large randomised trial. Third, name the tools for thinking: ‘formative assessment’ as a concept; possibly a sociocultural perspective on classroom talk. Fourth, ask about the intellectual project: knowledge-for-understanding of classroom assessment, with implications for knowledge-for-action. Fifth, test transfer: a study of (typically primary or mixed) classrooms in a particular national policy moment does not automatically warrant a Year 8 Python lesson’s exit ticket. Sixth, write a position: you will use low-stakes checks (Wiliam, 2018, on your generic list) but you will not claim Torrance and Pryor ‘proved’ that method for Computing. That paragraph is a critical review. A paragraph that only says ‘Torrance and Pryor investigated formative assessment’ is a synopsis, and at Level 7 it is not enough.</w:t>
      </w:r>
    </w:p>
    <w:p>
      <w:pPr>
        <w:spacing w:after="160" w:line="276" w:lineRule="auto"/>
      </w:pPr>
      <w:r>
        <w:rPr>
          <w:rFonts w:ascii="Calibri" w:hAnsi="Calibri"/>
          <w:sz w:val="22"/>
        </w:rPr>
        <w:t>The inclusion review as a synthesis model Avramidis and Norwich do what Ridley demands: they organise by themes in the attitude literature (what teachers believe about integration/inclusion; what variables — for example experience, training, type of need — correlate with those attitudes; what limitations the survey tradition has) rather than by ‘Author A, then Author B’. They draw on Clough and Lindsay (1991), Forlin (1995), Center and Ward (1987), Janney et al. (1995), Scruggs and Mastropieri (1996), Salvia and Munson (1986), Leyser et al. (1994) and others to show patterns and disagreements. For SIT4200 you should not dump this 2004 review into Section 4 as if it were current statutory guidance. You should use it to say that ‘teacher attitude’ research is not the same object as Florian and Black-Hawkins’s (2011) inclusive pedagogy, and that your adaptations will start from the demands of this Computing sequence (PRIMM steps, vocabulary load, public debugging) rather than from a generic attitude to SEND.</w:t>
      </w:r>
    </w:p>
    <w:p>
      <w:pPr>
        <w:spacing w:after="160" w:line="276" w:lineRule="auto"/>
      </w:pPr>
      <w:r>
        <w:rPr>
          <w:rFonts w:ascii="Calibri" w:hAnsi="Calibri"/>
          <w:sz w:val="22"/>
        </w:rPr>
        <w:t>Homework, morals, and beliefs — what to steal and what to leave Hughes and Greenhough’s homework case study models modest, well-bounded claims: a case can warrant a rich interpretation of one setting; it cannot warrant a national policy. Fenstermacher and Richardson force a question the cognitive-science cluster on your list can skip: teaching is a moral practice, not only a memory problem. Reay and Arnot force a political question: participation and control in learning as a right, which connects to the assignment’s language of representation, equity and cultural capital. Poulson and Avramidis on literacy beliefs model how to research teachers’ theories-in-use — useful when you critique your own default (for example ‘pupils should discover loops by tinkering’) against evidence. Borko’s professional-development study models instructional and assessment change at scale in a US district: high interest, low direct transfer. In each case the 2004 book’s value is the practice of critique, not a bank of Computing facts.</w:t>
      </w:r>
    </w:p>
    <w:p>
      <w:r>
        <w:br w:type="page"/>
      </w:r>
    </w:p>
    <w:p>
      <w:pPr>
        <w:pStyle w:val="Heading1"/>
      </w:pPr>
      <w:r>
        <w:rPr>
          <w:rFonts w:ascii="Calibri" w:hAnsi="Calibri"/>
          <w:color w:val="1F3A5F"/>
        </w:rPr>
        <w:t>4. Fisher — Critical Thinking: An Introduction</w:t>
      </w:r>
    </w:p>
    <w:p>
      <w:r>
        <w:rPr>
          <w:rFonts w:ascii="Calibri" w:hAnsi="Calibri"/>
          <w:i/>
          <w:color w:val="555555"/>
          <w:sz w:val="20"/>
        </w:rPr>
        <w:t>Summary length: 1591 words.</w:t>
      </w:r>
    </w:p>
    <w:p>
      <w:r>
        <w:rPr>
          <w:rFonts w:ascii="Calibri" w:hAnsi="Calibri"/>
          <w:b/>
          <w:sz w:val="22"/>
        </w:rPr>
        <w:t>Reading-list citation:</w:t>
      </w:r>
      <w:r>
        <w:rPr>
          <w:rFonts w:ascii="Calibri" w:hAnsi="Calibri"/>
          <w:sz w:val="22"/>
        </w:rPr>
        <w:t xml:space="preserve"> Fisher, A. (2011) Critical Thinking: An Introduction. 2nd edn. Cambridge: Cambridge University Press. [Recommended]</w:t>
      </w:r>
    </w:p>
    <w:p>
      <w:r>
        <w:rPr>
          <w:rFonts w:ascii="Calibri" w:hAnsi="Calibri"/>
          <w:b/>
          <w:sz w:val="22"/>
        </w:rPr>
        <w:t>PDF actually read:</w:t>
      </w:r>
      <w:r>
        <w:rPr>
          <w:rFonts w:ascii="Calibri" w:hAnsi="Calibri"/>
          <w:sz w:val="22"/>
        </w:rPr>
        <w:t xml:space="preserve"> Fisher, A. (2011) Critical Thinking: An Introduction. 2nd edn. Cambridge: Cambridge University Press. ISBN 978-1-107-40198-3. First published 2001. This is the matching edition. The supplied scan is split across two PDFs (pages 1–159 and 160–308).</w:t>
      </w:r>
    </w:p>
    <w:p>
      <w:pPr>
        <w:pStyle w:val="Heading2"/>
      </w:pPr>
      <w:r>
        <w:rPr>
          <w:rFonts w:ascii="Calibri" w:hAnsi="Calibri"/>
          <w:color w:val="1F3A5F"/>
          <w:sz w:val="26"/>
        </w:rPr>
        <w:t>Purpose</w:t>
      </w:r>
    </w:p>
    <w:p>
      <w:pPr>
        <w:spacing w:after="160" w:line="276" w:lineRule="auto"/>
      </w:pPr>
      <w:r>
        <w:rPr>
          <w:rFonts w:ascii="Calibri" w:hAnsi="Calibri"/>
          <w:sz w:val="22"/>
        </w:rPr>
        <w:t>Fisher’s aim is to teach critical thinking skills — interpreting, analysing and evaluating ideas and arguments — explicitly and so that they transfer to other studies and to everyday life. He treats critical thinking as a basic competency akin to reading and writing. The book is used in North American colleges, in UK OCR and AQA Critical Thinking qualifications, and for the International Baccalaureate. It contains many topical passages and over 220 questions, with answers to more than three-quarters, plus ‘thinking maps’ (questions to ask yourself when thinking skilfully). Students are encouraged to keep a critical-thinking notebook. The second edition adds Chapter 12 on the internet and replaces more than two-thirds of the Questions appendix. Fisher designed the OCR AS Critical Thinking examination and was its chief examiner. He acknowledges Robert Ennis (assumptions and causal explanation), Robert Swartz (thinking maps and decision-making) and Michael Scriven (clarification and argument evaluation). Facione (2010) appears among later references; Fisher and Scriven (1997) among his own.</w:t>
      </w:r>
    </w:p>
    <w:p>
      <w:pPr>
        <w:pStyle w:val="Heading2"/>
      </w:pPr>
      <w:r>
        <w:rPr>
          <w:rFonts w:ascii="Calibri" w:hAnsi="Calibri"/>
          <w:color w:val="1F3A5F"/>
          <w:sz w:val="26"/>
        </w:rPr>
        <w:t>Chapter 1: what critical thinking is</w:t>
      </w:r>
    </w:p>
    <w:p>
      <w:pPr>
        <w:spacing w:after="160" w:line="276" w:lineRule="auto"/>
      </w:pPr>
      <w:r>
        <w:rPr>
          <w:rFonts w:ascii="Calibri" w:hAnsi="Calibri"/>
          <w:sz w:val="22"/>
        </w:rPr>
        <w:t>Fashionable ‘thinking skills’ teaching often fails because students do not pick up skills implicitly. Fisher therefore teaches them directly. He asks readers to write their own definition first, then compares classic definitions.</w:t>
      </w:r>
    </w:p>
    <w:p>
      <w:pPr>
        <w:spacing w:after="160" w:line="276" w:lineRule="auto"/>
      </w:pPr>
      <w:r>
        <w:rPr>
          <w:rFonts w:ascii="Calibri" w:hAnsi="Calibri"/>
          <w:sz w:val="22"/>
        </w:rPr>
        <w:t>John Dewey (1909, p. 9), the ‘father’ of the modern tradition, called it reflective thinking: ‘Active, persistent, and careful consideration of a belief or supposed form of knowledge in the light of the grounds which support it and the further conclusions to which it tends.’ Active contrasts with passive reception; persistent and careful contrast with snap judgement; grounds and further conclusions are reasons and implications.</w:t>
      </w:r>
    </w:p>
    <w:p>
      <w:pPr>
        <w:spacing w:after="160" w:line="276" w:lineRule="auto"/>
      </w:pPr>
      <w:r>
        <w:rPr>
          <w:rFonts w:ascii="Calibri" w:hAnsi="Calibri"/>
          <w:sz w:val="22"/>
        </w:rPr>
        <w:t>Edward Glaser (1941, p. 5), co-author of the Watson–Glaser Critical Thinking Appraisal, added: (1) a disposition to consider problems thoughtfully; (2) knowledge of methods of logical enquiry and reasoning; (3) skill in applying those methods. Skills without the disposition are not critical thinking.</w:t>
      </w:r>
    </w:p>
    <w:p>
      <w:pPr>
        <w:spacing w:after="160" w:line="276" w:lineRule="auto"/>
      </w:pPr>
      <w:r>
        <w:rPr>
          <w:rFonts w:ascii="Calibri" w:hAnsi="Calibri"/>
          <w:sz w:val="22"/>
        </w:rPr>
        <w:t>Robert Ennis’s widely used definition (cf. Norris and Ennis, 1989): ‘Critical thinking is reasonable, reflective thinking that is focused on deciding what to believe or do.’ Decision-making is explicitly included.</w:t>
      </w:r>
    </w:p>
    <w:p>
      <w:pPr>
        <w:spacing w:after="160" w:line="276" w:lineRule="auto"/>
      </w:pPr>
      <w:r>
        <w:rPr>
          <w:rFonts w:ascii="Calibri" w:hAnsi="Calibri"/>
          <w:sz w:val="22"/>
        </w:rPr>
        <w:t>Richard Paul (Paul, Fisher and Nosich, 1993, p. 4): critical thinking is that mode of thinking — about any subject — in which the thinker improves the quality of thinking by taking charge of the structures inherent in thinking and imposing intellectual standards upon them. The route to improvement is thinking about your thinking (metacognition).</w:t>
      </w:r>
    </w:p>
    <w:p>
      <w:pPr>
        <w:spacing w:after="160" w:line="276" w:lineRule="auto"/>
      </w:pPr>
      <w:r>
        <w:rPr>
          <w:rFonts w:ascii="Calibri" w:hAnsi="Calibri"/>
          <w:sz w:val="22"/>
        </w:rPr>
        <w:t>Fisher also discusses critico-creative thinking: evaluation is not only negative. Barriers, attitudes and knowledge are distinguished from skills. Socrates’ ‘examined life’ is the ethical horizon.</w:t>
      </w:r>
    </w:p>
    <w:p>
      <w:pPr>
        <w:pStyle w:val="Heading2"/>
      </w:pPr>
      <w:r>
        <w:rPr>
          <w:rFonts w:ascii="Calibri" w:hAnsi="Calibri"/>
          <w:color w:val="1F3A5F"/>
          <w:sz w:val="26"/>
        </w:rPr>
        <w:t>Chapters 2–4: the language and patterns of reasoning</w:t>
      </w:r>
    </w:p>
    <w:p>
      <w:pPr>
        <w:spacing w:after="160" w:line="276" w:lineRule="auto"/>
      </w:pPr>
      <w:r>
        <w:rPr>
          <w:rFonts w:ascii="Calibri" w:hAnsi="Calibri"/>
          <w:sz w:val="22"/>
        </w:rPr>
        <w:t>Chapter 2 identifies reasons and conclusions: argument-indicator words, the author’s position, and the difference between a passage that argues and one that does not. Chapter 3 maps patterns of reasoning (including joint versus independent reasons, which Cottrell also drills). Chapter 4 treats assumptions, context, and a thinking map: what is being assumed, what else must be true for the argument to work, and how context changes interpretation. Ennis’s work on assumptions is the acknowledged source.</w:t>
      </w:r>
    </w:p>
    <w:p>
      <w:pPr>
        <w:pStyle w:val="Heading2"/>
      </w:pPr>
      <w:r>
        <w:rPr>
          <w:rFonts w:ascii="Calibri" w:hAnsi="Calibri"/>
          <w:color w:val="1F3A5F"/>
          <w:sz w:val="26"/>
        </w:rPr>
        <w:t>Chapter 5: clarifying and interpreting</w:t>
      </w:r>
    </w:p>
    <w:p>
      <w:pPr>
        <w:spacing w:after="160" w:line="276" w:lineRule="auto"/>
      </w:pPr>
      <w:r>
        <w:rPr>
          <w:rFonts w:ascii="Calibri" w:hAnsi="Calibri"/>
          <w:sz w:val="22"/>
        </w:rPr>
        <w:t>Following Scriven, Fisher treats unclear terms as a source of bad argument. Stipulative clarification, ambiguity, and interpreting ideas in context are practised. This is the same problem Wallace and Wray flag with undefined concepts such as ‘education’ or, in your assignment, ‘inclusion’ and ‘computational thinking’.</w:t>
      </w:r>
    </w:p>
    <w:p>
      <w:pPr>
        <w:pStyle w:val="Heading2"/>
      </w:pPr>
      <w:r>
        <w:rPr>
          <w:rFonts w:ascii="Calibri" w:hAnsi="Calibri"/>
          <w:color w:val="1F3A5F"/>
          <w:sz w:val="26"/>
        </w:rPr>
        <w:t>Chapters 6–7: acceptability of reasons and credibility of sources</w:t>
      </w:r>
    </w:p>
    <w:p>
      <w:pPr>
        <w:spacing w:after="160" w:line="276" w:lineRule="auto"/>
      </w:pPr>
      <w:r>
        <w:rPr>
          <w:rFonts w:ascii="Calibri" w:hAnsi="Calibri"/>
          <w:sz w:val="22"/>
        </w:rPr>
        <w:t>Not every reason is acceptable. Credibility of sources is a skill: expertise, vested interest, reputation, ability to observe, and so on. Chapter 7 develops skilful judgement of sources — the ancestor of your internet and ‘is this EEF report transferable?’ questions.</w:t>
      </w:r>
    </w:p>
    <w:p>
      <w:pPr>
        <w:pStyle w:val="Heading2"/>
      </w:pPr>
      <w:r>
        <w:rPr>
          <w:rFonts w:ascii="Calibri" w:hAnsi="Calibri"/>
          <w:color w:val="1F3A5F"/>
          <w:sz w:val="26"/>
        </w:rPr>
        <w:t>Chapters 8–9: evaluating inferences</w:t>
      </w:r>
    </w:p>
    <w:p>
      <w:pPr>
        <w:spacing w:after="160" w:line="276" w:lineRule="auto"/>
      </w:pPr>
      <w:r>
        <w:rPr>
          <w:rFonts w:ascii="Calibri" w:hAnsi="Calibri"/>
          <w:sz w:val="22"/>
        </w:rPr>
        <w:t>Chapter 8 covers deductive validity and other grounds for inference (not everything is a syllogism; much everyday and professional reasoning is not deductively closed). Chapter 9 evaluates inferences that depend on assumptions and on other relevant arguments: an argument can fail because a hidden premise is false, or because a stronger counter-argument exists. ‘Beyond reasonable doubt’ appears in legal-style examples in the answers section.</w:t>
      </w:r>
    </w:p>
    <w:p>
      <w:pPr>
        <w:pStyle w:val="Heading2"/>
      </w:pPr>
      <w:r>
        <w:rPr>
          <w:rFonts w:ascii="Calibri" w:hAnsi="Calibri"/>
          <w:color w:val="1F3A5F"/>
          <w:sz w:val="26"/>
        </w:rPr>
        <w:t>Chapter 10: causal explanations</w:t>
      </w:r>
    </w:p>
    <w:p>
      <w:pPr>
        <w:spacing w:after="160" w:line="276" w:lineRule="auto"/>
      </w:pPr>
      <w:r>
        <w:rPr>
          <w:rFonts w:ascii="Calibri" w:hAnsi="Calibri"/>
          <w:sz w:val="22"/>
        </w:rPr>
        <w:t>Much reasoning is causal. Sometimes we see the cause; usually we must work it out. Fisher’s pattern, using a pathologist and a Napoleon-arsenic example: given what you want to explain, what are possible explanations, and what evidence would support or rebut each? Then, given the evidence, which explanation is most likely, fits best with what else we know, and with what confidence? Question 10.1 on magnetite and bird navigation asks for alternative explanations. Correlations are not causes. This chapter matters for Computing: ‘dual coding caused higher scores’ is a causal claim that needs more than co-occurrence.</w:t>
      </w:r>
    </w:p>
    <w:p>
      <w:pPr>
        <w:pStyle w:val="Heading2"/>
      </w:pPr>
      <w:r>
        <w:rPr>
          <w:rFonts w:ascii="Calibri" w:hAnsi="Calibri"/>
          <w:color w:val="1F3A5F"/>
          <w:sz w:val="26"/>
        </w:rPr>
        <w:t>Chapter 11: decision-making</w:t>
      </w:r>
    </w:p>
    <w:p>
      <w:pPr>
        <w:spacing w:after="160" w:line="276" w:lineRule="auto"/>
      </w:pPr>
      <w:r>
        <w:rPr>
          <w:rFonts w:ascii="Calibri" w:hAnsi="Calibri"/>
          <w:sz w:val="22"/>
        </w:rPr>
        <w:t>Following Swartz, Fisher treats options, consequences, values and risks. University choice, lottery odds, and policy examples (including drug-classification statistics in one passage) show that a decision is not an argument about what is true; it is a choice under values and uncertainty. Your lesson-sequence decisions are of this type: you choose a pedagogy under incomplete class data.</w:t>
      </w:r>
    </w:p>
    <w:p>
      <w:pPr>
        <w:pStyle w:val="Heading2"/>
      </w:pPr>
      <w:r>
        <w:rPr>
          <w:rFonts w:ascii="Calibri" w:hAnsi="Calibri"/>
          <w:color w:val="1F3A5F"/>
          <w:sz w:val="26"/>
        </w:rPr>
        <w:t>Chapter 12: the internet</w:t>
      </w:r>
    </w:p>
    <w:p>
      <w:pPr>
        <w:spacing w:after="160" w:line="276" w:lineRule="auto"/>
      </w:pPr>
      <w:r>
        <w:rPr>
          <w:rFonts w:ascii="Calibri" w:hAnsi="Calibri"/>
          <w:sz w:val="22"/>
        </w:rPr>
        <w:t>New in the second edition, and written with advice from Steve Scalet. URLs give clues (.ac.uk, .gov, commercial). Snippets, time limits, Wikipedia’s own advice to check cited material, Google Scholar (including a Facione search exercise), and topics such as whale hunting, ice caps, the ‘war on terror’ and obesity are used as practice. The chapter exists because so much ‘information’ is unreliable. For SIT4200: an NCCE blog is not the same warrant as a peer-reviewed paper.</w:t>
      </w:r>
    </w:p>
    <w:p>
      <w:pPr>
        <w:spacing w:after="160" w:line="276" w:lineRule="auto"/>
      </w:pPr>
      <w:r>
        <w:rPr>
          <w:rFonts w:ascii="Calibri" w:hAnsi="Calibri"/>
          <w:sz w:val="22"/>
        </w:rPr>
        <w:t>Questions appendix, answers, glossary The second half of the book is largely exercises and answers (arguments about women and brains, climate models, TV violence, tobacco-industry science, alien abduction, and many others). The glossary defines terms such as argument, assumption, conclusion, credibility, validity. The bibliography includes Morton (1988) on making arguments explicit.</w:t>
      </w:r>
    </w:p>
    <w:p>
      <w:pPr>
        <w:pStyle w:val="Heading2"/>
      </w:pPr>
      <w:r>
        <w:rPr>
          <w:rFonts w:ascii="Calibri" w:hAnsi="Calibri"/>
          <w:color w:val="1F3A5F"/>
          <w:sz w:val="26"/>
        </w:rPr>
        <w:t>Implications for SIT4200</w:t>
      </w:r>
    </w:p>
    <w:p>
      <w:pPr>
        <w:spacing w:after="160" w:line="276" w:lineRule="auto"/>
      </w:pPr>
      <w:r>
        <w:rPr>
          <w:rFonts w:ascii="Calibri" w:hAnsi="Calibri"/>
          <w:sz w:val="22"/>
        </w:rPr>
        <w:t>Fisher is recommended, not essential, because he trains the micro-skills inside each paragraph: Is this an argument or a description? What is assumed? Is the source credible? Is the inference causal or correlative? The launch’s weak extract (‘Bruner said… it helps students remember more’) fails Fisher’s tests: unclear causal link, no alternative explanation, no source credibility work. Use a thinking map on one Computing claim (for example ‘PRIMM reduces cognitive load’) before you write it.</w:t>
      </w:r>
    </w:p>
    <w:p>
      <w:pPr>
        <w:pStyle w:val="Heading2"/>
      </w:pPr>
      <w:r>
        <w:rPr>
          <w:rFonts w:ascii="Calibri" w:hAnsi="Calibri"/>
          <w:color w:val="1F3A5F"/>
          <w:sz w:val="26"/>
        </w:rPr>
        <w:t>Citations found in the 2011 PDFs (selected)</w:t>
      </w:r>
    </w:p>
    <w:p>
      <w:pPr>
        <w:spacing w:after="160" w:line="276" w:lineRule="auto"/>
      </w:pPr>
      <w:r>
        <w:rPr>
          <w:rFonts w:ascii="Calibri" w:hAnsi="Calibri"/>
          <w:sz w:val="22"/>
        </w:rPr>
        <w:t>Costa et al. (2010); Dewey (1909); Ennis (via Norris and Ennis, 1989); Facione (2010); Fisher and Scriven (1997); Glaser (1941); Morton (1988); Passmore (2009); Paul, Fisher and Nosich (1993); Scriven (acknowledged throughout); Swartz (acknowledged for thinking maps and decision-making).</w:t>
      </w:r>
    </w:p>
    <w:p>
      <w:pPr>
        <w:pStyle w:val="Heading2"/>
      </w:pPr>
      <w:r>
        <w:rPr>
          <w:rFonts w:ascii="Calibri" w:hAnsi="Calibri"/>
          <w:color w:val="1F3A5F"/>
          <w:sz w:val="26"/>
        </w:rPr>
        <w:t>Thinking maps as a practical method</w:t>
      </w:r>
    </w:p>
    <w:p>
      <w:pPr>
        <w:spacing w:after="160" w:line="276" w:lineRule="auto"/>
      </w:pPr>
      <w:r>
        <w:rPr>
          <w:rFonts w:ascii="Calibri" w:hAnsi="Calibri"/>
          <w:sz w:val="22"/>
        </w:rPr>
        <w:t>Fisher’s thinking maps are lists of questions, not diagrams to photocopy into a lesson. A map for evaluating an argument asks, in substance: What is the conclusion? What are the reasons? What is assumed? Are the reasons acceptable (true, credible, relevant)? Does the conclusion follow? What else should have been considered? A map for causal explanation asks for alternative hypotheses and discriminating evidence (the pathologist; the migrating birds). A map for decision-making asks for options, likely consequences, values, and risks — including the risk of a popular pedagogy that does not fit this class. Apply one map to one Computing claim before you write. Example: ‘I will use pair programming because Vygotsky says learning is social.’ Conclusion: pair programming should be used. Reasons: Vygotsky on social learning. Assumptions: that any pairing is the kind of social process Vygotsky described; that pairing does not raise cognitive load for novices; that this class can pair without excluding anxious pupils (Ruby Fletcher in 10X). Credibility: Vygotsky (1978) is seminal but not a Computing trial. Inference: does the conclusion follow, or is structured talk after a model (Alexander; Rosenshine) a better inference? Decision: pair only after a worked example, with roles, not as first instruction. That is Fisher’s map written as the PGCE chain.</w:t>
      </w:r>
    </w:p>
    <w:p>
      <w:pPr>
        <w:spacing w:after="160" w:line="276" w:lineRule="auto"/>
      </w:pPr>
      <w:r>
        <w:rPr>
          <w:rFonts w:ascii="Calibri" w:hAnsi="Calibri"/>
          <w:sz w:val="22"/>
        </w:rPr>
        <w:t>Credibility, the internet, and ‘forefront’ Chapter 7’s credibility criteria (expertise, vested interest, reputation, opportunity to observe) should be used on every source in Section 1. An NCCE pedagogy guide has practitioner authority and possible advocacy interest. An EEF evidence review has a systematic warrant but may average across subjects. Rosenshine (2012) in American Educator is research-informed but not a Computing RCT. Papert’s constructionism has historical and philosophical weight and a weak warrant for mixed-attainment GCSE classes with short lesson sequences. Chapter 12 then asks you to read the URL, the date, and the genre. Wikipedia is a starting index, not a warrant (Fisher notes Wikipedia’s own advice to check original authors and publishers). Google Scholar’s advanced search (Fisher sets a Facione exercise) is how you find whether a claim is at the ‘forefront’ the QAA descriptor requires.</w:t>
      </w:r>
    </w:p>
    <w:p>
      <w:pPr>
        <w:spacing w:after="160" w:line="276" w:lineRule="auto"/>
      </w:pPr>
      <w:r>
        <w:rPr>
          <w:rFonts w:ascii="Calibri" w:hAnsi="Calibri"/>
          <w:sz w:val="22"/>
        </w:rPr>
        <w:t>From exercises to assignment paragraphs The Questions appendix (passages on climate models, TV violence, tobacco science, placebos, political speeches) trains the same moves on unfamiliar content so that you do not need Computing knowledge to practise the skill. Then you transfer. Cottrell’s essay-evaluation chapter and Williams’s stairway sit on top of Fisher’s micro-skills. If you only read Fisher you may write technically correct analyses that never become a lesson decision; the PGCE brief requires the last two steps (decision, impact). Fisher gets you to a defensible inference; Wallace and Wray and the assignment launch get you to a sequence.</w:t>
      </w:r>
    </w:p>
    <w:p>
      <w:r>
        <w:br w:type="page"/>
      </w:r>
    </w:p>
    <w:p>
      <w:pPr>
        <w:pStyle w:val="Heading1"/>
      </w:pPr>
      <w:r>
        <w:rPr>
          <w:rFonts w:ascii="Calibri" w:hAnsi="Calibri"/>
          <w:color w:val="1F3A5F"/>
        </w:rPr>
        <w:t>5. Cottrell — Critical Thinking Skills</w:t>
      </w:r>
    </w:p>
    <w:p>
      <w:r>
        <w:rPr>
          <w:rFonts w:ascii="Calibri" w:hAnsi="Calibri"/>
          <w:i/>
          <w:color w:val="555555"/>
          <w:sz w:val="20"/>
        </w:rPr>
        <w:t>Summary length: 1590 words.</w:t>
      </w:r>
    </w:p>
    <w:p>
      <w:r>
        <w:rPr>
          <w:rFonts w:ascii="Calibri" w:hAnsi="Calibri"/>
          <w:b/>
          <w:sz w:val="22"/>
        </w:rPr>
        <w:t>Reading-list citation:</w:t>
      </w:r>
      <w:r>
        <w:rPr>
          <w:rFonts w:ascii="Calibri" w:hAnsi="Calibri"/>
          <w:sz w:val="22"/>
        </w:rPr>
        <w:t xml:space="preserve"> Cottrell, S. (2023) Critical Thinking Skills: Effective Analysis, Argument and Reflection. 4th edn. London: Bloomsbury / Red Globe. [Recommended]</w:t>
      </w:r>
    </w:p>
    <w:p>
      <w:r>
        <w:rPr>
          <w:rFonts w:ascii="Calibri" w:hAnsi="Calibri"/>
          <w:b/>
          <w:sz w:val="22"/>
        </w:rPr>
        <w:t>PDF actually read:</w:t>
      </w:r>
      <w:r>
        <w:rPr>
          <w:rFonts w:ascii="Calibri" w:hAnsi="Calibri"/>
          <w:sz w:val="22"/>
        </w:rPr>
        <w:t xml:space="preserve"> Cottrell, S. (2017) Critical Thinking Skills: Effective analysis, argument and reflection. 3rd edn. London: Red Globe Press / Macmillan International. ISBN 978-1-137-55050-7. Text © Stella Cottrell 2005, 2011, 2017. First published 2005; second edition 2011. This summary follows the 2017 third edition (the scan is split into pages 1–110, 111–220 and 221–332). Do not cite 2023 for page-level claims from 2017.</w:t>
      </w:r>
    </w:p>
    <w:p>
      <w:pPr>
        <w:pStyle w:val="Heading2"/>
      </w:pPr>
      <w:r>
        <w:rPr>
          <w:rFonts w:ascii="Calibri" w:hAnsi="Calibri"/>
          <w:color w:val="1F3A5F"/>
          <w:sz w:val="26"/>
        </w:rPr>
        <w:t>Purpose</w:t>
      </w:r>
    </w:p>
    <w:p>
      <w:pPr>
        <w:spacing w:after="160" w:line="276" w:lineRule="auto"/>
      </w:pPr>
      <w:r>
        <w:rPr>
          <w:rFonts w:ascii="Calibri" w:hAnsi="Calibri"/>
          <w:sz w:val="22"/>
        </w:rPr>
        <w:t>Cottrell’s book is a practical Macmillan Study Skills text for people who have been told they need more critical analysis. It is not an advanced treatise on formal logic; for that she refers readers to Garnham and Oakhill (1994) Thinking and Reasoning, and Fisher (2004) The Logic of Real Arguments. It aims to build the ‘critical muscle’ everyone already uses in everyday life (deciding whether to believe what they hear; checking whether something is likely to be true; arguing their case) so that the same skills meet academic and professional demands. Activities are essential: critical thinking is something you do. Answer pages explain reasons, not only right answers. Companion-website templates support questionnaires and longer texts.</w:t>
      </w:r>
    </w:p>
    <w:p>
      <w:pPr>
        <w:pStyle w:val="Heading2"/>
      </w:pPr>
      <w:r>
        <w:rPr>
          <w:rFonts w:ascii="Calibri" w:hAnsi="Calibri"/>
          <w:color w:val="1F3A5F"/>
          <w:sz w:val="26"/>
        </w:rPr>
        <w:t>Introduction: why the skills matter</w:t>
      </w:r>
    </w:p>
    <w:p>
      <w:pPr>
        <w:spacing w:after="160" w:line="276" w:lineRule="auto"/>
      </w:pPr>
      <w:r>
        <w:rPr>
          <w:rFonts w:ascii="Calibri" w:hAnsi="Calibri"/>
          <w:sz w:val="22"/>
        </w:rPr>
        <w:t>Cottrell argues that critical abilities matter at every age and in every context: noticing what matters; making sound purchases; reading small print; being aware of consequences. Academic study requires increasingly sophisticated analysis of what you hear, see, read, write and of your own practice. Success in most professions requires the same.</w:t>
      </w:r>
    </w:p>
    <w:p>
      <w:pPr>
        <w:pStyle w:val="Heading2"/>
      </w:pPr>
      <w:r>
        <w:rPr>
          <w:rFonts w:ascii="Calibri" w:hAnsi="Calibri"/>
          <w:color w:val="1F3A5F"/>
          <w:sz w:val="26"/>
        </w:rPr>
        <w:t>Chapters 1–2: what it is, and how well you think</w:t>
      </w:r>
    </w:p>
    <w:p>
      <w:pPr>
        <w:spacing w:after="160" w:line="276" w:lineRule="auto"/>
      </w:pPr>
      <w:r>
        <w:rPr>
          <w:rFonts w:ascii="Calibri" w:hAnsi="Calibri"/>
          <w:sz w:val="22"/>
        </w:rPr>
        <w:t>Chapter 1 defines critical thinking, reasoning and argument; why the skills matter; underlying skills and attitudes; self-awareness for accurate judgement; personal strategies; academic contexts; barriers; and the mix of knowledge, skills and attitudes. Priorities for development are set. Chapter 2 is diagnostic: scoring your thinking, focusing attention, identifying difference, recognising sequence, categorising, and close reading. Attention is distinguished from concentration.</w:t>
      </w:r>
    </w:p>
    <w:p>
      <w:pPr>
        <w:pStyle w:val="Heading2"/>
      </w:pPr>
      <w:r>
        <w:rPr>
          <w:rFonts w:ascii="Calibri" w:hAnsi="Calibri"/>
          <w:color w:val="1F3A5F"/>
          <w:sz w:val="26"/>
        </w:rPr>
        <w:t>Chapters 3–6: finding and testing arguments</w:t>
      </w:r>
    </w:p>
    <w:p>
      <w:pPr>
        <w:spacing w:after="160" w:line="276" w:lineRule="auto"/>
      </w:pPr>
      <w:r>
        <w:rPr>
          <w:rFonts w:ascii="Calibri" w:hAnsi="Calibri"/>
          <w:sz w:val="22"/>
        </w:rPr>
        <w:t>Chapter 3, ‘What’s their point?’, captures the author’s position, treats argument as persuasion through reasons, and hunts conclusions. Chapter 4, ‘Is it an argument?’, separates argument from disagreement, description, explanation and summary — the exact fault the PGCE launch names as ‘descriptive only’. Chapter 5, ‘How well do they say it?’, tests clarity of position, internal consistency, logical consistency, independent versus joint reasons, intermediate conclusions used as reasons, summative versus logical conclusions, and logical order. Chapter 6, ‘Reading between the lines’, deals with assumptions, hidden assumptions used as reasons, false premises, implicit arguments, and denoted versus connoted meanings (associations and stereotypes). This is Fisher’s assumption work in workbook form.</w:t>
      </w:r>
    </w:p>
    <w:p>
      <w:pPr>
        <w:pStyle w:val="Heading2"/>
      </w:pPr>
      <w:r>
        <w:rPr>
          <w:rFonts w:ascii="Calibri" w:hAnsi="Calibri"/>
          <w:color w:val="1F3A5F"/>
          <w:sz w:val="26"/>
        </w:rPr>
        <w:t>Chapters 7–8: flawed reasoning and proof</w:t>
      </w:r>
    </w:p>
    <w:p>
      <w:pPr>
        <w:spacing w:after="160" w:line="276" w:lineRule="auto"/>
      </w:pPr>
      <w:r>
        <w:rPr>
          <w:rFonts w:ascii="Calibri" w:hAnsi="Calibri"/>
          <w:sz w:val="22"/>
        </w:rPr>
        <w:t>Chapter 7, ‘Does it add up?’, covers assumed causation, correlations and false correlations, necessary and sufficient conditions, false analogies, deflection, complicity and exclusion, unwarranted leaps and ‘castle of cards’, emotive language and attacking the person, misrepresentation and trivialisation, tautology, and ‘two wrongs don’t make a right’. Chapter 8, ‘Where’s the proof?’, distinguishes primary and secondary sources; literature searches; reputable sources; authenticity, validity, currency and reliability; relevant versus irrelevant evidence; representative samples; probability; sample size and statistical significance; over-generalisation; controlling for variables; fact and opinion; eye-witness testimony; and evaluating a body of evidence. Ennis (1987) ‘A Taxonomy of Critical Thinking Dispositions and Abilities’ is in the bibliography. This chapter is the warrant-and-context step of Wallace and Wray, and the reason you must not treat a US study or a lab cognitive-science paper as automatic proof for an English Computing classroom.</w:t>
      </w:r>
    </w:p>
    <w:p>
      <w:pPr>
        <w:pStyle w:val="Heading2"/>
      </w:pPr>
      <w:r>
        <w:rPr>
          <w:rFonts w:ascii="Calibri" w:hAnsi="Calibri"/>
          <w:color w:val="1F3A5F"/>
          <w:sz w:val="26"/>
        </w:rPr>
        <w:t>Chapters 9–11: reading, notes, analytical writing, essays</w:t>
      </w:r>
    </w:p>
    <w:p>
      <w:pPr>
        <w:spacing w:after="160" w:line="276" w:lineRule="auto"/>
      </w:pPr>
      <w:r>
        <w:rPr>
          <w:rFonts w:ascii="Calibri" w:hAnsi="Calibri"/>
          <w:sz w:val="22"/>
        </w:rPr>
        <w:t>Chapter 9 treats critical reading and note-making: theoretical perspective; relation of theory to argument; categorising and selecting; accurate interpretation; concise notes that analyse an argument or a book; always noting the source. Chapter 10 is critical analytical writing: setting the scene for the reader; writing up a literature search; words that introduce, reinforce and structure a line of reasoning; signposting alternative views; tentative conclusions; academic keywords in titles; introductions; the body as structured argument; citing and referencing (Fisher and Hanstock, 1998, is among citing guides). Chapter 11, ‘Where’s the analysis?’, asks you to evaluate two essays against checklists and then to evaluate your own writing. This is the most direct rehearsal of ‘weak versus strong’ extracts in the PGCE launch.</w:t>
      </w:r>
    </w:p>
    <w:p>
      <w:pPr>
        <w:pStyle w:val="Heading2"/>
      </w:pPr>
      <w:r>
        <w:rPr>
          <w:rFonts w:ascii="Calibri" w:hAnsi="Calibri"/>
          <w:color w:val="1F3A5F"/>
          <w:sz w:val="26"/>
        </w:rPr>
        <w:t>Chapter 12: critical reflection</w:t>
      </w:r>
    </w:p>
    <w:p>
      <w:pPr>
        <w:spacing w:after="160" w:line="276" w:lineRule="auto"/>
      </w:pPr>
      <w:r>
        <w:rPr>
          <w:rFonts w:ascii="Calibri" w:hAnsi="Calibri"/>
          <w:sz w:val="22"/>
        </w:rPr>
        <w:t>Critical reflection is defined and justified. You decide approach and purpose: outcome, focus, model, method, audience, and how experience will relate to theory. A resource outline is offered. Phased reflection is exemplified. Models are compared; Cottrell then presents a Core Model with stages and prompts, including ‘reconstruct’ (each retelling of an event varies). Applications to professional practice and professional judgement follow. A table contrasts good and bad critical reflection (searching versus merely descriptive). Presenting reflection to others is discussed. The bibliography’s reflection cluster includes Borton (1970) Reach, Touch and Teach; Boud, Keogh and Walker (1985) Reflection: Turning Experience into Learning; Driscoll (1994) ‘Reflective Practice for Practice’. Donaldson (1978) and Csikszentmihalyi (1992) appear among wider psychological sources. For SIT4200 Section 4, this chapter is the method: not a diary of placement, but reconstruction, theory, judgement, and what you would change.</w:t>
      </w:r>
    </w:p>
    <w:p>
      <w:pPr>
        <w:pStyle w:val="Heading2"/>
      </w:pPr>
      <w:r>
        <w:rPr>
          <w:rFonts w:ascii="Calibri" w:hAnsi="Calibri"/>
          <w:color w:val="1F3A5F"/>
          <w:sz w:val="26"/>
        </w:rPr>
        <w:t>Chapter 13: career and employability</w:t>
      </w:r>
    </w:p>
    <w:p>
      <w:pPr>
        <w:spacing w:after="160" w:line="276" w:lineRule="auto"/>
      </w:pPr>
      <w:r>
        <w:rPr>
          <w:rFonts w:ascii="Calibri" w:hAnsi="Calibri"/>
          <w:sz w:val="22"/>
        </w:rPr>
        <w:t>The 2017 edition applies critical thinking to career planning, self-evaluation, job search, person specifications, and employer demand for critical thinking (CBI and UUK, 2009; Diamond et al., 2011; British Council skills reports; Chan, Goh and Prest, 2015, on China’s skills gap, among others). Failed applications and scattergun applying are treated as uncritical uses of time. This chapter is not needed for SIT4200 unless you discuss professionalism; the module’s ungraded graduate attributes (reflective skills, creative thinking, complex problem solving) sit in the same family.</w:t>
      </w:r>
    </w:p>
    <w:p>
      <w:pPr>
        <w:pStyle w:val="Heading2"/>
      </w:pPr>
      <w:r>
        <w:rPr>
          <w:rFonts w:ascii="Calibri" w:hAnsi="Calibri"/>
          <w:color w:val="1F3A5F"/>
          <w:sz w:val="26"/>
        </w:rPr>
        <w:t>Back matter</w:t>
      </w:r>
    </w:p>
    <w:p>
      <w:pPr>
        <w:spacing w:after="160" w:line="276" w:lineRule="auto"/>
      </w:pPr>
      <w:r>
        <w:rPr>
          <w:rFonts w:ascii="Calibri" w:hAnsi="Calibri"/>
          <w:sz w:val="22"/>
        </w:rPr>
        <w:t>Texts for activities in Chapters 8, 9 and 11; practice on longer texts; an appendix of search engines and databases; answers; bibliography; index. Bibliography items also include Arnheim (1954/1974); Bodner (1988) on consumer chemistry as critical thinking; Bowlby (1980); Crane (2001); Eco (1998); Farrar (2004a, 2004b, 2004c) as stimulus journalism; Fillion and Arazi (2002) on organic-food claims — Cottrell uses topical claims as exercise material, not as authorities to import into a Computing assignment.</w:t>
      </w:r>
    </w:p>
    <w:p>
      <w:pPr>
        <w:pStyle w:val="Heading2"/>
      </w:pPr>
      <w:r>
        <w:rPr>
          <w:rFonts w:ascii="Calibri" w:hAnsi="Calibri"/>
          <w:color w:val="1F3A5F"/>
          <w:sz w:val="26"/>
        </w:rPr>
        <w:t>Implications for SIT4200</w:t>
      </w:r>
    </w:p>
    <w:p>
      <w:pPr>
        <w:spacing w:after="160" w:line="276" w:lineRule="auto"/>
      </w:pPr>
      <w:r>
        <w:rPr>
          <w:rFonts w:ascii="Calibri" w:hAnsi="Calibri"/>
          <w:sz w:val="22"/>
        </w:rPr>
        <w:t>Use Cottrell as a checklist while drafting: Is this paragraph an argument? Are reasons joint or independent? Is a causal link assumed? Is the sample (or the class dataset) being over-generalised? Is the essay descriptive? Is the reflection a model or an anecdote? The Core Model can structure Section 4. Do not cite Cottrell as if she were a Computing pedagogue; cite her for the skill of analysis, then apply that skill to Sweller, Sentance and Waite, or Florian.</w:t>
      </w:r>
    </w:p>
    <w:p>
      <w:pPr>
        <w:pStyle w:val="Heading2"/>
      </w:pPr>
      <w:r>
        <w:rPr>
          <w:rFonts w:ascii="Calibri" w:hAnsi="Calibri"/>
          <w:color w:val="1F3A5F"/>
          <w:sz w:val="26"/>
        </w:rPr>
        <w:t>Citations found in the 2017 PDFs (selected)</w:t>
      </w:r>
    </w:p>
    <w:p>
      <w:pPr>
        <w:spacing w:after="160" w:line="276" w:lineRule="auto"/>
      </w:pPr>
      <w:r>
        <w:rPr>
          <w:rFonts w:ascii="Calibri" w:hAnsi="Calibri"/>
          <w:sz w:val="22"/>
        </w:rPr>
        <w:t>Arnheim (1954, 1974); Bodner (1988); Borton (1970); Boud, Keogh and Walker (1985); Bowlby (1980); British Council (2013, 2014); CBI and UUK (2009); Chan, Goh and Prest (2015); Crane (2001); Csikszentmihalyi (1992); Diamond et al. (2011); Donaldson (1978); Driscoll (1994); Ennis (1987); Fisher (2004); Fisher and Hanstock (1998); Garnham and Oakhill (1994); plus numerous stimulus sources used in activities (Farrar, 2004a–c; Fillion and Arazi, 2002; Elliot, 2015, and others).</w:t>
      </w:r>
    </w:p>
    <w:p>
      <w:pPr>
        <w:spacing w:after="160" w:line="276" w:lineRule="auto"/>
      </w:pPr>
      <w:r>
        <w:rPr>
          <w:rFonts w:ascii="Calibri" w:hAnsi="Calibri"/>
          <w:sz w:val="22"/>
        </w:rPr>
        <w:t>Worked link to the PGCE ‘strong extract’ The launch’s strong Bruner paragraph is a Cottrell Chapter 10 paragraph: it sets the scene (what spiral curriculum claims), uses a reporting verb that is not naive (‘proposes’), signposts an alternative (Fordham, 2016), and draws a tentative, local conclusion (revisit narrative voice through more demanding texts). The weak extract is Cottrell Chapter 4: it is closer to description and summary than to argument. When you write about PRIMM, copy the strong shape: Sentance and Waite propose Predict–Run–Investigate–Modify–Make as a way to manage the load of program comprehension before production; however, PRIMM is not a proof that pupils never need open-ended making, nor that it fits every construct; therefore Lessons 1–3 will stay on Predict–Run–Investigate for selection, and Make will wait until Lesson 4, so that pupils with lower verbal SAS (Tyler Jones; Sarah Barton) meet code as a readable object before they write it.</w:t>
      </w:r>
    </w:p>
    <w:p>
      <w:pPr>
        <w:spacing w:after="160" w:line="276" w:lineRule="auto"/>
      </w:pPr>
      <w:r>
        <w:rPr>
          <w:rFonts w:ascii="Calibri" w:hAnsi="Calibri"/>
          <w:sz w:val="22"/>
        </w:rPr>
        <w:t>Reflection versus description in Section 4 Cottrell’s table of good versus poor critical reflection is a mark scheme in plain English. Poor reflection is preoccupied with describing what happened. Good reflection brings a searching eye to a chosen focus, uses a model, relates experience to theory, and produces a judgement that could change practice. The Core Model’s ‘reconstruct’ stage warns you that your memory of a lesson is already an interpretation. For a PGCE written assignment you may be reconstructing a planned sequence rather than a taught one: still use the model. What was intended? What might go wrong for named pupils? What does Florian or the EEF SEND guidance say that challenges your first plan? What will you change in Lesson 5 if the Lesson 2 exit ticket fails? That is reflection with warrant, not a promise to ‘be inclusive’.</w:t>
      </w:r>
    </w:p>
    <w:p>
      <w:pPr>
        <w:spacing w:after="160" w:line="276" w:lineRule="auto"/>
      </w:pPr>
      <w:r>
        <w:rPr>
          <w:rFonts w:ascii="Calibri" w:hAnsi="Calibri"/>
          <w:sz w:val="22"/>
        </w:rPr>
        <w:t>Necessary conditions, samples, and the class dataset Chapter 7’s necessary versus sufficient conditions stop a common assignment error: meeting one condition (a visual handout) is treated as sufficient for access. For Holly Taylor (Y11, VI + SLCN) a high-contrast digital copy may be necessary; it is not sufficient if verbal explanation is still too fast. Chapter 8’s representative samples and over-generalisation stop another error: treating 7X’s SAS table as proof of what ‘Year 7’ needs nationally. The dataset is a planning stimulus. Cottrell would ask: what is the sample, what is it representative of, and what conclusion is unwarranted? Your conclusion should be local: in this hypothetical class, these two barriers will be designed for, and impact will be checked.</w:t>
      </w:r>
    </w:p>
    <w:p>
      <w:r>
        <w:br w:type="page"/>
      </w:r>
    </w:p>
    <w:p>
      <w:pPr>
        <w:pStyle w:val="Heading1"/>
      </w:pPr>
      <w:r>
        <w:rPr>
          <w:rFonts w:ascii="Calibri" w:hAnsi="Calibri"/>
          <w:color w:val="1F3A5F"/>
        </w:rPr>
        <w:t>6. Williams — Getting Critical</w:t>
      </w:r>
    </w:p>
    <w:p>
      <w:r>
        <w:rPr>
          <w:rFonts w:ascii="Calibri" w:hAnsi="Calibri"/>
          <w:i/>
          <w:color w:val="555555"/>
          <w:sz w:val="20"/>
        </w:rPr>
        <w:t>Summary length: 1549 words.</w:t>
      </w:r>
    </w:p>
    <w:p>
      <w:r>
        <w:rPr>
          <w:rFonts w:ascii="Calibri" w:hAnsi="Calibri"/>
          <w:b/>
          <w:sz w:val="22"/>
        </w:rPr>
        <w:t>Reading-list citation:</w:t>
      </w:r>
      <w:r>
        <w:rPr>
          <w:rFonts w:ascii="Calibri" w:hAnsi="Calibri"/>
          <w:sz w:val="22"/>
        </w:rPr>
        <w:t xml:space="preserve"> Williams, K. (2022) Getting Critical. 3rd edn. London: Bloomsbury Academic. [Recommended]</w:t>
      </w:r>
    </w:p>
    <w:p>
      <w:r>
        <w:rPr>
          <w:rFonts w:ascii="Calibri" w:hAnsi="Calibri"/>
          <w:b/>
          <w:sz w:val="22"/>
        </w:rPr>
        <w:t>PDF actually read:</w:t>
      </w:r>
      <w:r>
        <w:rPr>
          <w:rFonts w:ascii="Calibri" w:hAnsi="Calibri"/>
          <w:sz w:val="22"/>
        </w:rPr>
        <w:t xml:space="preserve"> Williams, K. (2022) Getting Critical. 3rd edn. London: Bloomsbury Academic. Pocket Study Skills series. ISBN 978-1-3509-3357-6 (PB); 978-1-3509-3359-0 (ePDF); 978-1-3509-3358-3 (eBook). First published 2009; this edition 2022. Chapter 7 © Catrin Radcliffe. This is the matching edition.</w:t>
      </w:r>
    </w:p>
    <w:p>
      <w:pPr>
        <w:pStyle w:val="Heading2"/>
      </w:pPr>
      <w:r>
        <w:rPr>
          <w:rFonts w:ascii="Calibri" w:hAnsi="Calibri"/>
          <w:color w:val="1F3A5F"/>
          <w:sz w:val="26"/>
        </w:rPr>
        <w:t>Purpose</w:t>
      </w:r>
    </w:p>
    <w:p>
      <w:pPr>
        <w:spacing w:after="160" w:line="276" w:lineRule="auto"/>
      </w:pPr>
      <w:r>
        <w:rPr>
          <w:rFonts w:ascii="Calibri" w:hAnsi="Calibri"/>
          <w:sz w:val="22"/>
        </w:rPr>
        <w:t>A short Pocket Study Skills guide for time-pushed students who have had feedback such as ‘be more critical’, ‘too descriptive’, ‘show more analysis’. Williams shows what ‘being critical’ means in higher education and how to bring that dimension into research, reading and writing. It is not a form of writing (like an essay) and not a hat you put on occasionally; it is a mindset. Everyday criticality — knowing a newspaper is half the story, comparing supermarket offers, trusting one friend’s film recommendation and not another’s — is what you must carry into study. You are not a sponge. Language confuses: ‘critical’ as fault-finding and ‘critical’ as crucial are not what tutors mean.</w:t>
      </w:r>
    </w:p>
    <w:p>
      <w:pPr>
        <w:pStyle w:val="Heading2"/>
      </w:pPr>
      <w:r>
        <w:rPr>
          <w:rFonts w:ascii="Calibri" w:hAnsi="Calibri"/>
          <w:color w:val="1F3A5F"/>
          <w:sz w:val="26"/>
        </w:rPr>
        <w:t>Part 1: getting a critical mindset</w:t>
      </w:r>
    </w:p>
    <w:p>
      <w:pPr>
        <w:spacing w:after="160" w:line="276" w:lineRule="auto"/>
      </w:pPr>
      <w:r>
        <w:rPr>
          <w:rFonts w:ascii="Calibri" w:hAnsi="Calibri"/>
          <w:sz w:val="22"/>
        </w:rPr>
        <w:t>Chapter 1, getting strategic, uses six strategic questions to define the task: what exactly must you produce (format, length, weighting)? What topic? Why (learning outcomes and your own purpose)? Chapter 2, getting critical with assessment, unpacks mark-scheme language. Top-grade criteria across subjects repeatedly reward critical analysis, evaluation and thinking; lower grades are often ‘too descriptive’. A worked grid (knowledge, reading, evidence and analysis, presentation) turns each criterion into questions: What are the key debates? What does ‘wide range’ mean? What is your argument in one sentence? Chapter 3 introduces the stairway to critical thinking (drawn from Open University material, acknowledged pp. 18–19): process (take in information) → describe/understand (key points, assumptions, arguments, evidence) → analyse (how components fit) → compare (similarities and differences) → synthesise (bring sources together to serve your argument) → evaluate (worth, relevance, evidence, relation to other ideas) → apply (use the understanding in assignments) → justify (develop arguments, conclusions, inferences, implications). You start at the bottom. Description is necessary but not sufficient; Level 7 lives on the upper steps. That stairway is the simplest picture of why the PGCE launch rejects name-dropping.</w:t>
      </w:r>
    </w:p>
    <w:p>
      <w:pPr>
        <w:pStyle w:val="Heading2"/>
      </w:pPr>
      <w:r>
        <w:rPr>
          <w:rFonts w:ascii="Calibri" w:hAnsi="Calibri"/>
          <w:color w:val="1F3A5F"/>
          <w:sz w:val="26"/>
        </w:rPr>
        <w:t>Part 2: research and reading</w:t>
      </w:r>
    </w:p>
    <w:p>
      <w:pPr>
        <w:spacing w:after="160" w:line="276" w:lineRule="auto"/>
      </w:pPr>
      <w:r>
        <w:rPr>
          <w:rFonts w:ascii="Calibri" w:hAnsi="Calibri"/>
          <w:sz w:val="22"/>
        </w:rPr>
        <w:t>Chapter 4: a critical approach to reading lists — they are a start, not a cage (your generic list says the same). Chapter 5: a critical search online, beyond Google, especially for open topics such as a dissertation. Chapter 6: ‘But is it any use?’ — evaluating sources. Chapter 7 (Catrin Radcliffe): getting critical with numbers — calculations, charts, whether a figure can be generalised. Chapter 8: to read or not to read, a critical decision (abstracts; Wang, Shi and Zhou is one permissioned extract). Chapter 9: a strategic approach to reading — abstracts, first sentences, report structure (abstract, introduction, conclusions first; methodology questions: was this a sensible approach?). Chapter 10: critical reading and critical appraisal, including annotated bibliography and CASP-style appraisal. ‘Invisible questions’ (p. 38) ask who participants and researchers represent; Black Lives Matter is used to show that shared profiles between researcher and audience can hide whose experience is missing. Permissioned extracts include Tuyisenge and Goldenberg. This is Wallace and Wray’s ‘context’ question in a short guide.</w:t>
      </w:r>
    </w:p>
    <w:p>
      <w:pPr>
        <w:pStyle w:val="Heading2"/>
      </w:pPr>
      <w:r>
        <w:rPr>
          <w:rFonts w:ascii="Calibri" w:hAnsi="Calibri"/>
          <w:color w:val="1F3A5F"/>
          <w:sz w:val="26"/>
        </w:rPr>
        <w:t>Part 3: writing</w:t>
      </w:r>
    </w:p>
    <w:p>
      <w:pPr>
        <w:spacing w:after="160" w:line="276" w:lineRule="auto"/>
      </w:pPr>
      <w:r>
        <w:rPr>
          <w:rFonts w:ascii="Calibri" w:hAnsi="Calibri"/>
          <w:sz w:val="22"/>
        </w:rPr>
        <w:t>Chapter 11: answer the question. Chapter 12: paragraphs as a critical skill. Chapter 13: writing for a critical reader — what first-class feedback actually praises (theoretical concepts, supporting evidence, limitations of techniques, peer-reviewed sources beyond the list, argument stated in the introduction, debates). Argument-essay structure is contrasted pre-university versus university (advice acknowledged to Chara Bakalis on law essays): at university you state your argument, develop reasons paragraph by paragraph, and deal with counter-arguments as you go, rather than a flat for/against list.</w:t>
      </w:r>
    </w:p>
    <w:p>
      <w:pPr>
        <w:pStyle w:val="Heading2"/>
      </w:pPr>
      <w:r>
        <w:rPr>
          <w:rFonts w:ascii="Calibri" w:hAnsi="Calibri"/>
          <w:color w:val="1F3A5F"/>
          <w:sz w:val="26"/>
        </w:rPr>
        <w:t>Part 4: critical steps</w:t>
      </w:r>
    </w:p>
    <w:p>
      <w:pPr>
        <w:spacing w:after="160" w:line="276" w:lineRule="auto"/>
      </w:pPr>
      <w:r>
        <w:rPr>
          <w:rFonts w:ascii="Calibri" w:hAnsi="Calibri"/>
          <w:sz w:val="22"/>
        </w:rPr>
        <w:t>Chapter 14: using frameworks for critical analysis — including amending a framework and justifying the amendment from reading. Chapter 15: stepping up the stairway with illustrations of describe, compare, evaluate, apply. Conclusion: becoming critical. Useful sources and index follow (abstracts, argument, assessment criteria, CASP, evidence, frameworks, and so on).</w:t>
      </w:r>
    </w:p>
    <w:p>
      <w:pPr>
        <w:spacing w:after="160" w:line="276" w:lineRule="auto"/>
      </w:pPr>
      <w:r>
        <w:rPr>
          <w:rFonts w:ascii="Calibri" w:hAnsi="Calibri"/>
          <w:sz w:val="22"/>
        </w:rPr>
        <w:t>Student-facing examples in the 2022 text Williams uses short activities (the bike-road-space line; defining your task) rather than long research reports. Citations that appear as examples or permissions include Belbin (1993) and Tuckman and Jensen (1977) in group-work neighbourhoods of the series; Bowlby (1982); Rutter (1981); Rajkumar (2019) and Rajkumar et al. (2020); Du and Gardner (2020); Claes et al. (2020); Merton (2011); Robbins (2010); Kagan (1998); Letbridge (2011); Godwin (2019) (illustrator Sallie Godwin is also credited); RMIT (2021) and University of Manchester (2021) as skills-web examples. Treat these as Williams’s illustrations, not as your Computing authorities.</w:t>
      </w:r>
    </w:p>
    <w:p>
      <w:pPr>
        <w:pStyle w:val="Heading2"/>
      </w:pPr>
      <w:r>
        <w:rPr>
          <w:rFonts w:ascii="Calibri" w:hAnsi="Calibri"/>
          <w:color w:val="1F3A5F"/>
          <w:sz w:val="26"/>
        </w:rPr>
        <w:t>Implications for SIT4200</w:t>
      </w:r>
    </w:p>
    <w:p>
      <w:pPr>
        <w:spacing w:after="160" w:line="276" w:lineRule="auto"/>
      </w:pPr>
      <w:r>
        <w:rPr>
          <w:rFonts w:ascii="Calibri" w:hAnsi="Calibri"/>
          <w:sz w:val="22"/>
        </w:rPr>
        <w:t>Williams is the shortest recommended text and the best ‘first hour’ book. Use the stairway as a self-check: if a paragraph still describes Piaget, you have not climbed. Use the six questions on the assignment brief before you write. Use Chapter 6’s source evaluation on NCCE, EEF and blogs. Use Chapter 13’s feedback language as a description of merit/distinction in the SIT4200 grid. Combine with Wallace and Wray when you need the full postgraduate method.</w:t>
      </w:r>
    </w:p>
    <w:p>
      <w:pPr>
        <w:pStyle w:val="Heading2"/>
      </w:pPr>
      <w:r>
        <w:rPr>
          <w:rFonts w:ascii="Calibri" w:hAnsi="Calibri"/>
          <w:color w:val="1F3A5F"/>
          <w:sz w:val="26"/>
        </w:rPr>
        <w:t>Citations found in the 2022 PDF (selected)</w:t>
      </w:r>
    </w:p>
    <w:p>
      <w:pPr>
        <w:spacing w:after="160" w:line="276" w:lineRule="auto"/>
      </w:pPr>
      <w:r>
        <w:rPr>
          <w:rFonts w:ascii="Calibri" w:hAnsi="Calibri"/>
          <w:sz w:val="22"/>
        </w:rPr>
        <w:t>Belbin (1993); Bowlby (1982); Claes et al. (2020); Du and Gardner (2020); Godwin (2019); Kagan (1998); Letbridge (2011); Merton (2011); Rajkumar (2019); Rajkumar et al. (2020); RMIT (2021); Robbins (2010); Rutter (1981); Tuckman and Jensen (1977); Tuyisenge and Goldenberg (permissioned extract); University of Manchester (2021); Wang, Shi and Zhou (permissioned extract); Open University critical-thinking pages (acknowledged).</w:t>
      </w:r>
    </w:p>
    <w:p>
      <w:pPr>
        <w:spacing w:after="160" w:line="276" w:lineRule="auto"/>
      </w:pPr>
      <w:r>
        <w:rPr>
          <w:rFonts w:ascii="Calibri" w:hAnsi="Calibri"/>
          <w:sz w:val="22"/>
        </w:rPr>
        <w:t>Climbing the stairway with Computing examples Process: you take in Rosenshine (2012), the DfE Computing Programme of Study, and the 10X dataset. Describe/understand: Rosenshine’s principles include modelling, guided practice and daily review; the PoS requires programming constructs; 10X includes Tyler (MLD + SLCN) and Ruby (anxiety, LAC). Analyse: modelling is a component that fits first instruction; it may conflict with a discovery-first reading of Papert. Compare: Rosenshine versus Papert versus PRIMM (Sentance and Waite) — similar in wanting pupils to think, different in when the pupil is asked to generate code. Synthesise: you build one argument — explicit models first, then structured making — not three separate ‘theory’ paragraphs. Evaluate: EEF (2021) cautions that cognitive-science labels are not automatic lesson recipes; Florian and Black-Hawkins (2011) cautions that a SEND strategy-list is not inclusion. Apply: Lesson 1 is Predict and Run on a selection program, not a blank editor. Justify: therefore the sequence is educationally defensible for mixed-attainment KS3/KS4 Computing, with named adaptations that do not lower the intellectual goal. If you stop at ‘describe’, you are on the bottom steps; the SIT4200 pass/merit line is whether you reach evaluate–apply–justify.</w:t>
      </w:r>
    </w:p>
    <w:p>
      <w:pPr>
        <w:spacing w:after="160" w:line="276" w:lineRule="auto"/>
      </w:pPr>
      <w:r>
        <w:rPr>
          <w:rFonts w:ascii="Calibri" w:hAnsi="Calibri"/>
          <w:sz w:val="22"/>
        </w:rPr>
        <w:t>Strategic questions applied to SIT4200 What must you produce? A 4,000-word rationale plus a 4–6 (template: 5) lesson sequence as appendix, EHU Harvard, Computing-specific. What format? Academic rationale with the stated word bands (intro 400–500; theories 800–1000; curriculum 1000–1200; learner needs 800–1000; adaptive teaching 800–1000; conclusion 200–300). Why? Module learning outcomes plus QAA Level 7: critical awareness, original application, judgements with incomplete data. What topic? One from the Computing guidance (Python selection/iteration is the cleanest theory–practice fit). What audience? School-based, as the distinction band of the grid says. What does ‘wide range’ mean in the mark scheme? Seminal plus current, generic plus Computing (NCCE, PoS, PRIMM), not twenty unread items from the generic list. Williams’s point is that these questions, asked before searching, stop uncritical reading.</w:t>
      </w:r>
    </w:p>
    <w:p>
      <w:pPr>
        <w:pStyle w:val="Heading2"/>
      </w:pPr>
      <w:r>
        <w:rPr>
          <w:rFonts w:ascii="Calibri" w:hAnsi="Calibri"/>
          <w:color w:val="1F3A5F"/>
          <w:sz w:val="26"/>
        </w:rPr>
        <w:t>Evaluating sources in a short-guide way</w:t>
      </w:r>
    </w:p>
    <w:p>
      <w:pPr>
        <w:spacing w:after="160" w:line="276" w:lineRule="auto"/>
      </w:pPr>
      <w:r>
        <w:rPr>
          <w:rFonts w:ascii="Calibri" w:hAnsi="Calibri"/>
          <w:sz w:val="22"/>
        </w:rPr>
        <w:t>Chapter 6’s ‘is it any use?’ is the everyday version of Wallace and Wray’s reliability list. For each item ask: Who wrote it? For whom? When? What kind of warrant (trial, guidance, opinion, policy)? Does it transfer to secondary Computing in England? An Ofsted curriculum research review is a professional synthesis with inspection purposes; an EEF toolkit is an evidence synthesis with average effect sizes that may hide subject differences; a blog by a head of Computing may have high ecological validity and low external warrant. Williams would not ban the blog; she would refuse to let it stand alone. Radcliffe’s numbers chapter then asks whether a chart or an effect size is being asked to do more work than it can. You need little statistics in SIT4200, but you do need not to write ‘Hattie proves this works’.</w:t>
      </w:r>
    </w:p>
    <w:p>
      <w:pPr>
        <w:spacing w:after="160" w:line="276" w:lineRule="auto"/>
      </w:pPr>
      <w:r>
        <w:rPr>
          <w:rFonts w:ascii="Calibri" w:hAnsi="Calibri"/>
          <w:sz w:val="22"/>
        </w:rPr>
        <w:t>Writing for the marker as a critical reader Chapter 13’s first-class comments are almost a translation of the SIT4200 distinction column: theoretical concepts used with supporting evidence; limitations of techniques recognised; reading beyond the list; argument stated early; debates identified. The university argument structure (state the line, develop reasons, take on counter-arguments in the same movement) is the paragraph shape of claim–evidence–critique–decision. Pre-university for/against lists produce the weak ‘some say Vygotsky, some say Sweller’ essay that never decides. Williams’s paragraph chapter is where many trainees actually gain marks: one paragraph, one step in the argument, ending in a sequence decision.</w:t>
      </w:r>
    </w:p>
    <w:p>
      <w:pPr>
        <w:pStyle w:val="Heading2"/>
      </w:pPr>
      <w:r>
        <w:rPr>
          <w:rFonts w:ascii="Calibri" w:hAnsi="Calibri"/>
          <w:color w:val="1F3A5F"/>
          <w:sz w:val="26"/>
        </w:rPr>
        <w:t>Frameworks without idolatry</w:t>
      </w:r>
    </w:p>
    <w:p>
      <w:pPr>
        <w:spacing w:after="160" w:line="276" w:lineRule="auto"/>
      </w:pPr>
      <w:r>
        <w:rPr>
          <w:rFonts w:ascii="Calibri" w:hAnsi="Calibri"/>
          <w:sz w:val="22"/>
        </w:rPr>
        <w:t>Chapter 14’s advice on using and amending frameworks is directly relevant if you use TPACK, Bloom, SOLO, or a computational-thinking taxonomy. If you amend it, you must justify the amendment from literature — that is academic evolution, not doodling. If you apply PRIMM as a rigid five-tick lesson plan every day, you have not been critical. Williams’s closing stance is modest: you already make judgements in life; university asks you to make them visible, evidenced, and fair.</w:t>
      </w:r>
    </w:p>
    <w:p>
      <w:r>
        <w:br w:type="page"/>
      </w:r>
    </w:p>
    <w:p>
      <w:pPr>
        <w:pStyle w:val="Heading1"/>
      </w:pPr>
      <w:r>
        <w:rPr>
          <w:rFonts w:ascii="Calibri" w:hAnsi="Calibri"/>
          <w:color w:val="1F3A5F"/>
        </w:rPr>
        <w:t>7. QAA — The Frameworks for Higher Education Qualifications (FHEQ)</w:t>
      </w:r>
    </w:p>
    <w:p>
      <w:r>
        <w:rPr>
          <w:rFonts w:ascii="Calibri" w:hAnsi="Calibri"/>
          <w:i/>
          <w:color w:val="555555"/>
          <w:sz w:val="20"/>
        </w:rPr>
        <w:t>Summary length: 1632 words.</w:t>
      </w:r>
    </w:p>
    <w:p>
      <w:r>
        <w:rPr>
          <w:rFonts w:ascii="Calibri" w:hAnsi="Calibri"/>
          <w:b/>
          <w:sz w:val="22"/>
        </w:rPr>
        <w:t>Reading-list citation:</w:t>
      </w:r>
      <w:r>
        <w:rPr>
          <w:rFonts w:ascii="Calibri" w:hAnsi="Calibri"/>
          <w:sz w:val="22"/>
        </w:rPr>
        <w:t xml:space="preserve"> Quality Assurance Agency for Higher Education (QAA) (2024) The Frameworks for Higher Education Qualifications of UK Degree-Awarding Bodies. Gloucester: QAA. [Essential]</w:t>
      </w:r>
    </w:p>
    <w:p>
      <w:r>
        <w:rPr>
          <w:rFonts w:ascii="Calibri" w:hAnsi="Calibri"/>
          <w:b/>
          <w:sz w:val="22"/>
        </w:rPr>
        <w:t>PDF actually read:</w:t>
      </w:r>
      <w:r>
        <w:rPr>
          <w:rFonts w:ascii="Calibri" w:hAnsi="Calibri"/>
          <w:sz w:val="22"/>
        </w:rPr>
        <w:t xml:space="preserve"> QAA (2014) The Frameworks for Higher Education Qualifications of UK Degree-Awarding Bodies. October 2014. UK Quality Code for Higher Education, Part A: Setting and Maintaining Academic Standards. The reading list’s 2024 document is a later version of this national reference point. Threshold descriptors, especially Level 7, have been remarkably stable, but you should not cite 2024 for wording checked only in the 2014 PDF. Where your handbook quotes 2024, prefer that wording.</w:t>
      </w:r>
    </w:p>
    <w:p>
      <w:pPr>
        <w:pStyle w:val="Heading2"/>
      </w:pPr>
      <w:r>
        <w:rPr>
          <w:rFonts w:ascii="Calibri" w:hAnsi="Calibri"/>
          <w:color w:val="1F3A5F"/>
          <w:sz w:val="26"/>
        </w:rPr>
        <w:t>What the document is</w:t>
      </w:r>
    </w:p>
    <w:p>
      <w:pPr>
        <w:spacing w:after="160" w:line="276" w:lineRule="auto"/>
      </w:pPr>
      <w:r>
        <w:rPr>
          <w:rFonts w:ascii="Calibri" w:hAnsi="Calibri"/>
          <w:sz w:val="22"/>
        </w:rPr>
        <w:t>The FHEQ (England, Wales and Northern Ireland) and the FQHEIS (Scotland, aligned to SCQF levels) are the UK’s national qualification frameworks for degree-awarding bodies. They sit in Part A of the (then) UK Quality Code. They state threshold academic standards: the minimum achievement that makes a student eligible for an award. They are generic, not subject-specific; subject benchmark statements and programme outcomes add subject detail. They align with the Bologna Process / QF-EHEA cycles (short cycle, first cycle = bachelor’s, second cycle = master’s, third cycle = doctorate) and relate to the EQF, CQFW, and credit arrangements. Degree-awarding bodies must position qualifications at the right level, align programme outcomes with the relevant descriptor, design and review programmes accordingly, assess those outcomes, and follow titling conventions.</w:t>
      </w:r>
    </w:p>
    <w:p>
      <w:pPr>
        <w:pStyle w:val="Heading2"/>
      </w:pPr>
      <w:r>
        <w:rPr>
          <w:rFonts w:ascii="Calibri" w:hAnsi="Calibri"/>
          <w:color w:val="1F3A5F"/>
          <w:sz w:val="26"/>
        </w:rPr>
        <w:t>Levels (FHEQ numbering)</w:t>
      </w:r>
    </w:p>
    <w:p>
      <w:pPr>
        <w:spacing w:after="160" w:line="276" w:lineRule="auto"/>
      </w:pPr>
      <w:r>
        <w:rPr>
          <w:rFonts w:ascii="Calibri" w:hAnsi="Calibri"/>
          <w:sz w:val="22"/>
        </w:rPr>
        <w:t>Typical HE qualifications: Level 4 Certificate of Higher Education; Level 5 foundation degree (and DipHE in Scotland at the corresponding SCQF level); Level 6 bachelor’s with honours; Level 7 master’s (and postgraduate certificates and diplomas); Level 8 doctorate. Scotland uses SCQF 7–12 for the same ladder. Table 1 maps these to QF-EHEA cycles. Credit is awarded for verified achievement of designated outcomes at a specified level; Annex C gives illustrative credit volumes.</w:t>
      </w:r>
    </w:p>
    <w:p>
      <w:pPr>
        <w:spacing w:after="160" w:line="276" w:lineRule="auto"/>
      </w:pPr>
      <w:r>
        <w:rPr>
          <w:rFonts w:ascii="Calibri" w:hAnsi="Calibri"/>
          <w:sz w:val="22"/>
        </w:rPr>
        <w:t>Qualification descriptors: two parts Each descriptor has (1) outcomes the student must demonstrate — the national threshold — and (2) wider abilities a typical holder would have, useful in discussion with employers. Not every qualification type at a level meets the main descriptor in full. A postgraduate certificate uses the Level 7 master’s descriptor as a reference point and is expected to meet it in part, because the volume of learning is smaller.</w:t>
      </w:r>
    </w:p>
    <w:p>
      <w:pPr>
        <w:pStyle w:val="Heading2"/>
      </w:pPr>
      <w:r>
        <w:rPr>
          <w:rFonts w:ascii="Calibri" w:hAnsi="Calibri"/>
          <w:color w:val="1F3A5F"/>
          <w:sz w:val="26"/>
        </w:rPr>
        <w:t>Level 4 (CertHE) — contrast</w:t>
      </w:r>
    </w:p>
    <w:p>
      <w:pPr>
        <w:spacing w:after="160" w:line="276" w:lineRule="auto"/>
      </w:pPr>
      <w:r>
        <w:rPr>
          <w:rFonts w:ascii="Calibri" w:hAnsi="Calibri"/>
          <w:sz w:val="22"/>
        </w:rPr>
        <w:t>Holders demonstrate knowledge of underlying concepts and principles and can evaluate and interpret them; they can present and interpret data to develop lines of argument and make sound judgements in accordance with basic theories. Typically they evaluate approaches to problems, communicate with structured arguments, and exercise some personal responsibility. This is not your target.</w:t>
      </w:r>
    </w:p>
    <w:p>
      <w:pPr>
        <w:pStyle w:val="Heading2"/>
      </w:pPr>
      <w:r>
        <w:rPr>
          <w:rFonts w:ascii="Calibri" w:hAnsi="Calibri"/>
          <w:color w:val="1F3A5F"/>
          <w:sz w:val="26"/>
        </w:rPr>
        <w:t>Level 6 (bachelor’s with honours) — contrast</w:t>
      </w:r>
    </w:p>
    <w:p>
      <w:pPr>
        <w:spacing w:after="160" w:line="276" w:lineRule="auto"/>
      </w:pPr>
      <w:r>
        <w:rPr>
          <w:rFonts w:ascii="Calibri" w:hAnsi="Calibri"/>
          <w:sz w:val="22"/>
        </w:rPr>
        <w:t>Honours graduates (descriptor at 4.15 in the 2014 text) are expected, among other things, to have a systematic understanding of key aspects of their field, including acquisition of coherent and detailed knowledge, at least some of which is at, or informed by, the forefront of defined aspects of the discipline; to deploy accurately established techniques of analysis and enquiry; to devise and sustain arguments and solve problems; to describe and comment on current research; to appreciate uncertainty, ambiguity and limits of knowledge; to manage their own learning. Typically they can apply what they have learned to complex problems, communicate information, ideas, problems and solutions, and exercise initiative. This is strong undergraduate work. Level 7 is a step up from this, not a repeat of it. A PGCE rationale that ‘describes’ Vygotsky and Bruner and then applies them as recipes is often still Level 6.</w:t>
      </w:r>
    </w:p>
    <w:p>
      <w:pPr>
        <w:pStyle w:val="Heading2"/>
      </w:pPr>
      <w:r>
        <w:rPr>
          <w:rFonts w:ascii="Calibri" w:hAnsi="Calibri"/>
          <w:color w:val="1F3A5F"/>
          <w:sz w:val="26"/>
        </w:rPr>
        <w:t>Level 7 (master’s) — the descriptor you are marked against</w:t>
      </w:r>
    </w:p>
    <w:p>
      <w:pPr>
        <w:spacing w:after="160" w:line="276" w:lineRule="auto"/>
      </w:pPr>
      <w:r>
        <w:rPr>
          <w:rFonts w:ascii="Calibri" w:hAnsi="Calibri"/>
          <w:sz w:val="22"/>
        </w:rPr>
        <w:t>Section 4.17 (2014, pp. 28–29) is shared by FHEQ Level 7 and SCQF Level 11. Master’s degrees are awarded to students who have demonstrated:</w:t>
      </w:r>
    </w:p>
    <w:p>
      <w:pPr>
        <w:spacing w:after="160" w:line="276" w:lineRule="auto"/>
      </w:pPr>
      <w:r>
        <w:rPr>
          <w:rFonts w:ascii="Calibri" w:hAnsi="Calibri"/>
          <w:sz w:val="22"/>
        </w:rPr>
        <w:t>• a systematic understanding of knowledge, and a critical awareness of current problems and/or new insights, much of which is at, or informed by, the forefront of their academic discipline, field of study or area of professional practice;</w:t>
      </w:r>
    </w:p>
    <w:p>
      <w:pPr>
        <w:spacing w:after="160" w:line="276" w:lineRule="auto"/>
      </w:pPr>
      <w:r>
        <w:rPr>
          <w:rFonts w:ascii="Calibri" w:hAnsi="Calibri"/>
          <w:sz w:val="22"/>
        </w:rPr>
        <w:t>• a comprehensive understanding of techniques applicable to their own research or advanced scholarship;</w:t>
      </w:r>
    </w:p>
    <w:p>
      <w:pPr>
        <w:spacing w:after="160" w:line="276" w:lineRule="auto"/>
      </w:pPr>
      <w:r>
        <w:rPr>
          <w:rFonts w:ascii="Calibri" w:hAnsi="Calibri"/>
          <w:sz w:val="22"/>
        </w:rPr>
        <w:t>• originality in the application of knowledge, together with a practical understanding of how established techniques of research and enquiry are used to create and interpret knowledge in the discipline;</w:t>
      </w:r>
    </w:p>
    <w:p>
      <w:pPr>
        <w:spacing w:after="160" w:line="276" w:lineRule="auto"/>
      </w:pPr>
      <w:r>
        <w:rPr>
          <w:rFonts w:ascii="Calibri" w:hAnsi="Calibri"/>
          <w:sz w:val="22"/>
        </w:rPr>
        <w:t>• conceptual understanding that enables the student to evaluate critically current research and advanced scholarship in the discipline, and to evaluate methodologies and develop critiques of them and, where appropriate, to propose new hypotheses.</w:t>
      </w:r>
    </w:p>
    <w:p>
      <w:pPr>
        <w:spacing w:after="160" w:line="276" w:lineRule="auto"/>
      </w:pPr>
      <w:r>
        <w:rPr>
          <w:rFonts w:ascii="Calibri" w:hAnsi="Calibri"/>
          <w:sz w:val="22"/>
        </w:rPr>
        <w:t>Typically, holders will be able to:</w:t>
      </w:r>
    </w:p>
    <w:p>
      <w:pPr>
        <w:spacing w:after="160" w:line="276" w:lineRule="auto"/>
      </w:pPr>
      <w:r>
        <w:rPr>
          <w:rFonts w:ascii="Calibri" w:hAnsi="Calibri"/>
          <w:sz w:val="22"/>
        </w:rPr>
        <w:t>• deal with complex issues both systematically and creatively, make sound judgements in the absence of complete data, and communicate their conclusions clearly to specialist and non-specialist audiences;</w:t>
      </w:r>
    </w:p>
    <w:p>
      <w:pPr>
        <w:spacing w:after="160" w:line="276" w:lineRule="auto"/>
      </w:pPr>
      <w:r>
        <w:rPr>
          <w:rFonts w:ascii="Calibri" w:hAnsi="Calibri"/>
          <w:sz w:val="22"/>
        </w:rPr>
        <w:t>• demonstrate self-direction and originality in tackling and solving problems, and act autonomously in planning and implementing tasks at a professional or equivalent level;</w:t>
      </w:r>
    </w:p>
    <w:p>
      <w:pPr>
        <w:spacing w:after="160" w:line="276" w:lineRule="auto"/>
      </w:pPr>
      <w:r>
        <w:rPr>
          <w:rFonts w:ascii="Calibri" w:hAnsi="Calibri"/>
          <w:sz w:val="22"/>
        </w:rPr>
        <w:t>• continue to advance their knowledge and understanding, and to develop new skills to a high level.</w:t>
      </w:r>
    </w:p>
    <w:p>
      <w:pPr>
        <w:spacing w:after="160" w:line="276" w:lineRule="auto"/>
      </w:pPr>
      <w:r>
        <w:rPr>
          <w:rFonts w:ascii="Calibri" w:hAnsi="Calibri"/>
          <w:sz w:val="22"/>
        </w:rPr>
        <w:t>Holders will have the qualities and transferable skills necessary for employment requiring the exercise of initiative and personal responsibility; decision-making in complex and unpredictable situations; and the independent learning ability required for continuing professional development.</w:t>
      </w:r>
    </w:p>
    <w:p>
      <w:pPr>
        <w:spacing w:after="160" w:line="276" w:lineRule="auto"/>
      </w:pPr>
      <w:r>
        <w:rPr>
          <w:rFonts w:ascii="Calibri" w:hAnsi="Calibri"/>
          <w:sz w:val="22"/>
        </w:rPr>
        <w:t>Paragraph 4.17.1 adds: much study is at or informed by the forefront of an academic or professional discipline; successful students show originality in applying knowledge and understand how the boundaries of knowledge are advanced through research; they deal with complex issues systematically and creatively; they have the qualities needed for employment requiring sound judgement, personal responsibility and initiative in complex and unpredictable professional environments.</w:t>
      </w:r>
    </w:p>
    <w:p>
      <w:pPr>
        <w:spacing w:after="160" w:line="276" w:lineRule="auto"/>
      </w:pPr>
      <w:r>
        <w:rPr>
          <w:rFonts w:ascii="Calibri" w:hAnsi="Calibri"/>
          <w:sz w:val="22"/>
        </w:rPr>
        <w:t>Master’s study is typically at least one full-time calendar year, usually taken by honours graduates (4.17.2). Master’s degrees are distinguished from other Level 7 awards (short CPD, PGCert, PGDip) by intensity, complexity and density, often including a synoptic or research activity (4.17.3). Integrated master’s and some medical, dental and veterinary first degrees meet Level 7 in their final outcomes while retaining historic titles (4.17.4–4.17.5). Scottish ancient universities’ undergraduate MA and Oxford/Cambridge MA are not SCQF 11 / academic Level 7 awards (4.17.6–4.17.7).</w:t>
      </w:r>
    </w:p>
    <w:p>
      <w:pPr>
        <w:spacing w:after="160" w:line="276" w:lineRule="auto"/>
      </w:pPr>
      <w:r>
        <w:rPr>
          <w:rFonts w:ascii="Calibri" w:hAnsi="Calibri"/>
          <w:sz w:val="22"/>
        </w:rPr>
        <w:t>PGCE and credit (Annex C, 2014) The illustrative table lists a Postgraduate Certificate in Education (PGCE) in England, Wales and Northern Ireland as 60 credits, of which 40 at FHEQ Level 7 (and a Postgraduate Diploma in Education in Scotland with a different pattern). A postgraduate certificate more generally is 60 credits (40 at Level 7). A taught master’s is typically 180 credits (150 at Level 7). So a PGCE is Level 7 work at smaller volume: the master’s descriptor is the reference point; you meet it in part, in the ways your module specifies. SIT4200’s grading grid is that specification: engagement with current and seminal Computing pedagogy; critical evaluation and original application; a sustained discussion of pedagogical decisions.</w:t>
      </w:r>
    </w:p>
    <w:p>
      <w:pPr>
        <w:spacing w:after="160" w:line="276" w:lineRule="auto"/>
      </w:pPr>
      <w:r>
        <w:rPr>
          <w:rFonts w:ascii="Calibri" w:hAnsi="Calibri"/>
          <w:sz w:val="22"/>
        </w:rPr>
        <w:t>Dublin descriptors (Annex B) — second cycle The QF-EHEA second-cycle (master’s) Dublin descriptor says graduates have demonstrated knowledge that extends first-cycle work and provides a basis for originality in developing or applying ideas, often in a research context; can apply knowledge and problem-solving in new or unfamiliar environments, including broader or multidisciplinary contexts; can integrate knowledge, handle complexity, and formulate judgements with incomplete information, including social and ethical responsibilities; can communicate conclusions and the underpinning rationale to specialist and non-specialist audiences; have largely self-directed learning skills. Step changes from first cycle include: originality; new or unfamiliar environments; judgements with incomplete data; communicating conclusions and rationale, not only information. That is the difference between ‘I described formative assessment’ and ‘I judged Black and Wiliam’s warrant, noted its age and subject origin, and decided what to do in Lesson 4 with incomplete class data’.</w:t>
      </w:r>
    </w:p>
    <w:p>
      <w:pPr>
        <w:pStyle w:val="Heading2"/>
      </w:pPr>
      <w:r>
        <w:rPr>
          <w:rFonts w:ascii="Calibri" w:hAnsi="Calibri"/>
          <w:color w:val="1F3A5F"/>
          <w:sz w:val="26"/>
        </w:rPr>
        <w:t>Using descriptors (Chapter 5)</w:t>
      </w:r>
    </w:p>
    <w:p>
      <w:pPr>
        <w:spacing w:after="160" w:line="276" w:lineRule="auto"/>
      </w:pPr>
      <w:r>
        <w:rPr>
          <w:rFonts w:ascii="Calibri" w:hAnsi="Calibri"/>
          <w:sz w:val="22"/>
        </w:rPr>
        <w:t>Descriptors are generic. Subject skills live in subject benchmark statements and in programme outcomes. Where no benchmark fits, the generic descriptor is especially important. QAA also published Master’s Degree Characteristics (2010, in the 2014 further-reading list) as an additional reference point.</w:t>
      </w:r>
    </w:p>
    <w:p>
      <w:pPr>
        <w:spacing w:after="160" w:line="276" w:lineRule="auto"/>
      </w:pPr>
      <w:r>
        <w:rPr>
          <w:rFonts w:ascii="Calibri" w:hAnsi="Calibri"/>
          <w:sz w:val="22"/>
        </w:rPr>
        <w:t>Implications for SIT4200 — mapping the descriptor onto the chain Systematic understanding and critical awareness of current problems → Section 1 and 2 must identify what is contested now in Computing pedagogy (explicit instruction versus constructionism; what ‘powerful knowledge’ means for a practical subject), not only name Sweller and Papert.</w:t>
      </w:r>
    </w:p>
    <w:p>
      <w:pPr>
        <w:spacing w:after="160" w:line="276" w:lineRule="auto"/>
      </w:pPr>
      <w:r>
        <w:rPr>
          <w:rFonts w:ascii="Calibri" w:hAnsi="Calibri"/>
          <w:sz w:val="22"/>
        </w:rPr>
        <w:t>Forefront of professional practice → mix seminal texts (Vygotsky, 1978; Bruner, 1960; Black and Wiliam, 1998) with current literature (Willingham, 2021; Ashbee, 2021; EEF, 2020, 2021; Sentance and Waite on PRIMM; DfE, 2026, on the reading list).</w:t>
      </w:r>
    </w:p>
    <w:p>
      <w:pPr>
        <w:spacing w:after="160" w:line="276" w:lineRule="auto"/>
      </w:pPr>
      <w:r>
        <w:rPr>
          <w:rFonts w:ascii="Calibri" w:hAnsi="Calibri"/>
          <w:sz w:val="22"/>
        </w:rPr>
        <w:t>Originality in application → the originality is in the sequence decisions for this class (7X–11Y), not in inventing a new theory.</w:t>
      </w:r>
    </w:p>
    <w:p>
      <w:pPr>
        <w:spacing w:after="160" w:line="276" w:lineRule="auto"/>
      </w:pPr>
      <w:r>
        <w:rPr>
          <w:rFonts w:ascii="Calibri" w:hAnsi="Calibri"/>
          <w:sz w:val="22"/>
        </w:rPr>
        <w:t>Evaluate current research and methodologies → critique transferability (US professional development; lab cognitive science; primary inclusion studies) rather than taking texts at face value (the fail descriptor on your grid).</w:t>
      </w:r>
    </w:p>
    <w:p>
      <w:pPr>
        <w:spacing w:after="160" w:line="276" w:lineRule="auto"/>
      </w:pPr>
      <w:r>
        <w:rPr>
          <w:rFonts w:ascii="Calibri" w:hAnsi="Calibri"/>
          <w:sz w:val="22"/>
        </w:rPr>
        <w:t>Judgements in the absence of complete data → the class dataset is hypothetical and anonymised; you still make defensible adaptations and say what you would check with exit tickets.</w:t>
      </w:r>
    </w:p>
    <w:p>
      <w:pPr>
        <w:spacing w:after="160" w:line="276" w:lineRule="auto"/>
      </w:pPr>
      <w:r>
        <w:rPr>
          <w:rFonts w:ascii="Calibri" w:hAnsi="Calibri"/>
          <w:sz w:val="22"/>
        </w:rPr>
        <w:t>Communicate to specialist and non-specialist audiences → write so that a Computing mentor and a non-specialist examiner can both follow the argument (SIT4200: ‘school-based audience’).</w:t>
      </w:r>
    </w:p>
    <w:p>
      <w:pPr>
        <w:spacing w:after="160" w:line="276" w:lineRule="auto"/>
      </w:pPr>
      <w:r>
        <w:rPr>
          <w:rFonts w:ascii="Calibri" w:hAnsi="Calibri"/>
          <w:sz w:val="22"/>
        </w:rPr>
        <w:t>Autonomy and professional decision-making → the assignment launch’s sentence: make the decision visible and justify why it is defensible.</w:t>
      </w:r>
    </w:p>
    <w:p>
      <w:pPr>
        <w:spacing w:after="160" w:line="276" w:lineRule="auto"/>
      </w:pPr>
      <w:r>
        <w:rPr>
          <w:rFonts w:ascii="Calibri" w:hAnsi="Calibri"/>
          <w:sz w:val="22"/>
        </w:rPr>
        <w:t>Level 8 (doctorate) is beyond you: original contribution extending the frontier, substantial research process. Do not pretend to that. Level 7 is critical application and evaluation in professional context.</w:t>
      </w:r>
    </w:p>
    <w:p>
      <w:pPr>
        <w:pStyle w:val="Heading2"/>
      </w:pPr>
      <w:r>
        <w:rPr>
          <w:rFonts w:ascii="Calibri" w:hAnsi="Calibri"/>
          <w:color w:val="1F3A5F"/>
          <w:sz w:val="26"/>
        </w:rPr>
        <w:t>Citations and reference points named in the 2014 PDF</w:t>
      </w:r>
    </w:p>
    <w:p>
      <w:pPr>
        <w:spacing w:after="160" w:line="276" w:lineRule="auto"/>
      </w:pPr>
      <w:r>
        <w:rPr>
          <w:rFonts w:ascii="Calibri" w:hAnsi="Calibri"/>
          <w:sz w:val="22"/>
        </w:rPr>
        <w:t>The document is a QAA framework, not a literature review. It refers to: the UK Quality Code; QF-EHEA and Dublin descriptors (EHEA, 2005 documentation as sourced in Annex B); EQF; CQFW; SCQF; SQA; Pearson / QCF; Bologna process; QAA (2010) Master’s Degree Characteristics; QAA (2011) Doctoral Degree Characteristics; QAA (2010) Foundation Degree Qualification Benchmark; subject benchmark statements; a QAA statement on the PGCE qualification (URL given in the 2014 text). No Dewey or Vygotsky here: this is the standard against which those authors must be used.</w:t>
      </w:r>
    </w:p>
    <w:p>
      <w:r>
        <w:br w:type="page"/>
      </w:r>
    </w:p>
    <w:p>
      <w:pPr>
        <w:pStyle w:val="Heading1"/>
      </w:pPr>
      <w:r>
        <w:rPr>
          <w:rFonts w:ascii="Calibri" w:hAnsi="Calibri"/>
          <w:color w:val="1F3A5F"/>
        </w:rPr>
        <w:t>How these notes should (and should not) be used</w:t>
      </w:r>
    </w:p>
    <w:p>
      <w:pPr>
        <w:spacing w:after="160" w:line="276" w:lineRule="auto"/>
      </w:pPr>
      <w:r>
        <w:rPr>
          <w:rFonts w:ascii="Calibri" w:hAnsi="Calibri"/>
          <w:sz w:val="22"/>
        </w:rPr>
        <w:t>These summaries are study notes. They are not the assignment. Do not paste them into the 4,000-word rationale.</w:t>
      </w:r>
    </w:p>
    <w:p>
      <w:pPr>
        <w:spacing w:after="160" w:line="276" w:lineRule="auto"/>
      </w:pPr>
      <w:r>
        <w:rPr>
          <w:rFonts w:ascii="Calibri" w:hAnsi="Calibri"/>
          <w:sz w:val="22"/>
        </w:rPr>
        <w:t>When you write SIT4200, cite the books you actually use, in EHU Harvard, at the edition you had in your hand or on screen. If you only used these notes, you have not yet met the Level 7 expectation of engagement with the texts.</w:t>
      </w:r>
    </w:p>
    <w:p>
      <w:pPr>
        <w:spacing w:after="160" w:line="276" w:lineRule="auto"/>
      </w:pPr>
      <w:r>
        <w:rPr>
          <w:rFonts w:ascii="Calibri" w:hAnsi="Calibri"/>
          <w:sz w:val="22"/>
        </w:rPr>
        <w:t>The PGCE chain remains: claim → evidence → critique → decision → impact. Wallace and Wray supply the logic of claim and warrant. Ridley supplies synthesis and citation control. Poulson and Wallace supply education-specific practice. Fisher and Cottrell supply argument and reflection micro-skills. Williams supplies the stairway from description to justification. QAA supplies the Level 7 standard your marker is using, including judgements with incomplete data (the class datasets).</w:t>
      </w:r>
    </w:p>
    <w:p>
      <w:pPr>
        <w:pStyle w:val="Heading2"/>
      </w:pPr>
      <w:r>
        <w:rPr>
          <w:rFonts w:ascii="Calibri" w:hAnsi="Calibri"/>
          <w:color w:val="1F3A5F"/>
          <w:sz w:val="26"/>
        </w:rPr>
        <w:t>Suggested pairing with assignment sections</w:t>
      </w:r>
    </w:p>
    <w:p>
      <w:pPr>
        <w:spacing w:after="160" w:line="276" w:lineRule="auto"/>
      </w:pPr>
      <w:r>
        <w:rPr>
          <w:rFonts w:ascii="Calibri" w:hAnsi="Calibri"/>
          <w:sz w:val="22"/>
        </w:rPr>
        <w:t>Section 1 (theories of learning): Fisher; Cottrell Chapters 3–8; Wallace and Wray on evaluating warrants; then Computing sources (Sweller, Rosenshine, PRIMM).</w:t>
      </w:r>
    </w:p>
    <w:p>
      <w:pPr>
        <w:spacing w:after="160" w:line="276" w:lineRule="auto"/>
      </w:pPr>
      <w:r>
        <w:rPr>
          <w:rFonts w:ascii="Calibri" w:hAnsi="Calibri"/>
          <w:sz w:val="22"/>
        </w:rPr>
        <w:t>Section 2 (curriculum): Ridley on structuring an argument about knowledge; QAA on systematic understanding; then Young, Counsell, Ashbee, DfE Computing Programme of Study.</w:t>
      </w:r>
    </w:p>
    <w:p>
      <w:pPr>
        <w:spacing w:after="160" w:line="276" w:lineRule="auto"/>
      </w:pPr>
      <w:r>
        <w:rPr>
          <w:rFonts w:ascii="Calibri" w:hAnsi="Calibri"/>
          <w:sz w:val="22"/>
        </w:rPr>
        <w:t>Section 3 (learner needs): Williams on not writing from labels; Poulson and Wallace Chapter 9; Florian and Black-Hawkins (2011); the class dataset.</w:t>
      </w:r>
    </w:p>
    <w:p>
      <w:pPr>
        <w:spacing w:after="160" w:line="276" w:lineRule="auto"/>
      </w:pPr>
      <w:r>
        <w:rPr>
          <w:rFonts w:ascii="Calibri" w:hAnsi="Calibri"/>
          <w:sz w:val="22"/>
        </w:rPr>
        <w:t>Section 4 (adaptive teaching): Cottrell Chapter 12; QAA on professional judgement with incomplete data; EEF SEND (2020).</w:t>
      </w:r>
    </w:p>
    <w:p>
      <w:pPr>
        <w:spacing w:after="160" w:line="276" w:lineRule="auto"/>
      </w:pPr>
      <w:r>
        <w:rPr>
          <w:rFonts w:ascii="Calibri" w:hAnsi="Calibri"/>
          <w:sz w:val="22"/>
        </w:rPr>
        <w:t>Throughout: Wallace and Wray’s self-critical writer — whatever you demand of sources, supply in your own sequence.</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