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Governança Digital e Modelagem Computacional para a Prestação Jurisdicional no TRE-GO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01/03/2024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31/01/2025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1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Execução do Projeto “GOVERNANÇA DIGITAL E MODELAGEM COMPUTACIONAL PARA A PRESTAÇÃO JURISDICIONAL ELEITORAL NO TRE-GO”, visando ampliar o espaço de investigação científica, o intercâmbio de ações e de projetos técnico-científicos entre os professores-pesquisadores da UFT e os servidores e colaboradores, vinculados ao Programa de Pós-graduação em Modelagem Computacional de Sistemas (Mestrado e Doutorado) e, também com pesquisadores de universidades brasileiras e internacionais.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Promover um curso on-line de Exploração de Dados com Pandas, visando equipar pesquisadores com habilidades em análise de dados, fundamentais para o desenvolvimento de pesquisas em Governança Digital e Modelagem Computacional. Fomentar a publicação conjunta de artigos científicos e trabalhos técnicos que contribuam para o avanço do conhecimento na área de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O curso foi estruturado para abordar desde conceitos básicos até técnicas avançadas, com ênfase em exercícios práticos para aplicação direta do aprendizado.Estamos alimentado  a plataforma Google Classroom para facilitar o acesso aos materiais e promover a interação, complementada por aulas ao vivo e um grupo no Whatsapp, incentivando uma comunidade ativa de aprendizado.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--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1 de março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01/04/2024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