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FORMAÇÃO DE RECURSOS HUMANOS NA ÁREA DE INTELIGENCIA ARTIFICIAL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488297E6" w:rsidR="00EB401D" w:rsidRPr="00A507E4" w:rsidRDefault="00A507E4" w:rsidP="009229E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Rogério Nogueira de Sousa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20/12/2023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20/02/2023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2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r w:rsidRPr="00BE41FA">
              <w:rPr>
                <w:b/>
                <w:bCs/>
              </w:rPr>
              <w:t>Obj.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 xml:space="preserve"/>
            </w:r>
            <w:r>
              <w:t xml:space="preserve">Definição da ferramenta basilar para instrutoria e elaboração do escopo inicial do desenvolvimento do sistema.</w:t>
              <w:br/>
              <w:t xml:space="preserve"/>
              <w:br/>
              <w:t xml:space="preserve">O ambiente Jina.ai será utilizado para criação de uma plaforma experimental e será criado um gerador de Plano de Trabalho para responder as demandas apresentadas pelas empresas demandantes.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28 de fevereiro de 2023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:02/03/2023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94FF" w14:textId="77777777" w:rsidR="00C34C10" w:rsidRDefault="00C34C10">
      <w:pPr>
        <w:spacing w:after="0" w:line="240" w:lineRule="auto"/>
      </w:pPr>
      <w:r>
        <w:separator/>
      </w:r>
    </w:p>
  </w:endnote>
  <w:endnote w:type="continuationSeparator" w:id="0">
    <w:p w14:paraId="0558E93B" w14:textId="77777777" w:rsidR="00C34C10" w:rsidRDefault="00C3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D815" w14:textId="77777777" w:rsidR="00C34C10" w:rsidRDefault="00C34C10">
      <w:pPr>
        <w:spacing w:after="0" w:line="240" w:lineRule="auto"/>
      </w:pPr>
      <w:r>
        <w:separator/>
      </w:r>
    </w:p>
  </w:footnote>
  <w:footnote w:type="continuationSeparator" w:id="0">
    <w:p w14:paraId="4B6285AE" w14:textId="77777777" w:rsidR="00C34C10" w:rsidRDefault="00C3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65708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B7958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507E4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34C10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3</cp:revision>
  <cp:lastPrinted>2022-08-02T22:32:00Z</cp:lastPrinted>
  <dcterms:created xsi:type="dcterms:W3CDTF">2023-01-10T17:46:00Z</dcterms:created>
  <dcterms:modified xsi:type="dcterms:W3CDTF">2023-01-10T17:47:00Z</dcterms:modified>
</cp:coreProperties>
</file>