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Central QualiTOPAMA - Qualificação das Ações de Vigilância em Saúde, Fortalecimento e Organização da Rede de Saúde Interfederativa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 xml:space="preserve"> 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01/03/2022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30/12/2022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5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Obj. alcançado: MONITORAMENTO E AVALIAÇÃO da solução tecnológica em desenvolvimento.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Resultado obtido. O município de Marabá realizou a checagem das novas funcionalidades</w:t>
              <w:br/>
              <w:t xml:space="preserve">implantadas no sistema de vigilância sanitária, e certificou que as funcionalidades abaixo</w:t>
              <w:br/>
              <w:t xml:space="preserve">atendem a expectativa:</w:t>
              <w:br/>
              <w:t xml:space="preserve"> Lista dos operadores que excluíram Documentos, Processos, Visitas...</w:t>
              <w:br/>
              <w:t xml:space="preserve"> Permitir digitar o período da visita do operador;</w:t>
              <w:br/>
              <w:t xml:space="preserve"> Especificação do Bairro a ser visitado;</w:t>
              <w:br/>
              <w:t xml:space="preserve"> Lista de CNPJ de outros municípios;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30 de julho de 2022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:30/07/2022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73D0" w14:textId="77777777" w:rsidR="0044213A" w:rsidRDefault="0044213A">
      <w:pPr>
        <w:spacing w:after="0" w:line="240" w:lineRule="auto"/>
      </w:pPr>
      <w:r>
        <w:separator/>
      </w:r>
    </w:p>
  </w:endnote>
  <w:endnote w:type="continuationSeparator" w:id="0">
    <w:p w14:paraId="0AD82625" w14:textId="77777777" w:rsidR="0044213A" w:rsidRDefault="0044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04A0" w14:textId="77777777" w:rsidR="0044213A" w:rsidRDefault="0044213A">
      <w:pPr>
        <w:spacing w:after="0" w:line="240" w:lineRule="auto"/>
      </w:pPr>
      <w:r>
        <w:separator/>
      </w:r>
    </w:p>
  </w:footnote>
  <w:footnote w:type="continuationSeparator" w:id="0">
    <w:p w14:paraId="14B7D23C" w14:textId="77777777" w:rsidR="0044213A" w:rsidRDefault="0044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2022-09-06T22:09:00Z</dcterms:created>
  <dcterms:modified xsi:type="dcterms:W3CDTF">2022-09-06T22:09:00Z</dcterms:modified>
</cp:coreProperties>
</file>