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5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Instalação ambiente de treinamento moodle com protocolo do segurança SSL, o ambiente visa a implatanção do curso para atividades assincronas, onde os alunos terão acesso aos materiais para capacitação. </w:t>
              <w:br/>
              <w:t xml:space="preserve"/>
              <w:br/>
              <w:t xml:space="preserve">No sistema em desenvolvimento fora definida como será o processo de implantação das abas de gestão de recursos dos projetos. 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maio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01/06/2023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