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6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Implementação da nuvem para acomodar a aplicação desenvolvida, aquisição de nobreak, instalação dos sistemas da workstation, definição do layout do treinamento do modulo python.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junho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02/07/2023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