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13/03/2024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31/05/2025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8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 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cursos on-line de na área de inteligência artificial,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Durante o mês de outubro, o curso de Processamento de Linguagem Natural se concentrou no trabalho com Large Language Models (LLM), explorando suas capacidades e aplicações em tarefas complexas de PLN. As aulas foram dedicadas a aprofundar o uso desses modelos avançados, abordando sua implementação, treinamento e otimização, proporcionando aos participantes uma compreensão mais rica e prática das técnicas de processamento de linguagem com modelos de última geração.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outubro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01/11/2024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