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Dr. Aminat Abiola Ajibola</w:t>
      </w:r>
      <w:r>
        <w:br/>
      </w:r>
      <w:r>
        <w:t xml:space="preserve">Assistant Professor, College of Computer Science and Engineering</w:t>
      </w:r>
      <w:r>
        <w:br/>
      </w:r>
      <w:r>
        <w:t xml:space="preserve">University of Hafr Al-Batin, Eastern Province, Kingdom of Saudi Arabia</w:t>
      </w:r>
      <w:r>
        <w:br/>
      </w:r>
      <w:r>
        <w:t xml:space="preserve">Tel.: +966-550047554 E-mail:</w:t>
      </w:r>
      <w:r>
        <w:t xml:space="preserve"> </w:t>
      </w:r>
      <w:hyperlink r:id="rId20">
        <w:r>
          <w:rPr>
            <w:rStyle w:val="Hyperlink"/>
          </w:rPr>
          <w:t xml:space="preserve">aajibola@uhb.edu.sa</w:t>
        </w:r>
      </w:hyperlink>
      <w:r>
        <w:br/>
      </w:r>
      <w:r>
        <w:t xml:space="preserve">[Date of submission]</w:t>
      </w:r>
    </w:p>
    <w:p>
      <w:pPr>
        <w:pStyle w:val="BodyText"/>
      </w:pPr>
      <w:r>
        <w:t xml:space="preserve">The Editor-in-Chief</w:t>
      </w:r>
      <w:r>
        <w:br/>
      </w:r>
      <w:r>
        <w:rPr>
          <w:iCs/>
          <w:i/>
        </w:rPr>
        <w:t xml:space="preserve">Computers in Biology and Medicine</w:t>
      </w:r>
      <w:r>
        <w:br/>
      </w:r>
      <w:r>
        <w:t xml:space="preserve">Elsevier</w:t>
      </w:r>
    </w:p>
    <w:p>
      <w:pPr>
        <w:pStyle w:val="BodyText"/>
      </w:pPr>
      <w:r>
        <w:rPr>
          <w:bCs/>
          <w:b/>
        </w:rPr>
        <w:t xml:space="preserve">Re: Submission of an original research article,</w:t>
      </w:r>
      <w:r>
        <w:t xml:space="preserve"> </w:t>
      </w:r>
      <w:r>
        <w:t xml:space="preserve">“</w:t>
      </w:r>
      <w:r>
        <w:t xml:space="preserve">Predicting breast cancer grade from routine</w:t>
      </w:r>
      <w:r>
        <w:t xml:space="preserve"> </w:t>
      </w:r>
      <w:r>
        <w:t xml:space="preserve">clinical data: an open multi-cohort study with transport to Saudi patients</w:t>
      </w:r>
      <w:r>
        <w:t xml:space="preserve">”</w:t>
      </w:r>
    </w:p>
    <w:p>
      <w:pPr>
        <w:pStyle w:val="BodyText"/>
      </w:pPr>
      <w:r>
        <w:t xml:space="preserve">Dear Editor-in-Chief,</w:t>
      </w:r>
    </w:p>
    <w:p>
      <w:pPr>
        <w:pStyle w:val="BodyText"/>
      </w:pPr>
      <w:r>
        <w:t xml:space="preserve">I am pleased to submit the above manuscript for consideration as a full-length research article in</w:t>
      </w:r>
      <w:r>
        <w:t xml:space="preserve"> </w:t>
      </w:r>
      <w:r>
        <w:rPr>
          <w:iCs/>
          <w:i/>
        </w:rPr>
        <w:t xml:space="preserve">Computers in Biology and Medicine</w:t>
      </w:r>
      <w:r>
        <w:t xml:space="preserve">.</w:t>
      </w:r>
    </w:p>
    <w:p>
      <w:pPr>
        <w:pStyle w:val="BodyText"/>
      </w:pPr>
      <w:r>
        <w:t xml:space="preserve">Histological grade is one of the strongest prognostic factors in breast cancer, yet it is assigned</w:t>
      </w:r>
      <w:r>
        <w:t xml:space="preserve"> </w:t>
      </w:r>
      <w:r>
        <w:t xml:space="preserve">only after tissue examination and is only moderately reproducible between pathologists. Machine-learning</w:t>
      </w:r>
      <w:r>
        <w:t xml:space="preserve"> </w:t>
      </w:r>
      <w:r>
        <w:t xml:space="preserve">studies increasingly try to predict grade from images, but there is no transparent, externally validated</w:t>
      </w:r>
      <w:r>
        <w:t xml:space="preserve"> </w:t>
      </w:r>
      <w:r>
        <w:t xml:space="preserve">baseline showing how much grade the routine clinical record already carries. Such studies are also</w:t>
      </w:r>
      <w:r>
        <w:t xml:space="preserve"> </w:t>
      </w:r>
      <w:r>
        <w:t xml:space="preserve">exposed to data leakage, because public breast cancer datasets contain variables that encode grade.</w:t>
      </w:r>
      <w:r>
        <w:t xml:space="preserve"> </w:t>
      </w:r>
      <w:r>
        <w:t xml:space="preserve">Finally, it is unknown whether models developed on Western data give correct predictions for patients in</w:t>
      </w:r>
      <w:r>
        <w:t xml:space="preserve"> </w:t>
      </w:r>
      <w:r>
        <w:t xml:space="preserve">Saudi Arabia, where breast cancer presents younger and is more often hormone-receptor-negative.</w:t>
      </w:r>
    </w:p>
    <w:p>
      <w:pPr>
        <w:pStyle w:val="BodyText"/>
      </w:pPr>
      <w:r>
        <w:t xml:space="preserve">To address these gaps, we built an open, checksummed data model of 5025 grade-labelled</w:t>
      </w:r>
      <w:r>
        <w:t xml:space="preserve"> </w:t>
      </w:r>
      <w:r>
        <w:t xml:space="preserve">invasive breast cancers from 7 public cohorts. We then compared seven models, from a</w:t>
      </w:r>
      <w:r>
        <w:t xml:space="preserve"> </w:t>
      </w:r>
      <w:r>
        <w:t xml:space="preserve">prevalence baseline to gradient boosting, with nested cross-validation and frozen validation in five</w:t>
      </w:r>
      <w:r>
        <w:t xml:space="preserve"> </w:t>
      </w:r>
      <w:r>
        <w:t xml:space="preserve">external cohorts on three continents. The main findings are:</w:t>
      </w:r>
    </w:p>
    <w:p>
      <w:pPr>
        <w:numPr>
          <w:ilvl w:val="0"/>
          <w:numId w:val="1001"/>
        </w:numPr>
      </w:pPr>
      <w:r>
        <w:t xml:space="preserve">Routine variables predict grade moderately and consistently (macro-AUC 0.72–0.73</w:t>
      </w:r>
      <w:r>
        <w:t xml:space="preserve"> </w:t>
      </w:r>
      <w:r>
        <w:t xml:space="preserve">internally; 0.64–0.80 externally). Gradient boosting did not improve on logistic</w:t>
      </w:r>
      <w:r>
        <w:t xml:space="preserve"> </w:t>
      </w:r>
      <w:r>
        <w:t xml:space="preserve">regression (difference +0.001, 95% CI -0.006 to +0.008).</w:t>
      </w:r>
    </w:p>
    <w:p>
      <w:pPr>
        <w:numPr>
          <w:ilvl w:val="0"/>
          <w:numId w:val="1001"/>
        </w:numPr>
      </w:pPr>
      <w:r>
        <w:t xml:space="preserve">Predictor effects transported across cohorts, but calibration did not: the same model</w:t>
      </w:r>
      <w:r>
        <w:t xml:space="preserve"> </w:t>
      </w:r>
      <w:r>
        <w:t xml:space="preserve">under-predicted grade 3 in one cohort and over-predicted it in another. A simple intercept update</w:t>
      </w:r>
      <w:r>
        <w:t xml:space="preserve"> </w:t>
      </w:r>
      <w:r>
        <w:t xml:space="preserve">corrected both.</w:t>
      </w:r>
    </w:p>
    <w:p>
      <w:pPr>
        <w:numPr>
          <w:ilvl w:val="0"/>
          <w:numId w:val="1001"/>
        </w:numPr>
      </w:pPr>
      <w:r>
        <w:t xml:space="preserve">Common leakage shortcuts inflated apparent performance by up to +0.297 in macro-AUC, more</w:t>
      </w:r>
      <w:r>
        <w:t xml:space="preserve"> </w:t>
      </w:r>
      <w:r>
        <w:t xml:space="preserve">than the gap between a useless and the best correctly validated model.</w:t>
      </w:r>
    </w:p>
    <w:p>
      <w:pPr>
        <w:numPr>
          <w:ilvl w:val="0"/>
          <w:numId w:val="1001"/>
        </w:numPr>
      </w:pPr>
      <w:r>
        <w:t xml:space="preserve">In 637 patients with breast MRI, 529 radiomic features did not improve on the routine</w:t>
      </w:r>
      <w:r>
        <w:t xml:space="preserve"> </w:t>
      </w:r>
      <w:r>
        <w:t xml:space="preserve">clinical variables.</w:t>
      </w:r>
    </w:p>
    <w:p>
      <w:pPr>
        <w:numPr>
          <w:ilvl w:val="0"/>
          <w:numId w:val="1001"/>
        </w:numPr>
      </w:pPr>
      <w:r>
        <w:t xml:space="preserve">Re-weighting the cohorts to published Saudi case-mix showed that Western-trained models would</w:t>
      </w:r>
      <w:r>
        <w:t xml:space="preserve"> </w:t>
      </w:r>
      <w:r>
        <w:t xml:space="preserve">over-predict high-grade disease in Saudi patients, so local recalibration is essential.</w:t>
      </w:r>
    </w:p>
    <w:p>
      <w:pPr>
        <w:pStyle w:val="FirstParagraph"/>
      </w:pPr>
      <w:r>
        <w:t xml:space="preserve">We believe the work fits the journal’s scope in computational methods for medicine, and it offers</w:t>
      </w:r>
      <w:r>
        <w:t xml:space="preserve"> </w:t>
      </w:r>
      <w:r>
        <w:t xml:space="preserve">four things that readers will find useful. It provides a reproducible benchmark that image-based grading</w:t>
      </w:r>
      <w:r>
        <w:t xml:space="preserve"> </w:t>
      </w:r>
      <w:r>
        <w:t xml:space="preserve">tools can be measured against. It shows that a simple, interpretable model is sufficient. It gives</w:t>
      </w:r>
      <w:r>
        <w:t xml:space="preserve"> </w:t>
      </w:r>
      <w:r>
        <w:t xml:space="preserve">concrete evidence of how leakage inflates results. And it offers practical guidance on recalibrating</w:t>
      </w:r>
      <w:r>
        <w:t xml:space="preserve"> </w:t>
      </w:r>
      <w:r>
        <w:t xml:space="preserve">models before they are used in a new population.</w:t>
      </w:r>
    </w:p>
    <w:p>
      <w:pPr>
        <w:pStyle w:val="BodyText"/>
      </w:pPr>
      <w:r>
        <w:t xml:space="preserve">The study is reported according to TRIPOD+AI (prediction) and STROBE (descriptive analyses); the</w:t>
      </w:r>
      <w:r>
        <w:t xml:space="preserve"> </w:t>
      </w:r>
      <w:r>
        <w:t xml:space="preserve">completed TRIPOD+AI checklist is included in the supplementary material. It uses only de-identified, publicly released data, so no ethics approval</w:t>
      </w:r>
      <w:r>
        <w:t xml:space="preserve"> </w:t>
      </w:r>
      <w:r>
        <w:t xml:space="preserve">was required. All code, configuration files and results are available in an anonymised repository</w:t>
      </w:r>
      <w:r>
        <w:t xml:space="preserve"> </w:t>
      </w:r>
      <w:r>
        <w:t xml:space="preserve">[insert anonymous repository link]. A single command reproduces every table, figure and number in the</w:t>
      </w:r>
      <w:r>
        <w:t xml:space="preserve"> </w:t>
      </w:r>
      <w:r>
        <w:t xml:space="preserve">manuscript.</w:t>
      </w:r>
    </w:p>
    <w:p>
      <w:pPr>
        <w:pStyle w:val="BodyText"/>
      </w:pPr>
      <w:r>
        <w:t xml:space="preserve">I confirm that this manuscript is original, has not been published previously, and is not under</w:t>
      </w:r>
      <w:r>
        <w:t xml:space="preserve"> </w:t>
      </w:r>
      <w:r>
        <w:t xml:space="preserve">consideration for publication elsewhere. [All authors have approved the submission.] The author</w:t>
      </w:r>
      <w:r>
        <w:t xml:space="preserve"> </w:t>
      </w:r>
      <w:r>
        <w:t xml:space="preserve">declares no competing interests and received no specific funding for this work [confirm]. The use of</w:t>
      </w:r>
      <w:r>
        <w:t xml:space="preserve"> </w:t>
      </w:r>
      <w:r>
        <w:t xml:space="preserve">AI-assisted tools is disclosed in the manuscript, as required by Elsevier policy. Because the</w:t>
      </w:r>
      <w:r>
        <w:t xml:space="preserve"> </w:t>
      </w:r>
      <w:r>
        <w:t xml:space="preserve">manuscript has been prepared for double-anonymised review, author details are provided only in this</w:t>
      </w:r>
      <w:r>
        <w:t xml:space="preserve"> </w:t>
      </w:r>
      <w:r>
        <w:t xml:space="preserve">letter and on the separate title page.</w:t>
      </w:r>
    </w:p>
    <w:p>
      <w:pPr>
        <w:pStyle w:val="BodyText"/>
      </w:pPr>
      <w:r>
        <w:t xml:space="preserve">[Optional: suggested reviewers with name, affiliation, e-mail and a one-line reason for each, chosen</w:t>
      </w:r>
      <w:r>
        <w:t xml:space="preserve"> </w:t>
      </w:r>
      <w:r>
        <w:t xml:space="preserve">from researchers with no conflict of interest, for example experts in clinical prediction-model</w:t>
      </w:r>
      <w:r>
        <w:t xml:space="preserve"> </w:t>
      </w:r>
      <w:r>
        <w:t xml:space="preserve">validation or computational breast pathology.]</w:t>
      </w:r>
    </w:p>
    <w:p>
      <w:pPr>
        <w:pStyle w:val="BodyText"/>
      </w:pPr>
      <w:r>
        <w:t xml:space="preserve">Thank you for considering this manuscript. I look forward to hearing from you.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Dr. Aminat Abiola Ajibola</w:t>
      </w:r>
      <w:r>
        <w:br/>
      </w:r>
      <w:r>
        <w:t xml:space="preserve">Corresponding author</w:t>
      </w:r>
      <w:r>
        <w:br/>
      </w:r>
      <w:r>
        <w:t xml:space="preserve">College of Computer Science and Engineering, University of Hafr Al-Batin</w:t>
      </w:r>
      <w:r>
        <w:br/>
      </w:r>
      <w:r>
        <w:t xml:space="preserve">Eastern Province, Kingdom of Saudi Arabia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aajibola@uhb.edu.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ajibola@uhb.edu.s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2026-10-24T03:02:33Z</dcterms:created>
  <dcterms:modified xsi:type="dcterms:W3CDTF">2026-10-24T03:02:33Z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