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Тезисы (флэш-карты) докладчика к защите диссертации</w:t>
      </w:r>
    </w:p>
    <w:p>
      <w:pPr>
        <w:jc w:val="center"/>
      </w:pPr>
      <w:r>
        <w:rPr>
          <w:i/>
          <w:sz w:val="24"/>
        </w:rPr>
        <w:t>по теме «Разработка состязательно устойчивых моделей на основе искусственного интеллекта в гибридных системах обнаружения и предотвращения вторжений для сетевой безопасности»</w:t>
      </w:r>
    </w:p>
    <w:p>
      <w:pPr>
        <w:jc w:val="center"/>
      </w:pPr>
      <w:r>
        <w:rPr>
          <w:sz w:val="22"/>
        </w:rPr>
        <w:t>Аспирант: Анаедевха Роджер Ник (А23–501)</w:t>
        <w:br/>
        <w:t>Научный руководитель: к.т.н., доцент Трофимов А. Г.</w:t>
        <w:br/>
        <w:t>НИЯУ МИФИ, кафедра кибернетики № 22</w:t>
        <w:br/>
        <w:t>Москва, 2026 г.</w:t>
      </w:r>
    </w:p>
    <w:p/>
    <w:p>
      <w:r>
        <w:rPr>
          <w:b/>
          <w:sz w:val="22"/>
        </w:rPr>
        <w:t xml:space="preserve">Назначение документа. </w:t>
      </w:r>
      <w:r>
        <w:t>Настоящие тезисы предназначены для самостоятельного чтения членами диссертационного совета во время устной презентации. По каждому слайду — 2–3 кратких предложения на простом языке, без специальной терминологии.</w:t>
      </w:r>
    </w:p>
    <w:p>
      <w:r>
        <w:br w:type="page"/>
      </w:r>
    </w:p>
    <w:p>
      <w:r>
        <w:rPr>
          <w:b/>
          <w:color w:val="14285A"/>
          <w:sz w:val="24"/>
        </w:rPr>
        <w:t>Слайд 1. Титульный лист</w:t>
      </w:r>
    </w:p>
    <w:p>
      <w:pPr>
        <w:spacing w:after="200"/>
        <w:ind w:left="283"/>
      </w:pPr>
      <w:r>
        <w:rPr>
          <w:sz w:val="22"/>
        </w:rPr>
        <w:t>Уважаемые члены диссертационного совета! Представляю на защиту диссертационную работу по разработке состязательно устойчивых моделей искусственного интеллекта в гибридных системах обнаружения и предотвращения вторжений для сетевой безопасности. Работа выполнена на кафедре кибернетики № 22 НИЯУ МИФИ под научным руководством Александра Геннадьевича Трофимова.</w:t>
      </w:r>
    </w:p>
    <w:p>
      <w:r>
        <w:rPr>
          <w:b/>
          <w:color w:val="14285A"/>
          <w:sz w:val="24"/>
        </w:rPr>
        <w:t>Слайд 2. Актуальность темы исследования</w:t>
      </w:r>
    </w:p>
    <w:p>
      <w:pPr>
        <w:spacing w:after="200"/>
        <w:ind w:left="283"/>
      </w:pPr>
      <w:r>
        <w:rPr>
          <w:sz w:val="22"/>
        </w:rPr>
        <w:t>Современные системы кибербезопасности всё чаще опираются на нейросетевые модели, однако их устойчивость к преднамеренным помехам отстаёт от точности обнаружения на 25–65 процентных пунктов. Ежегодный мировой ущерб от киберинцидентов достигает 10,5 трлн долларов к 2025 году, а регуляторные требования NIST AI RMF и EU AI Act требуют сертифицированной — а не только эмпирической — устойчивости. Ни одно из существующих решений не обеспечивает одновременно устойчивость, приватность, эффективность и точность на динамических графовых данных.</w:t>
      </w:r>
    </w:p>
    <w:p>
      <w:r>
        <w:rPr>
          <w:b/>
          <w:color w:val="14285A"/>
          <w:sz w:val="24"/>
        </w:rPr>
        <w:t>Слайд 3. Области применения гибридной IDPS и их текущие проблемы</w:t>
      </w:r>
    </w:p>
    <w:p>
      <w:pPr>
        <w:spacing w:after="200"/>
        <w:ind w:left="283"/>
      </w:pPr>
      <w:r>
        <w:rPr>
          <w:sz w:val="22"/>
        </w:rPr>
        <w:t>Гибридные системы защищают сетевую инфраструктуру, бортовые системы беспилотных летательных аппаратов, автономный транспорт, а также облачные и контейнерные среды. Общая черта всех этих секторов состоит в том, что модели обучаются на одних статистиках, а эксплуатируются на других, что приводит к коллапсу точности при состязательных воздействиях или дрейфе характеристик трафика.</w:t>
      </w:r>
    </w:p>
    <w:p>
      <w:r>
        <w:rPr>
          <w:b/>
          <w:color w:val="14285A"/>
          <w:sz w:val="24"/>
        </w:rPr>
        <w:t>Слайд 4. Степень разработанности темы: историческая эволюция систем обнаружения вторжений</w:t>
      </w:r>
    </w:p>
    <w:p>
      <w:pPr>
        <w:spacing w:after="200"/>
        <w:ind w:left="283"/>
      </w:pPr>
      <w:r>
        <w:rPr>
          <w:sz w:val="22"/>
        </w:rPr>
        <w:t>Системы обнаружения вторжений эволюционировали от сигнатурных в 1980–90-х годах (Snort, работы Denning), через статистические модели в 2000-х (Zeek, OSSEC) и протокольный анализ в 2010-х (Suricata, Cisco IPS), к ИИ-усиленным платформам 2020-х годов (CrowdStrike Charlotte AI, SentinelOne Purple AI). Следующее десятилетие связано с переходом к агентным языковым моделям SOC, что и определяет необходимость теоретического каркаса, разработанного в настоящей работе.</w:t>
      </w:r>
    </w:p>
    <w:p>
      <w:r>
        <w:rPr>
          <w:b/>
          <w:color w:val="14285A"/>
          <w:sz w:val="24"/>
        </w:rPr>
        <w:t>Слайд 5. Объект и предмет исследования</w:t>
      </w:r>
    </w:p>
    <w:p>
      <w:pPr>
        <w:spacing w:after="200"/>
        <w:ind w:left="283"/>
      </w:pPr>
      <w:r>
        <w:rPr>
          <w:sz w:val="22"/>
        </w:rPr>
        <w:t>Объектом исследования являются гибридные системы обнаружения и предотвращения вторжений, функционирующие в условиях состязательных воздействий, нестационарности данных и распределённости вычислений. Предметом — модели, алгоритмы и специальное математическое обеспечение, повышающие устойчивость, эффективность, приватность и калиброванность таких систем.</w:t>
      </w:r>
    </w:p>
    <w:p>
      <w:r>
        <w:rPr>
          <w:b/>
          <w:color w:val="14285A"/>
          <w:sz w:val="24"/>
        </w:rPr>
        <w:t>Слайд 6. Цель работы</w:t>
      </w:r>
    </w:p>
    <w:p>
      <w:pPr>
        <w:spacing w:after="200"/>
        <w:ind w:left="283"/>
      </w:pPr>
      <w:r>
        <w:rPr>
          <w:sz w:val="22"/>
        </w:rPr>
        <w:t>Цель диссертационного исследования — повысить устойчивость и эффективность гибридных систем обнаружения и предотвращения вторжений, функционирующих в состязательных, нестационарных и распределённых условиях.</w:t>
      </w:r>
    </w:p>
    <w:p>
      <w:r>
        <w:rPr>
          <w:b/>
          <w:color w:val="14285A"/>
          <w:sz w:val="24"/>
        </w:rPr>
        <w:t>Слайд 7. Задачи исследования</w:t>
      </w:r>
    </w:p>
    <w:p>
      <w:pPr>
        <w:spacing w:after="200"/>
        <w:ind w:left="283"/>
      </w:pPr>
      <w:r>
        <w:rPr>
          <w:sz w:val="22"/>
        </w:rPr>
        <w:t>Сформулированы восемь взаимосвязанных задач: от систематического обзора современных гибридных IDPS и сравнительного анализа коммерческих ИИ-усиленных продуктов — до разработки математической модели, семи моделей и алгоритмов, программной реализации, экспериментальной валидации, интеграции в производственные конвейеры и демонстрации применимости в смежной области защиты беспилотных летательных аппаратов. Каждая задача отвечает за конкретный этап доказательства практической применимости полученных результатов.</w:t>
      </w:r>
    </w:p>
    <w:p>
      <w:r>
        <w:rPr>
          <w:b/>
          <w:color w:val="14285A"/>
          <w:sz w:val="24"/>
        </w:rPr>
        <w:t>Слайд 8. Научная новизна</w:t>
      </w:r>
    </w:p>
    <w:p>
      <w:pPr>
        <w:spacing w:after="200"/>
        <w:ind w:left="283"/>
      </w:pPr>
      <w:r>
        <w:rPr>
          <w:sz w:val="22"/>
        </w:rPr>
        <w:t>Научная новизна включает: впервые предложенное единое математическое описание гибридной IDPS и матрицу условий-требований; модели непрерывно-временной графовой динамики с сертифицированной устойчивостью; оригинальную распределённую архитектуру обучения между организациями без передачи данных; новую модель эффективного обнаружения и калиброванной оценки доверия; единую теоретико-игровую сертификацию устойчивости. Все семь моделей связаны единой регуляризацией согласованности.</w:t>
      </w:r>
    </w:p>
    <w:p>
      <w:r>
        <w:rPr>
          <w:b/>
          <w:color w:val="14285A"/>
          <w:sz w:val="24"/>
        </w:rPr>
        <w:t>Слайд 9. Соответствие паспорту специальности — П.4</w:t>
      </w:r>
    </w:p>
    <w:p>
      <w:pPr>
        <w:spacing w:after="200"/>
        <w:ind w:left="283"/>
      </w:pPr>
      <w:r>
        <w:rPr>
          <w:sz w:val="22"/>
        </w:rPr>
        <w:t>Работа соответствует пункту 4 паспорта специальности 2.3.1 в части разработки методов и алгоритмов решения задач системного анализа, оптимизации, управления и обработки информации. Соответствие подтверждается декомпозицией проблемы устойчивости на матрицу из 12 подзадач, семью оригинальными моделями обучения и обработкой 84,2 миллионов размеченных образцов сетевого трафика.</w:t>
      </w:r>
    </w:p>
    <w:p>
      <w:r>
        <w:rPr>
          <w:b/>
          <w:color w:val="14285A"/>
          <w:sz w:val="24"/>
        </w:rPr>
        <w:t>Слайд 10. Соответствие паспорту специальности — П.5</w:t>
      </w:r>
    </w:p>
    <w:p>
      <w:pPr>
        <w:spacing w:after="200"/>
        <w:ind w:left="283"/>
      </w:pPr>
      <w:r>
        <w:rPr>
          <w:sz w:val="22"/>
        </w:rPr>
        <w:t>Работа также соответствует пункту 5 паспорта в части разработки специального математического и алгоритмического обеспечения. Подтверждение — формальные сертификаты устойчивости на основе классических неравенств теории дифференциальных уравнений, оценки приватности и обобщения, а также единая программная реализация в виде платформы RobustIDPS.ai.</w:t>
      </w:r>
    </w:p>
    <w:p>
      <w:r>
        <w:rPr>
          <w:b/>
          <w:color w:val="14285A"/>
          <w:sz w:val="24"/>
        </w:rPr>
        <w:t>Слайд 11. Теоретическая значимость</w:t>
      </w:r>
    </w:p>
    <w:p>
      <w:pPr>
        <w:spacing w:after="200"/>
        <w:ind w:left="283"/>
      </w:pPr>
      <w:r>
        <w:rPr>
          <w:sz w:val="22"/>
        </w:rPr>
        <w:t>Теоретическая значимость состоит в объединении пяти ранее не комбинировавшихся областей математики — нейронных дифференциальных уравнений, оптимального транспорта, моделей пространства состояний, байесовского вывода и теории игр — в единый каркас для устойчивого обучения на графах. Получены шесть формальных гарантий: сходимости, устойчивости, приватности, обобщения, адаптации и единой сходимости семи моделей в составе системы.</w:t>
      </w:r>
    </w:p>
    <w:p>
      <w:r>
        <w:rPr>
          <w:b/>
          <w:color w:val="14285A"/>
          <w:sz w:val="24"/>
        </w:rPr>
        <w:t>Слайд 12. Практическая значимость</w:t>
      </w:r>
    </w:p>
    <w:p>
      <w:pPr>
        <w:spacing w:after="200"/>
        <w:ind w:left="283"/>
      </w:pPr>
      <w:r>
        <w:rPr>
          <w:sz w:val="22"/>
        </w:rPr>
        <w:t>Практическая значимость подтверждена внедрением. Программный комплекс RobustIDPS.ai активно используется штатными специалистами кибербезопасности ООО «НИИ ИКТ» в Новосибирске и интегрирован в действующую систему анализа трафика ООО «Ксайрикс» в Москве. Третий акт от Центра искусственного интеллекта НИЯУ МИФИ для применения к защите бортовых систем беспилотных летательных аппаратов находится в стадии оформления.</w:t>
      </w:r>
    </w:p>
    <w:p>
      <w:r>
        <w:rPr>
          <w:b/>
          <w:color w:val="14285A"/>
          <w:sz w:val="24"/>
        </w:rPr>
        <w:t>Слайд 13. Методы исследования</w:t>
      </w:r>
    </w:p>
    <w:p>
      <w:pPr>
        <w:spacing w:after="200"/>
        <w:ind w:left="283"/>
      </w:pPr>
      <w:r>
        <w:rPr>
          <w:sz w:val="22"/>
        </w:rPr>
        <w:t>В работе использованы методы пяти взаимодополняющих областей: системного анализа и теории графов; дифференциальных и стохастических уравнений; распределённого и приватного обучения; байесовского вывода и оценки неопределённости; теории игр и обучения с подкреплением. Все методы применены к одной и той же задаче и объединены в одной программной системе.</w:t>
      </w:r>
    </w:p>
    <w:p>
      <w:r>
        <w:rPr>
          <w:b/>
          <w:color w:val="14285A"/>
          <w:sz w:val="24"/>
        </w:rPr>
        <w:t>Слайд 14. Личный вклад (часть 1 из 2)</w:t>
      </w:r>
    </w:p>
    <w:p>
      <w:pPr>
        <w:spacing w:after="200"/>
        <w:ind w:left="283"/>
      </w:pPr>
      <w:r>
        <w:rPr>
          <w:sz w:val="22"/>
        </w:rPr>
        <w:t>Все основные научные результаты получены мной лично. Лично разработаны единое математическое описание гибридной IDPS, модели непрерывно-временной графовой динамики, распределённый алгоритм совместного обучения между организациями и многоуровневая темпоральная архитектура представления графов.</w:t>
      </w:r>
    </w:p>
    <w:p>
      <w:r>
        <w:rPr>
          <w:b/>
          <w:color w:val="14285A"/>
          <w:sz w:val="24"/>
        </w:rPr>
        <w:t>Слайд 15. Личный вклад (часть 2 из 2)</w:t>
      </w:r>
    </w:p>
    <w:p>
      <w:pPr>
        <w:spacing w:after="200"/>
        <w:ind w:left="283"/>
      </w:pPr>
      <w:r>
        <w:rPr>
          <w:sz w:val="22"/>
        </w:rPr>
        <w:t>Лично мной разработаны также эффективная модель на основе пространства состояний, стохастический трансформер с калиброванной оценкой доверия, единая теоретико-игровая система сертификации и программная платформа RobustIDPS.ai с семнадцатью моделями. Вклад автора составляет сто процентов в постановке задач, разработке моделей, проведении экспериментов и подготовке всех публикаций.</w:t>
      </w:r>
    </w:p>
    <w:p>
      <w:r>
        <w:rPr>
          <w:b/>
          <w:color w:val="14285A"/>
          <w:sz w:val="24"/>
        </w:rPr>
        <w:t>Слайд 16. Основные научные результаты, выносимые на защиту</w:t>
      </w:r>
    </w:p>
    <w:p>
      <w:pPr>
        <w:spacing w:after="200"/>
        <w:ind w:left="283"/>
      </w:pPr>
      <w:r>
        <w:rPr>
          <w:sz w:val="22"/>
        </w:rPr>
        <w:t>На защиту выносятся шесть результатов: единое математическое описание гибридной IDPS; алгоритм непрерывно-временной графовой динамики; алгоритм распределённого обучения между организациями; алгоритм эффективного обнаружения на пространстве состояний; алгоритм калиброванной оценки доверия; и единая теоретико-игровая система сертификации, связывающая все компоненты. Совокупность результатов реализована в программной платформе RobustIDPS.ai и подтверждена актами внедрения.</w:t>
      </w:r>
    </w:p>
    <w:p>
      <w:r>
        <w:rPr>
          <w:b/>
          <w:color w:val="14285A"/>
          <w:sz w:val="24"/>
        </w:rPr>
        <w:t>Слайд 17. Публикации: журнальные статьи</w:t>
      </w:r>
    </w:p>
    <w:p>
      <w:pPr>
        <w:spacing w:after="200"/>
        <w:ind w:left="283"/>
      </w:pPr>
      <w:r>
        <w:rPr>
          <w:sz w:val="22"/>
        </w:rPr>
        <w:t>По теме диссертации опубликовано шесть статей в рецензируемых научных журналах, индексируемых в Scopus и Web of Science. Четыре статьи уже опубликованы и две приняты к публикации; издательства — Elsevier и Springer; три статьи относятся к квартилю Q1.</w:t>
      </w:r>
    </w:p>
    <w:p>
      <w:r>
        <w:rPr>
          <w:b/>
          <w:color w:val="14285A"/>
          <w:sz w:val="24"/>
        </w:rPr>
        <w:t>Слайд 18. Публикации: труды конференций</w:t>
      </w:r>
    </w:p>
    <w:p>
      <w:pPr>
        <w:spacing w:after="200"/>
        <w:ind w:left="283"/>
      </w:pPr>
      <w:r>
        <w:rPr>
          <w:sz w:val="22"/>
        </w:rPr>
        <w:t>Результаты доложены на восьми международных и российских научных конференциях, включая EMNLP 2026 в Будапеште, IEEE ESTC и RTSI в Финляндии, IEEE EDM, NEUROINFORMATICS и российскую конференцию КИБ-2025. Всего по теме диссертации подготовлено 18 публикаций и докладов, включая статьи, находящиеся на рецензировании в IEEE Transactions.</w:t>
      </w:r>
    </w:p>
    <w:p>
      <w:r>
        <w:rPr>
          <w:b/>
          <w:color w:val="14285A"/>
          <w:sz w:val="24"/>
        </w:rPr>
        <w:t>Слайд 19. Содержание диссертации</w:t>
      </w:r>
    </w:p>
    <w:p>
      <w:pPr>
        <w:spacing w:after="200"/>
        <w:ind w:left="283"/>
      </w:pPr>
      <w:r>
        <w:rPr>
          <w:sz w:val="22"/>
        </w:rPr>
        <w:t>Диссертация объёмом 301 страница состоит из шести глав, заключения и трёх приложений, содержит 17 рисунков, 31 таблицу и 217 библиографических источников. Логика изложения: от анализа предметной области и пробелов через математическое описание и алгоритмы — к программной реализации, экспериментальной валидации, внедрению в действующие организации и переносу в смежную область защиты беспилотных летательных аппаратов.</w:t>
      </w:r>
    </w:p>
    <w:p>
      <w:r>
        <w:rPr>
          <w:b/>
          <w:color w:val="14285A"/>
          <w:sz w:val="24"/>
        </w:rPr>
        <w:t>Слайд 20. Глава 1: Анализ гибридной IDPS и подходов к её устойчивости</w:t>
      </w:r>
    </w:p>
    <w:p>
      <w:pPr>
        <w:spacing w:after="200"/>
        <w:ind w:left="283"/>
      </w:pPr>
      <w:r>
        <w:rPr>
          <w:sz w:val="22"/>
        </w:rPr>
        <w:t>Первая глава посвящена систематическому обзору современных гибридных IDPS и подходов к обеспечению их устойчивости. На основе анализа 217 цитируемых работ выявлены семь нерешённых проблем, формирующих исследовательское пространство диссертации.</w:t>
      </w:r>
    </w:p>
    <w:p>
      <w:r>
        <w:rPr>
          <w:b/>
          <w:color w:val="14285A"/>
          <w:sz w:val="24"/>
        </w:rPr>
        <w:t>Слайд 21. Общая архитектура исследовательской системы диссертации</w:t>
      </w:r>
    </w:p>
    <w:p>
      <w:pPr>
        <w:spacing w:after="200"/>
        <w:ind w:left="283"/>
      </w:pPr>
      <w:r>
        <w:rPr>
          <w:sz w:val="22"/>
        </w:rPr>
        <w:t>На рисунке показана общая архитектура исследования: данные сетевого трафика и бортовой обстановки беспилотных летательных аппаратов преобразуются в графы, обрабатываются обучаемыми компонентами М1–М7 и подтверждаются сертификацией с интеграцией в действующие средства защиты. Архитектура закрывает все 12 ячеек матрицы условий-требований.</w:t>
      </w:r>
    </w:p>
    <w:p>
      <w:r>
        <w:rPr>
          <w:b/>
          <w:color w:val="14285A"/>
          <w:sz w:val="24"/>
        </w:rPr>
        <w:t>Слайд 22. Уязвимость обучаемых компонентов: двойная поверхность атаки</w:t>
      </w:r>
    </w:p>
    <w:p>
      <w:pPr>
        <w:spacing w:after="200"/>
        <w:ind w:left="283"/>
      </w:pPr>
      <w:r>
        <w:rPr>
          <w:sz w:val="22"/>
        </w:rPr>
        <w:t>Графовые нейросети получают одновременно два входа — числовые признаки узлов и структуру связей между ними; возмущение любого из них может нарушить решение модели. Все эти поверхности атаки одновременно закрывает ансамбль семи моделей в платформе RobustIDPS.ai.</w:t>
      </w:r>
    </w:p>
    <w:p>
      <w:r>
        <w:rPr>
          <w:b/>
          <w:color w:val="14285A"/>
          <w:sz w:val="24"/>
        </w:rPr>
        <w:t>Слайд 23. Семь нерешённых проблем гибридной IDPS</w:t>
      </w:r>
    </w:p>
    <w:p>
      <w:pPr>
        <w:spacing w:after="200"/>
        <w:ind w:left="283"/>
      </w:pPr>
      <w:r>
        <w:rPr>
          <w:sz w:val="22"/>
        </w:rPr>
        <w:t>Из обзора литературы выделены семь нерешённых проблем: отсутствие сертифицированной устойчивости графовых моделей, частной федеративной агрегации, многоуровневых темпоральных представлений, эффективных моделей для периферийных устройств, калиброванной оценки неопределённости, единой теоретико-игровой сертификации и воспроизводимого переноса архитектуры в смежные области. Каждая из этих проблем закрывается соответствующей моделью или группой моделей М1–М7.</w:t>
      </w:r>
    </w:p>
    <w:p>
      <w:r>
        <w:rPr>
          <w:b/>
          <w:color w:val="14285A"/>
          <w:sz w:val="24"/>
        </w:rPr>
        <w:t>Слайд 24. Выводы по Главе 1</w:t>
      </w:r>
    </w:p>
    <w:p>
      <w:pPr>
        <w:spacing w:after="200"/>
        <w:ind w:left="283"/>
      </w:pPr>
      <w:r>
        <w:rPr>
          <w:sz w:val="22"/>
        </w:rPr>
        <w:t>Систематический обзор подтверждает, что гибридная IDPS становится основным защитным контуром критически важных систем, но её устойчивость отстаёт от точности на 25–65 процентных пунктов. Современные коммерческие ИИ-усиленные продукты не закрывают теоретический пробел; сформулированы семь нерешённых проблем, формирующих исследовательское пространство диссертации.</w:t>
      </w:r>
    </w:p>
    <w:p>
      <w:r>
        <w:rPr>
          <w:b/>
          <w:color w:val="14285A"/>
          <w:sz w:val="24"/>
        </w:rPr>
        <w:t>Слайд 25. Глава 2: Математическая модель и алгоритмы</w:t>
      </w:r>
    </w:p>
    <w:p>
      <w:pPr>
        <w:spacing w:after="200"/>
        <w:ind w:left="283"/>
      </w:pPr>
      <w:r>
        <w:rPr>
          <w:sz w:val="22"/>
        </w:rPr>
        <w:t>Вторая глава формализует гибридную IDPS как объект системного анализа и разрабатывает семь согласованных моделей М1–М7. Все двенадцать ячеек матрицы условий-требований закрываются разработанными моделями.</w:t>
      </w:r>
    </w:p>
    <w:p>
      <w:r>
        <w:rPr>
          <w:b/>
          <w:color w:val="14285A"/>
          <w:sz w:val="24"/>
        </w:rPr>
        <w:t>Слайд 26. Единая постановка задачи гибридной IDPS</w:t>
      </w:r>
    </w:p>
    <w:p>
      <w:pPr>
        <w:spacing w:after="200"/>
        <w:ind w:left="283"/>
      </w:pPr>
      <w:r>
        <w:rPr>
          <w:sz w:val="22"/>
        </w:rPr>
        <w:t>Объект гибридной IDPS представлен как кортеж из обучаемого детектора, модуля реагирования и политики отклика, действующих на эволюционирующих графах сетевого трафика. Сформулированы три условия эксплуатации — состязательность, нестационарность, распределённость — и четыре требования — устойчивость, точность, эффективность, приватность. Их произведение даёт 12 ячеек, которые покрываются семейством моделей М1–М7.</w:t>
      </w:r>
    </w:p>
    <w:p>
      <w:r>
        <w:rPr>
          <w:b/>
          <w:color w:val="14285A"/>
          <w:sz w:val="24"/>
        </w:rPr>
        <w:t>Слайд 27. М1: Непрерывно-временная графовая динамика</w:t>
      </w:r>
    </w:p>
    <w:p>
      <w:pPr>
        <w:spacing w:after="200"/>
        <w:ind w:left="283"/>
      </w:pPr>
      <w:r>
        <w:rPr>
          <w:sz w:val="22"/>
        </w:rPr>
        <w:t>Модель М1 описывает скрытые представления узлов графа дифференциальными уравнениями вместо дискретных слоёв, что обеспечивает доказуемо ограниченную реакцию на возмущения входа. Стохастическое расширение SDE-TGNN дополнительно моделирует внутреннюю неопределённость среды; модель применима к любым динамически меняющимся графам — сетевому трафику, медицинским временным рядам, бортовой обстановке беспилотных летательных аппаратов.</w:t>
      </w:r>
    </w:p>
    <w:p>
      <w:r>
        <w:rPr>
          <w:b/>
          <w:color w:val="14285A"/>
          <w:sz w:val="24"/>
        </w:rPr>
        <w:t>Слайд 28. Архитектура модели М1: CT-TGNN</w:t>
      </w:r>
    </w:p>
    <w:p>
      <w:pPr>
        <w:spacing w:after="200"/>
        <w:ind w:left="283"/>
      </w:pPr>
      <w:r>
        <w:rPr>
          <w:sz w:val="22"/>
        </w:rPr>
        <w:t>На рисунке представлена архитектура CT-TGNN: входной темпоральный граф проходит через нейронное обыкновенное дифференциальное уравнение для эволюции скрытых представлений узлов, обучение использует адъюнктный метод обратного распространения. Сертификат устойчивости выводится из неравенства Грёнуолла при ограниченной константе Липшица векторного поля.</w:t>
      </w:r>
    </w:p>
    <w:p>
      <w:r>
        <w:rPr>
          <w:b/>
          <w:color w:val="14285A"/>
          <w:sz w:val="24"/>
        </w:rPr>
        <w:t>Слайд 29. М2 и М3: Распределённое и многоуровневое обучение</w:t>
      </w:r>
    </w:p>
    <w:p>
      <w:pPr>
        <w:spacing w:after="200"/>
        <w:ind w:left="283"/>
      </w:pPr>
      <w:r>
        <w:rPr>
          <w:sz w:val="22"/>
        </w:rPr>
        <w:t>Модель М2 FedLLM-API обеспечивает совместное обучение между организациями без передачи данных, с устойчивостью к злонамеренным участникам и формальными гарантиями приватности. Модель М3 TripleE-TGNN анализирует граф одновременно на трёх уровнях — сервиса, трассировки и узла — что необходимо для обнаружения многостадийных атак.</w:t>
      </w:r>
    </w:p>
    <w:p>
      <w:r>
        <w:rPr>
          <w:b/>
          <w:color w:val="14285A"/>
          <w:sz w:val="24"/>
        </w:rPr>
        <w:t>Слайд 30. Архитектура модели М2: FedLLM-API</w:t>
      </w:r>
    </w:p>
    <w:p>
      <w:pPr>
        <w:spacing w:after="200"/>
        <w:ind w:left="283"/>
      </w:pPr>
      <w:r>
        <w:rPr>
          <w:sz w:val="22"/>
        </w:rPr>
        <w:t>Архитектура FedLLM-API: организации обучают модель совместно, не передавая друг другу данных; византийско-устойчивая агрегация защищает от части злонамеренных участников; формальные оценки дифференциальной приватности; согласование распределений между источниками выполняется через оптимальный транспорт.</w:t>
      </w:r>
    </w:p>
    <w:p>
      <w:r>
        <w:rPr>
          <w:b/>
          <w:color w:val="14285A"/>
          <w:sz w:val="24"/>
        </w:rPr>
        <w:t>Слайд 31. М4 и М5/М6: Эффективность и оценка доверия</w:t>
      </w:r>
    </w:p>
    <w:p>
      <w:pPr>
        <w:spacing w:after="200"/>
        <w:ind w:left="283"/>
      </w:pPr>
      <w:r>
        <w:rPr>
          <w:sz w:val="22"/>
        </w:rPr>
        <w:t>Модель М4 MambaShield снижает сложность обработки последовательностей с квадратичной до почти линейной и устойчива к отравлению обучающих данных. Модель М5/М6 — стохастический трансформер с калиброванной оценкой доверия — сообщает оператору SOC, когда модель не уверена в своём решении, что даёт снижение нагрузки аналитика на 43 процента.</w:t>
      </w:r>
    </w:p>
    <w:p>
      <w:r>
        <w:rPr>
          <w:b/>
          <w:color w:val="14285A"/>
          <w:sz w:val="24"/>
        </w:rPr>
        <w:t>Слайд 32. Архитектура модели М4: MambaShield</w:t>
      </w:r>
    </w:p>
    <w:p>
      <w:pPr>
        <w:spacing w:after="200"/>
        <w:ind w:left="283"/>
      </w:pPr>
      <w:r>
        <w:rPr>
          <w:sz w:val="22"/>
        </w:rPr>
        <w:t>Архитектура MambaShield: селективное пространство состояний с почти линейной сложностью обработки; защита параметров от целенаправленного отравления обучающих данных; задержка вывода 0,5 миллисекунд на один поток сетевого трафика на периферийном устройстве.</w:t>
      </w:r>
    </w:p>
    <w:p>
      <w:r>
        <w:rPr>
          <w:b/>
          <w:color w:val="14285A"/>
          <w:sz w:val="24"/>
        </w:rPr>
        <w:t>Слайд 33. М7: Единая теоретико-игровая сертификация</w:t>
      </w:r>
    </w:p>
    <w:p>
      <w:pPr>
        <w:spacing w:after="200"/>
        <w:ind w:left="283"/>
      </w:pPr>
      <w:r>
        <w:rPr>
          <w:sz w:val="22"/>
        </w:rPr>
        <w:t>Модель М7 моделирует взаимодействие защитника и адаптивного противника как стратегическую игру и выбирает оптимальную стратегию защиты с доказуемыми гарантиями. Связывает все семь моделей через единую регуляризацию согласованности и реализует сертификат, который можно предъявить аудитору и заказчику.</w:t>
      </w:r>
    </w:p>
    <w:p>
      <w:r>
        <w:rPr>
          <w:b/>
          <w:color w:val="14285A"/>
          <w:sz w:val="24"/>
        </w:rPr>
        <w:t>Слайд 34. Архитектура модели М7: единая теоретико-игровая сертификация</w:t>
      </w:r>
    </w:p>
    <w:p>
      <w:pPr>
        <w:spacing w:after="200"/>
        <w:ind w:left="283"/>
      </w:pPr>
      <w:r>
        <w:rPr>
          <w:sz w:val="22"/>
        </w:rPr>
        <w:t>Архитектура FedGTD: взаимодействие защитника — оператора SOC, поддержанного моделями М1–М6 — и адаптивного противника моделируется как стратегическая игра по равновесию Штакельберга. Единая регуляризация согласованности связывает все семь моделей с доказанной скоростью сходимости.</w:t>
      </w:r>
    </w:p>
    <w:p>
      <w:r>
        <w:rPr>
          <w:b/>
          <w:color w:val="14285A"/>
          <w:sz w:val="24"/>
        </w:rPr>
        <w:t>Слайд 35. Выводы по Главе 2</w:t>
      </w:r>
    </w:p>
    <w:p>
      <w:pPr>
        <w:spacing w:after="200"/>
        <w:ind w:left="283"/>
      </w:pPr>
      <w:r>
        <w:rPr>
          <w:sz w:val="22"/>
        </w:rPr>
        <w:t>Сформулирована единая математическая модель гибридной IDPS и разработаны семь моделей и алгоритмов M1–M7, покрывающие все 12 ячеек матрицы условий-требований. Получены формальные гарантии сходимости, устойчивости, приватности, обобщения, адаптации и единой сходимости всех семи моделей в составе системы.</w:t>
      </w:r>
    </w:p>
    <w:p>
      <w:r>
        <w:rPr>
          <w:b/>
          <w:color w:val="14285A"/>
          <w:sz w:val="24"/>
        </w:rPr>
        <w:t>Слайд 36. Глава 3: Разработка и программная реализация RobustIDPS.ai</w:t>
      </w:r>
    </w:p>
    <w:p>
      <w:pPr>
        <w:spacing w:after="200"/>
        <w:ind w:left="283"/>
      </w:pPr>
      <w:r>
        <w:rPr>
          <w:sz w:val="22"/>
        </w:rPr>
        <w:t>Третья глава посвящена разработке и программной реализации платформы RobustIDPS.ai, объединяющей 17 нейросетевых моделей в 10 функциональных групп и 51 страницу прогрессивного веб-приложения. Программная платформа открыта; DOI 10.5281/zenodo.19129512.</w:t>
      </w:r>
    </w:p>
    <w:p>
      <w:r>
        <w:rPr>
          <w:b/>
          <w:color w:val="14285A"/>
          <w:sz w:val="24"/>
        </w:rPr>
        <w:t>Слайд 37. Конвейер преобразования данных в граф</w:t>
      </w:r>
    </w:p>
    <w:p>
      <w:pPr>
        <w:spacing w:after="200"/>
        <w:ind w:left="283"/>
      </w:pPr>
      <w:r>
        <w:rPr>
          <w:sz w:val="22"/>
        </w:rPr>
        <w:t>Платформа работает в пять этапов: захват сетевого интерфейса или PCAP-файла; извлечение 83-мерных признаков потока; построение графа взаимодействия на трёх уровнях; классификация ансамблем М1–М7 с учётом устойчивости и оценки доверия; реагирование с пятью градуированными действиями. Пропускная способность — до 8,7 миллионов потоков в секунду.</w:t>
      </w:r>
    </w:p>
    <w:p>
      <w:r>
        <w:rPr>
          <w:b/>
          <w:color w:val="14285A"/>
          <w:sz w:val="24"/>
        </w:rPr>
        <w:t>Слайд 38. Таксономия классификации: 34 класса угроз</w:t>
      </w:r>
    </w:p>
    <w:p>
      <w:pPr>
        <w:spacing w:after="200"/>
        <w:ind w:left="283"/>
      </w:pPr>
      <w:r>
        <w:rPr>
          <w:sz w:val="22"/>
        </w:rPr>
        <w:t>Угрозы сгруппированы в девять семейств: DDoS-атаки, разведка, грубая сила, веб-атаки, спуфинг, вредоносное программное обеспечение, специфика интернета вещей, постквантовая миграция и многостадийные атаки — суммарно 34 класса. Таксономия согласована с международной классификацией MITRE ATT&amp;CK и интегрирована в плагин для сигнатурной системы Suricata.</w:t>
      </w:r>
    </w:p>
    <w:p>
      <w:r>
        <w:rPr>
          <w:b/>
          <w:color w:val="14285A"/>
          <w:sz w:val="24"/>
        </w:rPr>
        <w:t>Слайд 39. Технологический стек и пользовательский интерфейс</w:t>
      </w:r>
    </w:p>
    <w:p>
      <w:pPr>
        <w:spacing w:after="200"/>
        <w:ind w:left="283"/>
      </w:pPr>
      <w:r>
        <w:rPr>
          <w:sz w:val="22"/>
        </w:rPr>
        <w:t>Серверный ярус реализован на языке Python с фреймворком FastAPI и PyTorch для глубокого обучения; базы — PostgreSQL и Redis. Клиентский ярус — TypeScript и React в формате прогрессивного веб-приложения. Интеграция четырёх коммерческих языковых моделей и плагин для Suricata обеспечивают встраивание в действующие системы защиты без изменения существующих правил.</w:t>
      </w:r>
    </w:p>
    <w:p>
      <w:r>
        <w:rPr>
          <w:b/>
          <w:color w:val="14285A"/>
          <w:sz w:val="24"/>
        </w:rPr>
        <w:t>Слайд 40. Демонстрация интерфейса (1/5): страница входа</w:t>
      </w:r>
    </w:p>
    <w:p>
      <w:pPr>
        <w:spacing w:after="200"/>
        <w:ind w:left="283"/>
      </w:pPr>
      <w:r>
        <w:rPr>
          <w:sz w:val="22"/>
        </w:rPr>
        <w:t>Страница входа в систему: оператор аутентифицируется по электронной почте и паролю. Подзаголовок страницы фиксирует научное авторство платформы — НИЯУ МИФИ, реализация PhD-диссертации.</w:t>
      </w:r>
    </w:p>
    <w:p>
      <w:r>
        <w:rPr>
          <w:b/>
          <w:color w:val="14285A"/>
          <w:sz w:val="24"/>
        </w:rPr>
        <w:t>Слайд 41. Демонстрация интерфейса (2/5): панель SOC</w:t>
      </w:r>
    </w:p>
    <w:p>
      <w:pPr>
        <w:spacing w:after="200"/>
        <w:ind w:left="283"/>
      </w:pPr>
      <w:r>
        <w:rPr>
          <w:sz w:val="22"/>
        </w:rPr>
        <w:t>Панель оперативного центра кибербезопасности (SOC Dashboard): сводка по тысяче потоков, 347 обнаруженным угрозам и текущей оценке калибровки на уровне 0,043. Угрозы распределены по пяти уровням серьёзности — от критического до доброкачественного — и привязаны к автоматическому действию системы.</w:t>
      </w:r>
    </w:p>
    <w:p>
      <w:r>
        <w:rPr>
          <w:b/>
          <w:color w:val="14285A"/>
          <w:sz w:val="24"/>
        </w:rPr>
        <w:t>Слайд 42. Демонстрация интерфейса (3/5): Live Monitor</w:t>
      </w:r>
    </w:p>
    <w:p>
      <w:pPr>
        <w:spacing w:after="200"/>
        <w:ind w:left="283"/>
      </w:pPr>
      <w:r>
        <w:rPr>
          <w:sz w:val="22"/>
        </w:rPr>
        <w:t>Страница потокового захвата сетевого интерфейса в реальном времени с выбором ансамбля из семи моделей обнаружения. Регулировка интервала захвата от 5 до 120 секунд позволяет адаптироваться под нагрузку защищаемой инфраструктуры.</w:t>
      </w:r>
    </w:p>
    <w:p>
      <w:r>
        <w:rPr>
          <w:b/>
          <w:color w:val="14285A"/>
          <w:sz w:val="24"/>
        </w:rPr>
        <w:t>Слайд 43. Демонстрация интерфейса (4/5): SOC Copilot</w:t>
      </w:r>
    </w:p>
    <w:p>
      <w:pPr>
        <w:spacing w:after="200"/>
        <w:ind w:left="283"/>
      </w:pPr>
      <w:r>
        <w:rPr>
          <w:sz w:val="22"/>
        </w:rPr>
        <w:t>Интерактивный LLM-ассистент аналитика в локальном режиме отвечает на вопросы по реальным данным сессии захвата. Аналитик задаёт запросы на естественном языке, ассистент возвращает разбивку по угрозам, серьёзности и доверию модели.</w:t>
      </w:r>
    </w:p>
    <w:p>
      <w:r>
        <w:rPr>
          <w:b/>
          <w:color w:val="14285A"/>
          <w:sz w:val="24"/>
        </w:rPr>
        <w:t>Слайд 44. Демонстрация интерфейса (5/5): федеративное обучение и атаки на RAG</w:t>
      </w:r>
    </w:p>
    <w:p>
      <w:pPr>
        <w:spacing w:after="200"/>
        <w:ind w:left="283"/>
      </w:pPr>
      <w:r>
        <w:rPr>
          <w:sz w:val="22"/>
        </w:rPr>
        <w:t>Слева — симулятор федеративного обучения по нескольким наборам данных с выбором стратегии агрегации и опции дифференциальной приватности. Справа — симулятор атак на конвейер языковой модели с четырьмя векторами атаки, что позволяет тестировать устойчивость собственных языковых моделей до их реального развёртывания.</w:t>
      </w:r>
    </w:p>
    <w:p>
      <w:r>
        <w:rPr>
          <w:b/>
          <w:color w:val="14285A"/>
          <w:sz w:val="24"/>
        </w:rPr>
        <w:t>Слайд 45. Глава 4: Экспериментальные исследования</w:t>
      </w:r>
    </w:p>
    <w:p>
      <w:pPr>
        <w:spacing w:after="200"/>
        <w:ind w:left="283"/>
      </w:pPr>
      <w:r>
        <w:rPr>
          <w:sz w:val="22"/>
        </w:rPr>
        <w:t>Четвёртая глава представляет экспериментальную валидацию моделей М1–М7 на шести наборах данных сетевого трафика общим объёмом 84,2 миллиона размеченных образцов. Все 12 ячеек матрицы условий-требований подтверждены с превосходством над базовыми методами на 2,9–5,6 процентных пунктов.</w:t>
      </w:r>
    </w:p>
    <w:p>
      <w:r>
        <w:rPr>
          <w:b/>
          <w:color w:val="14285A"/>
          <w:sz w:val="24"/>
        </w:rPr>
        <w:t>Слайд 46. Наборы данных и система оценки</w:t>
      </w:r>
    </w:p>
    <w:p>
      <w:pPr>
        <w:spacing w:after="200"/>
        <w:ind w:left="283"/>
      </w:pPr>
      <w:r>
        <w:rPr>
          <w:sz w:val="22"/>
        </w:rPr>
        <w:t>Использованы шесть открытых наборов данных, охватывающих интернет вещей, корпоративный трафик, облачные и микросервисные среды, периферийные устройства. Система оценки объединяет 23 метрики в шести категориях: точность обнаружения, калибровка, неопределённость, состязательная устойчивость, эффективность и приватность.</w:t>
      </w:r>
    </w:p>
    <w:p>
      <w:r>
        <w:rPr>
          <w:b/>
          <w:color w:val="14285A"/>
          <w:sz w:val="24"/>
        </w:rPr>
        <w:t>Слайд 47. Основные экспериментальные результаты</w:t>
      </w:r>
    </w:p>
    <w:p>
      <w:pPr>
        <w:spacing w:after="200"/>
        <w:ind w:left="283"/>
      </w:pPr>
      <w:r>
        <w:rPr>
          <w:sz w:val="22"/>
        </w:rPr>
        <w:t>Каждая из моделей М1–М7 превосходит лучший доступный базовый метод на 2,9–5,6 процентных пункта по метрике F1. Подтверждены: 99,0% F1 для CT-TGNN на CIC-IoT-2023, 87,1% F1 при 40% повреждённых клиентов для FedLLM-API, 91,4% F1 при 25% отравлении обучающих данных для MambaShield, и снижение нагрузки SOC-аналитика на 43% для UC-HGP.</w:t>
      </w:r>
    </w:p>
    <w:p>
      <w:r>
        <w:rPr>
          <w:b/>
          <w:color w:val="14285A"/>
          <w:sz w:val="24"/>
        </w:rPr>
        <w:t>Слайд 48. Абляция и состязательная устойчивость</w:t>
      </w:r>
    </w:p>
    <w:p>
      <w:pPr>
        <w:spacing w:after="200"/>
        <w:ind w:left="283"/>
      </w:pPr>
      <w:r>
        <w:rPr>
          <w:sz w:val="22"/>
        </w:rPr>
        <w:t>Систематические абляционные исследования подтвердили, что каждый компонент М1–М7 необходим: удаление любого приводит к падению качества от 2,9 до 21,4 процентных пунктов. Сертифицированная устойчивость 76,2% F1 сохраняется против всех шести классов состязательных атак при радиусе возмущения 0,25.</w:t>
      </w:r>
    </w:p>
    <w:p>
      <w:r>
        <w:rPr>
          <w:b/>
          <w:color w:val="14285A"/>
          <w:sz w:val="24"/>
        </w:rPr>
        <w:t>Слайд 49. Выводы по Главе 4</w:t>
      </w:r>
    </w:p>
    <w:p>
      <w:pPr>
        <w:spacing w:after="200"/>
        <w:ind w:left="283"/>
      </w:pPr>
      <w:r>
        <w:rPr>
          <w:sz w:val="22"/>
        </w:rPr>
        <w:t>Экспериментально подтверждены все 12 ячеек матрицы условий-требований. Платформа RobustIDPS.ai достигает 94,5% обнаружения по 517 сценариям атак на большие языковые модели и 89,1% zero-shot F1 на наборе кибербезопасности — улучшение на 20,5 пунктов над GPT-4.</w:t>
      </w:r>
    </w:p>
    <w:p>
      <w:r>
        <w:rPr>
          <w:b/>
          <w:color w:val="14285A"/>
          <w:sz w:val="24"/>
        </w:rPr>
        <w:t>Слайд 50. Глава 5: Внедрение и практическое применение</w:t>
      </w:r>
    </w:p>
    <w:p>
      <w:pPr>
        <w:spacing w:after="200"/>
        <w:ind w:left="283"/>
      </w:pPr>
      <w:r>
        <w:rPr>
          <w:sz w:val="22"/>
        </w:rPr>
        <w:t>Пятая глава описывает внедрение и практическое применение RobustIDPS.ai в действующие производственные конвейеры. Получены два акта внедрения, третий находится в стадии оформления.</w:t>
      </w:r>
    </w:p>
    <w:p>
      <w:r>
        <w:rPr>
          <w:b/>
          <w:color w:val="14285A"/>
          <w:sz w:val="24"/>
        </w:rPr>
        <w:t>Слайд 51. Внедрение в ООО «Ксайрикс», Москва</w:t>
      </w:r>
    </w:p>
    <w:p>
      <w:pPr>
        <w:spacing w:after="200"/>
        <w:ind w:left="283"/>
      </w:pPr>
      <w:r>
        <w:rPr>
          <w:sz w:val="22"/>
        </w:rPr>
        <w:t>В московской компании «Ксайрикс» разработанные решения применены в составе системы анализа сетевого трафика и защиты сетевой инфраструктуры. Подтверждённый эффект — обнаружение многостадийных атак, выявление ранее неизвестных паттернов и адаптация к изменению характеристик трафика — закреплён в полученном акте внедрения 2026 года.</w:t>
      </w:r>
    </w:p>
    <w:p>
      <w:r>
        <w:rPr>
          <w:b/>
          <w:color w:val="14285A"/>
          <w:sz w:val="24"/>
        </w:rPr>
        <w:t>Слайд 52. Внедрение в ООО «НИИ ИКТ», Новосибирск</w:t>
      </w:r>
    </w:p>
    <w:p>
      <w:pPr>
        <w:spacing w:after="200"/>
        <w:ind w:left="283"/>
      </w:pPr>
      <w:r>
        <w:rPr>
          <w:sz w:val="22"/>
        </w:rPr>
        <w:t>В новосибирском научно-исследовательском институте информационно-коммуникационных технологий разработанные модели, устойчивые к атакам отравления, интегрированы в действующую систему обнаружения вторжений. Программный комплекс RobustIDPS.ai активно используется штатными специалистами кибербезопасности; акт внедрения подписан 3 июня 2026 года.</w:t>
      </w:r>
    </w:p>
    <w:p>
      <w:r>
        <w:rPr>
          <w:b/>
          <w:color w:val="14285A"/>
          <w:sz w:val="24"/>
        </w:rPr>
        <w:t>Слайд 53. Применение в Центре ИИ НИЯУ МИФИ — акт в стадии оформления</w:t>
      </w:r>
    </w:p>
    <w:p>
      <w:pPr>
        <w:spacing w:after="200"/>
        <w:ind w:left="283"/>
      </w:pPr>
      <w:r>
        <w:rPr>
          <w:sz w:val="22"/>
        </w:rPr>
        <w:t>В Центре искусственного интеллекта НИЯУ МИФИ планируется применение разработанного каркаса AI-моделей к защите бортовых систем беспилотных летательных аппаратов в трёхъярусной архитектуре «борт — дронопорт — облако». Это подтверждает доменную независимость каркаса; акт внедрения находится в стадии оформления.</w:t>
      </w:r>
    </w:p>
    <w:p>
      <w:r>
        <w:rPr>
          <w:b/>
          <w:color w:val="14285A"/>
          <w:sz w:val="24"/>
        </w:rPr>
        <w:t>Слайд 54. Выводы по Главе 5</w:t>
      </w:r>
    </w:p>
    <w:p>
      <w:pPr>
        <w:spacing w:after="200"/>
        <w:ind w:left="283"/>
      </w:pPr>
      <w:r>
        <w:rPr>
          <w:sz w:val="22"/>
        </w:rPr>
        <w:t>Получены два акта внедрения от московской и новосибирской организаций. В НИИ ИКТ платформа активно используется штатными специалистами в роли аналитиков SOC и инженеров исследования протоколов информационной безопасности; третий акт от Центра ИИ НИЯУ МИФИ закрепит доменную независимость разработанного каркаса.</w:t>
      </w:r>
    </w:p>
    <w:p>
      <w:r>
        <w:rPr>
          <w:b/>
          <w:color w:val="14285A"/>
          <w:sz w:val="24"/>
        </w:rPr>
        <w:t>Слайд 55. Глава 6: Применение к защите бортовых систем БПЛА</w:t>
      </w:r>
    </w:p>
    <w:p>
      <w:pPr>
        <w:spacing w:after="200"/>
        <w:ind w:left="283"/>
      </w:pPr>
      <w:r>
        <w:rPr>
          <w:sz w:val="22"/>
        </w:rPr>
        <w:t>Шестая глава демонстрирует воспроизведение программной системы в смежной практической области — защите бортовых систем беспилотных летательных аппаратов. Доменная независимость разработанного математического и алгоритмического каркаса подтверждена.</w:t>
      </w:r>
    </w:p>
    <w:p>
      <w:r>
        <w:rPr>
          <w:b/>
          <w:color w:val="14285A"/>
          <w:sz w:val="24"/>
        </w:rPr>
        <w:t>Слайд 56. Применение и результаты в секторе БПЛА</w:t>
      </w:r>
    </w:p>
    <w:p>
      <w:pPr>
        <w:spacing w:after="200"/>
        <w:ind w:left="283"/>
      </w:pPr>
      <w:r>
        <w:rPr>
          <w:sz w:val="22"/>
        </w:rPr>
        <w:t>Применены те же модели и алгоритмы без изменения теоретических основ: MambaShield на бортовом ярусе с задержкой 0,5 миллисекунд на поток, FedLLM-API на уровне дронопорта для координации между несколькими аппаратами, теоретико-игровая сертификация М7 в облаке для подтверждения устойчивости политики автопилота. Подтверждены сертифицированная устойчивость 76,2% F1 и кросс-доменный перенос 90,5% F1 без дообучения с сектора сетевого трафика.</w:t>
      </w:r>
    </w:p>
    <w:p>
      <w:r>
        <w:rPr>
          <w:b/>
          <w:color w:val="14285A"/>
          <w:sz w:val="24"/>
        </w:rPr>
        <w:t>Слайд 57. Заключение: основные результаты по главам</w:t>
      </w:r>
    </w:p>
    <w:p>
      <w:pPr>
        <w:spacing w:after="200"/>
        <w:ind w:left="283"/>
      </w:pPr>
      <w:r>
        <w:rPr>
          <w:sz w:val="22"/>
        </w:rPr>
        <w:t>Итоги работы по главам: разработана математическая модель гибридной IDPS и семейство моделей; реализована программная платформа RobustIDPS.ai; экспериментально подтверждено улучшение качества обнаружения до 10 процентов на бенчмарках; платформа интегрирована в реальный конвейер двух организаций и позволила улучшить обнаружение инцидентов; воспроизводимость продемонстрирована на задачах защиты беспилотных летательных аппаратов. Совокупность результатов подтверждает решение поставленной цели и выносимых на защиту положений.</w:t>
      </w:r>
    </w:p>
    <w:p>
      <w:r>
        <w:rPr>
          <w:b/>
          <w:color w:val="14285A"/>
          <w:sz w:val="24"/>
        </w:rPr>
        <w:t>Слайд 58. Спасибо за внимание</w:t>
      </w:r>
    </w:p>
    <w:p>
      <w:pPr>
        <w:spacing w:after="200"/>
        <w:ind w:left="283"/>
      </w:pPr>
      <w:r>
        <w:rPr>
          <w:sz w:val="22"/>
        </w:rPr>
        <w:t>Благодарю уважаемых членов диссертационного совета и присутствующих за внимание. Готов ответить на ваши вопросы.</w:t>
      </w:r>
    </w:p>
    <w:p>
      <w:r>
        <w:br w:type="page"/>
      </w:r>
    </w:p>
    <w:p>
      <w:r>
        <w:rPr>
          <w:b/>
          <w:sz w:val="24"/>
        </w:rPr>
        <w:t>Напоминание докладчику.</w:t>
      </w:r>
    </w:p>
    <w:p>
      <w:r>
        <w:rPr>
          <w:sz w:val="22"/>
        </w:rPr>
        <w:t>После заключительного слайда сделать паузу для вопросов диссертационного совета. На каждый вопрос отвечать спокойно, конкретно и со ссылкой на соответствующий слайд или раздел диссертации. Время основного доклада — 18–20 минут; время на вопросы — до 40 минут.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