
<file path=[Content_Types].xml><?xml version="1.0" encoding="utf-8"?>
<Types xmlns="http://schemas.openxmlformats.org/package/2006/content-types">
  <Default Extension="wmf" ContentType="image/x-wmf"/>
  <Default Extension="docx" ContentType="application/vnd.openxmlformats-officedocument.wordprocessingml.document"/>
  <Default Extension="xlsx" ContentType="application/vnd.openxmlformats-officedocument.spreadsheetml.sheet"/>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E7C7C4">
      <w:pPr>
        <w:tabs>
          <w:tab w:val="left" w:pos="90"/>
          <w:tab w:val="left" w:pos="450"/>
          <w:tab w:val="right" w:pos="1170"/>
          <w:tab w:val="right" w:pos="2430"/>
          <w:tab w:val="left" w:pos="9180"/>
        </w:tabs>
        <w:spacing w:before="100" w:beforeAutospacing="1" w:after="100" w:afterAutospacing="1" w:line="240" w:lineRule="auto"/>
        <w:ind w:left="90"/>
        <w:jc w:val="center"/>
        <w:rPr>
          <w:rFonts w:ascii="Times New Roman" w:hAnsi="Times New Roman" w:eastAsia="Times New Roman" w:cs="Times New Roman"/>
          <w:b/>
          <w:bCs/>
          <w:kern w:val="0"/>
          <w:sz w:val="24"/>
          <w:szCs w:val="24"/>
          <w:lang w:val="ru-RU"/>
          <w14:ligatures w14:val="none"/>
        </w:rPr>
      </w:pPr>
      <w:bookmarkStart w:id="0" w:name="_Hlk215091613"/>
      <w:bookmarkEnd w:id="0"/>
      <w:bookmarkStart w:id="106" w:name="_GoBack"/>
      <w:bookmarkEnd w:id="106"/>
      <w:r>
        <w:rPr>
          <w:rFonts w:ascii="Times New Roman" w:hAnsi="Times New Roman" w:eastAsia="Times New Roman" w:cs="Times New Roman"/>
          <w:b/>
          <w:bCs/>
          <w:kern w:val="0"/>
          <w:sz w:val="24"/>
          <w:szCs w:val="24"/>
          <w:lang w:val="ru-RU"/>
          <w14:ligatures w14:val="none"/>
        </w:rPr>
        <w:t>РАБОТА ВЫПОЛНЕНА В ФЕДЕРАЛЬНОМ ГОСУДАРСТВЕННОМ БЮДЖЕТНОМ ОБРАЗОВАТЕЛЬНОМ УЧРЕЖДЕНИИ ВЫСШЕГО ОБРАЗОВАНИЯ «РОССИЙСКИЙ УНИВЕРСИТЕТ ДРУЖБЫ НАРОДОВ ИМЕНИ ПАТРИСА ЛУМУМБЫ» ИНСТИТУТ ЭКОЛОГИИ</w:t>
      </w:r>
      <w:r>
        <w:rPr>
          <w:rFonts w:ascii="Times New Roman" w:hAnsi="Times New Roman" w:eastAsia="Calibri" w:cs="Times New Roman"/>
          <w:b/>
          <w:bCs/>
          <w:kern w:val="0"/>
          <w:sz w:val="24"/>
          <w:szCs w:val="24"/>
          <w:lang w:val="ru-RU"/>
          <w14:ligatures w14:val="none"/>
        </w:rPr>
        <w:t xml:space="preserve">                                                                                             </w:t>
      </w:r>
    </w:p>
    <w:p w14:paraId="48E76F49">
      <w:pPr>
        <w:widowControl w:val="0"/>
        <w:spacing w:before="100" w:beforeAutospacing="1" w:line="273" w:lineRule="auto"/>
        <w:jc w:val="center"/>
        <w:rPr>
          <w:rFonts w:ascii="Times New Roman" w:hAnsi="Times New Roman" w:eastAsia="Times New Roman" w:cs="Times New Roman"/>
          <w:b/>
          <w:bCs/>
          <w:sz w:val="24"/>
          <w:szCs w:val="24"/>
          <w14:ligatures w14:val="none"/>
        </w:rPr>
      </w:pPr>
      <w:r>
        <w:rPr>
          <w:rFonts w:ascii="Times New Roman" w:hAnsi="Times New Roman" w:eastAsia="Calibri" w:cs="Times New Roman"/>
          <w:b/>
          <w:bCs/>
          <w:lang w:val="ru-RU"/>
          <w14:ligatures w14:val="none"/>
        </w:rPr>
        <w:t xml:space="preserve">                                                                                                         </w:t>
      </w:r>
      <w:r>
        <w:rPr>
          <w:rFonts w:ascii="Times New Roman" w:hAnsi="Times New Roman" w:eastAsia="Calibri" w:cs="Times New Roman"/>
          <w:b/>
          <w:bCs/>
          <w:sz w:val="24"/>
          <w:szCs w:val="24"/>
          <w14:ligatures w14:val="none"/>
        </w:rPr>
        <w:t>As a Manuscript</w:t>
      </w:r>
    </w:p>
    <w:p w14:paraId="71A52F7D">
      <w:pPr>
        <w:widowControl w:val="0"/>
        <w:spacing w:before="100" w:beforeAutospacing="1" w:line="360" w:lineRule="auto"/>
        <w:ind w:left="2160" w:firstLine="720"/>
        <w:jc w:val="center"/>
        <w:rPr>
          <w:rFonts w:ascii="Times New Roman" w:hAnsi="Times New Roman" w:eastAsia="Times New Roman" w:cs="Times New Roman"/>
          <w:b/>
          <w:bCs/>
          <w:sz w:val="24"/>
          <w:szCs w:val="24"/>
          <w14:ligatures w14:val="none"/>
        </w:rPr>
      </w:pPr>
      <w:r>
        <w:rPr>
          <w:rFonts w:ascii="Times New Roman" w:hAnsi="Times New Roman" w:eastAsia="Times New Roman" w:cs="Times New Roman"/>
          <w:b/>
          <w:bCs/>
          <w:sz w:val="24"/>
          <w:szCs w:val="24"/>
          <w14:ligatures w14:val="none"/>
        </w:rPr>
        <w:t xml:space="preserve">                                 </w:t>
      </w:r>
    </w:p>
    <w:p w14:paraId="691BC4CB">
      <w:pPr>
        <w:widowControl w:val="0"/>
        <w:spacing w:before="100" w:beforeAutospacing="1" w:line="360" w:lineRule="auto"/>
        <w:ind w:left="2880" w:firstLine="720"/>
        <w:rPr>
          <w:rFonts w:ascii="Times New Roman" w:hAnsi="Times New Roman" w:eastAsia="Times New Roman" w:cs="Times New Roman"/>
          <w:b/>
          <w:bCs/>
          <w:sz w:val="24"/>
          <w:szCs w:val="24"/>
          <w14:ligatures w14:val="none"/>
        </w:rPr>
      </w:pPr>
      <w:r>
        <w:rPr>
          <w:rFonts w:ascii="Times New Roman" w:hAnsi="Times New Roman" w:eastAsia="Times New Roman" w:cs="Times New Roman"/>
          <w:b/>
          <w:bCs/>
          <w:sz w:val="24"/>
          <w:szCs w:val="24"/>
          <w14:ligatures w14:val="none"/>
        </w:rPr>
        <w:t>SHAIBU OCHOCHE</w:t>
      </w:r>
    </w:p>
    <w:p w14:paraId="69599FA6">
      <w:pPr>
        <w:widowControl w:val="0"/>
        <w:spacing w:before="100" w:beforeAutospacing="1" w:line="360" w:lineRule="auto"/>
        <w:jc w:val="center"/>
        <w:rPr>
          <w:rFonts w:ascii="Times New Roman" w:hAnsi="Times New Roman" w:eastAsia="Times New Roman" w:cs="Times New Roman"/>
          <w:b/>
          <w:bCs/>
          <w:sz w:val="24"/>
          <w:szCs w:val="24"/>
          <w14:ligatures w14:val="none"/>
        </w:rPr>
      </w:pPr>
      <w:r>
        <w:rPr>
          <w:rFonts w:ascii="Times New Roman" w:hAnsi="Times New Roman" w:eastAsia="Times New Roman" w:cs="Times New Roman"/>
          <w:b/>
          <w:bCs/>
          <w:sz w:val="24"/>
          <w:szCs w:val="24"/>
          <w14:ligatures w14:val="none"/>
        </w:rPr>
        <w:t xml:space="preserve"> ASSESSING THE IMPACTS OF URBANIZATION ON PLANT DIVERSITY AND ECOSYSTEM FUNCTIONING IN TROPICAL CITIES: A CASE STUDY OF BENUE STATE, NIGERIA </w:t>
      </w:r>
    </w:p>
    <w:p w14:paraId="2E4E7F78">
      <w:pPr>
        <w:widowControl w:val="0"/>
        <w:spacing w:before="100" w:beforeAutospacing="1" w:line="360" w:lineRule="auto"/>
        <w:jc w:val="center"/>
        <w:rPr>
          <w:rFonts w:ascii="Times New Roman" w:hAnsi="Times New Roman" w:eastAsia="Times New Roman" w:cs="Times New Roman"/>
          <w:b/>
          <w:bCs/>
          <w:sz w:val="24"/>
          <w:szCs w:val="24"/>
          <w14:ligatures w14:val="none"/>
        </w:rPr>
      </w:pPr>
      <w:r>
        <w:rPr>
          <w:rFonts w:ascii="Times New Roman" w:hAnsi="Times New Roman" w:eastAsia="Times New Roman" w:cs="Times New Roman"/>
          <w:b/>
          <w:bCs/>
          <w:sz w:val="24"/>
          <w:szCs w:val="24"/>
          <w14:ligatures w14:val="none"/>
        </w:rPr>
        <w:t>1.5.15   ECOLOGY</w:t>
      </w:r>
    </w:p>
    <w:p w14:paraId="147CE21B">
      <w:pPr>
        <w:widowControl w:val="0"/>
        <w:spacing w:before="100" w:beforeAutospacing="1" w:line="360" w:lineRule="auto"/>
        <w:rPr>
          <w:rFonts w:ascii="Times New Roman" w:hAnsi="Times New Roman" w:eastAsia="Times New Roman" w:cs="Times New Roman"/>
          <w:b/>
          <w:bCs/>
          <w:sz w:val="24"/>
          <w:szCs w:val="24"/>
          <w14:ligatures w14:val="none"/>
        </w:rPr>
      </w:pPr>
      <w:r>
        <w:rPr>
          <w:rFonts w:ascii="Times New Roman" w:hAnsi="Times New Roman" w:eastAsia="Times New Roman" w:cs="Times New Roman"/>
          <w:b/>
          <w:bCs/>
          <w:sz w:val="24"/>
          <w:szCs w:val="24"/>
          <w14:ligatures w14:val="none"/>
        </w:rPr>
        <w:t xml:space="preserve"> </w:t>
      </w:r>
    </w:p>
    <w:p w14:paraId="15FAF28A">
      <w:pPr>
        <w:widowControl w:val="0"/>
        <w:spacing w:before="100" w:beforeAutospacing="1" w:after="0" w:line="256" w:lineRule="auto"/>
        <w:ind w:left="2440" w:right="1137"/>
        <w:jc w:val="center"/>
        <w:rPr>
          <w:rFonts w:ascii="Times New Roman" w:hAnsi="Times New Roman" w:eastAsia="Times New Roman" w:cs="Times New Roman"/>
          <w:b/>
          <w:bCs/>
          <w:color w:val="000000"/>
          <w:sz w:val="24"/>
          <w:szCs w:val="24"/>
          <w14:ligatures w14:val="none"/>
        </w:rPr>
      </w:pPr>
      <w:r>
        <w:rPr>
          <w:rFonts w:ascii="Times New Roman" w:hAnsi="Times New Roman" w:eastAsia="Times New Roman" w:cs="Times New Roman"/>
          <w:b/>
          <w:bCs/>
          <w:color w:val="000000"/>
          <w:sz w:val="24"/>
          <w:szCs w:val="24"/>
          <w14:ligatures w14:val="none"/>
        </w:rPr>
        <w:t>DISSERTATION FOR THE DEGREE OF DOCTOR     OF BIOLOGICAL SCIENCES</w:t>
      </w:r>
    </w:p>
    <w:p w14:paraId="57374B9C">
      <w:pPr>
        <w:widowControl w:val="0"/>
        <w:spacing w:before="100" w:beforeAutospacing="1" w:line="360" w:lineRule="auto"/>
        <w:rPr>
          <w:rFonts w:ascii="Times New Roman" w:hAnsi="Times New Roman" w:eastAsia="Times New Roman" w:cs="Times New Roman"/>
          <w:b/>
          <w:bCs/>
          <w:sz w:val="24"/>
          <w:szCs w:val="24"/>
          <w14:ligatures w14:val="none"/>
        </w:rPr>
      </w:pPr>
      <w:r>
        <w:rPr>
          <w:rFonts w:ascii="Times New Roman" w:hAnsi="Times New Roman" w:eastAsia="Times New Roman" w:cs="Times New Roman"/>
          <w:b/>
          <w:bCs/>
          <w:sz w:val="24"/>
          <w:szCs w:val="24"/>
          <w14:ligatures w14:val="none"/>
        </w:rPr>
        <w:t xml:space="preserve"> </w:t>
      </w:r>
    </w:p>
    <w:p w14:paraId="7F5C7157">
      <w:pPr>
        <w:widowControl w:val="0"/>
        <w:spacing w:before="100" w:beforeAutospacing="1" w:line="360" w:lineRule="auto"/>
        <w:jc w:val="center"/>
        <w:rPr>
          <w:rFonts w:ascii="Times New Roman" w:hAnsi="Times New Roman" w:eastAsia="Times New Roman" w:cs="Times New Roman"/>
          <w:b/>
          <w:bCs/>
          <w:sz w:val="24"/>
          <w:szCs w:val="24"/>
          <w14:ligatures w14:val="none"/>
        </w:rPr>
      </w:pPr>
      <w:r>
        <w:rPr>
          <w:rFonts w:ascii="Times New Roman" w:hAnsi="Times New Roman" w:eastAsia="Times New Roman" w:cs="Times New Roman"/>
          <w:b/>
          <w:bCs/>
          <w:sz w:val="24"/>
          <w:szCs w:val="24"/>
          <w14:ligatures w14:val="none"/>
        </w:rPr>
        <w:t xml:space="preserve">                                                                          SCIENTIFIC ADVISOR: </w:t>
      </w:r>
    </w:p>
    <w:p w14:paraId="1875165C">
      <w:pPr>
        <w:widowControl w:val="0"/>
        <w:spacing w:before="100" w:beforeAutospacing="1" w:line="360" w:lineRule="auto"/>
        <w:jc w:val="center"/>
        <w:rPr>
          <w:rFonts w:ascii="Times New Roman" w:hAnsi="Times New Roman" w:eastAsia="Times New Roman" w:cs="Times New Roman"/>
          <w:b/>
          <w:bCs/>
          <w:sz w:val="24"/>
          <w:szCs w:val="24"/>
          <w14:ligatures w14:val="none"/>
        </w:rPr>
      </w:pPr>
      <w:r>
        <w:rPr>
          <w:rFonts w:ascii="Times New Roman" w:hAnsi="Times New Roman" w:eastAsia="Times New Roman" w:cs="Times New Roman"/>
          <w:b/>
          <w:bCs/>
          <w:sz w:val="24"/>
          <w:szCs w:val="24"/>
          <w14:ligatures w14:val="none"/>
        </w:rPr>
        <w:t xml:space="preserve">                                                                              DR. PINAEV VLADIMIR EVGENIEVICH.</w:t>
      </w:r>
    </w:p>
    <w:p w14:paraId="5EE795B8">
      <w:pPr>
        <w:widowControl w:val="0"/>
        <w:spacing w:before="100" w:beforeAutospacing="1" w:after="0" w:line="256" w:lineRule="auto"/>
        <w:rPr>
          <w:rFonts w:ascii="Times New Roman" w:hAnsi="Times New Roman" w:eastAsia="Times New Roman" w:cs="Times New Roman"/>
          <w:b/>
          <w:bCs/>
          <w:color w:val="000000"/>
          <w:sz w:val="28"/>
          <w:szCs w:val="28"/>
          <w14:ligatures w14:val="none"/>
        </w:rPr>
      </w:pPr>
      <w:r>
        <w:rPr>
          <w:rFonts w:ascii="Times New Roman" w:hAnsi="Times New Roman" w:eastAsia="Times New Roman" w:cs="Times New Roman"/>
          <w:b/>
          <w:bCs/>
          <w:color w:val="000000"/>
          <w:sz w:val="28"/>
          <w:szCs w:val="28"/>
          <w14:ligatures w14:val="none"/>
        </w:rPr>
        <w:t xml:space="preserve"> </w:t>
      </w:r>
    </w:p>
    <w:p w14:paraId="7567ACED">
      <w:pPr>
        <w:widowControl w:val="0"/>
        <w:spacing w:before="239" w:after="0" w:line="256" w:lineRule="auto"/>
        <w:rPr>
          <w:rFonts w:ascii="Times New Roman" w:hAnsi="Times New Roman" w:eastAsia="Times New Roman" w:cs="Times New Roman"/>
          <w:b/>
          <w:bCs/>
          <w:color w:val="000000"/>
          <w:sz w:val="28"/>
          <w:szCs w:val="28"/>
          <w14:ligatures w14:val="none"/>
        </w:rPr>
      </w:pPr>
      <w:r>
        <w:rPr>
          <w:rFonts w:ascii="Times New Roman" w:hAnsi="Times New Roman" w:eastAsia="Times New Roman" w:cs="Times New Roman"/>
          <w:b/>
          <w:bCs/>
          <w:color w:val="000000"/>
          <w:sz w:val="28"/>
          <w:szCs w:val="28"/>
          <w14:ligatures w14:val="none"/>
        </w:rPr>
        <w:t xml:space="preserve"> </w:t>
      </w:r>
    </w:p>
    <w:p w14:paraId="2561EE52">
      <w:pPr>
        <w:widowControl w:val="0"/>
        <w:spacing w:before="239" w:after="0" w:line="256" w:lineRule="auto"/>
        <w:rPr>
          <w:rFonts w:ascii="Times New Roman" w:hAnsi="Times New Roman" w:eastAsia="Times New Roman" w:cs="Times New Roman"/>
          <w:b/>
          <w:bCs/>
          <w:color w:val="000000"/>
          <w:sz w:val="28"/>
          <w:szCs w:val="28"/>
          <w14:ligatures w14:val="none"/>
        </w:rPr>
      </w:pPr>
      <w:r>
        <w:rPr>
          <w:rFonts w:ascii="Times New Roman" w:hAnsi="Times New Roman" w:eastAsia="Times New Roman" w:cs="Times New Roman"/>
          <w:b/>
          <w:bCs/>
          <w:color w:val="000000"/>
          <w:sz w:val="28"/>
          <w:szCs w:val="28"/>
          <w14:ligatures w14:val="none"/>
        </w:rPr>
        <w:t xml:space="preserve"> </w:t>
      </w:r>
    </w:p>
    <w:p w14:paraId="39007AC2">
      <w:pPr>
        <w:widowControl w:val="0"/>
        <w:spacing w:before="239" w:after="0" w:line="256" w:lineRule="auto"/>
        <w:rPr>
          <w:rFonts w:ascii="Times New Roman" w:hAnsi="Times New Roman" w:eastAsia="Times New Roman" w:cs="Times New Roman"/>
          <w:b/>
          <w:bCs/>
          <w:color w:val="000000"/>
          <w:sz w:val="28"/>
          <w:szCs w:val="28"/>
          <w14:ligatures w14:val="none"/>
        </w:rPr>
      </w:pPr>
      <w:r>
        <w:rPr>
          <w:rFonts w:ascii="Times New Roman" w:hAnsi="Times New Roman" w:eastAsia="Times New Roman" w:cs="Times New Roman"/>
          <w:b/>
          <w:bCs/>
          <w:color w:val="000000"/>
          <w:sz w:val="28"/>
          <w:szCs w:val="28"/>
          <w14:ligatures w14:val="none"/>
        </w:rPr>
        <w:t xml:space="preserve"> </w:t>
      </w:r>
    </w:p>
    <w:p w14:paraId="62723C71">
      <w:pPr>
        <w:widowControl w:val="0"/>
        <w:spacing w:before="1" w:after="0" w:line="256" w:lineRule="auto"/>
        <w:ind w:left="1000" w:right="1137"/>
        <w:jc w:val="center"/>
        <w:rPr>
          <w:rFonts w:ascii="Times New Roman" w:hAnsi="Times New Roman" w:eastAsia="Times New Roman" w:cs="Times New Roman"/>
          <w:b/>
          <w:bCs/>
          <w:color w:val="000000"/>
          <w:sz w:val="28"/>
          <w:szCs w:val="28"/>
          <w14:ligatures w14:val="none"/>
        </w:rPr>
      </w:pPr>
      <w:r>
        <w:rPr>
          <w:rFonts w:ascii="Times New Roman" w:hAnsi="Times New Roman" w:eastAsia="Times New Roman" w:cs="Times New Roman"/>
          <w:b/>
          <w:bCs/>
          <w:color w:val="000000"/>
          <w:sz w:val="28"/>
          <w:szCs w:val="28"/>
          <w14:ligatures w14:val="none"/>
        </w:rPr>
        <w:t>MOSCOW–</w:t>
      </w:r>
      <w:r>
        <w:rPr>
          <w:rFonts w:ascii="Times New Roman" w:hAnsi="Times New Roman" w:eastAsia="Times New Roman" w:cs="Times New Roman"/>
          <w:b/>
          <w:bCs/>
          <w:sz w:val="28"/>
          <w:szCs w:val="28"/>
          <w14:ligatures w14:val="none"/>
        </w:rPr>
        <w:t>2025</w:t>
      </w:r>
    </w:p>
    <w:p w14:paraId="53859E54">
      <w:pPr>
        <w:spacing w:before="100" w:beforeAutospacing="1" w:line="273" w:lineRule="auto"/>
        <w:jc w:val="both"/>
        <w:rPr>
          <w:rFonts w:ascii="Times New Roman" w:hAnsi="Times New Roman" w:eastAsia="Calibri" w:cs="Times New Roman"/>
          <w:sz w:val="28"/>
          <w:szCs w:val="28"/>
          <w14:ligatures w14:val="none"/>
        </w:rPr>
      </w:pPr>
    </w:p>
    <w:sdt>
      <w:sdtPr>
        <w:rPr>
          <w:rFonts w:ascii="Calibri" w:hAnsi="Calibri" w:eastAsia="Times New Roman" w:cs="Times New Roman"/>
          <w14:ligatures w14:val="none"/>
        </w:rPr>
        <w:id w:val="-1588610872"/>
        <w:docPartObj>
          <w:docPartGallery w:val="Table of Contents"/>
          <w:docPartUnique/>
        </w:docPartObj>
      </w:sdtPr>
      <w:sdtEndPr>
        <w:rPr>
          <w:rFonts w:ascii="Calibri" w:hAnsi="Calibri" w:eastAsia="Times New Roman" w:cs="Times New Roman"/>
          <w:b/>
          <w:bCs/>
          <w14:ligatures w14:val="none"/>
        </w:rPr>
      </w:sdtEndPr>
      <w:sdtContent>
        <w:p w14:paraId="4817F034">
          <w:pPr>
            <w:keepNext/>
            <w:keepLines/>
            <w:spacing w:before="240" w:after="0"/>
            <w:rPr>
              <w:rFonts w:asciiTheme="majorHAnsi" w:hAnsiTheme="majorHAnsi" w:eastAsiaTheme="majorEastAsia" w:cstheme="majorBidi"/>
              <w:color w:val="2F5597" w:themeColor="accent1" w:themeShade="BF"/>
              <w:kern w:val="0"/>
              <w:sz w:val="32"/>
              <w:szCs w:val="32"/>
              <w14:ligatures w14:val="none"/>
            </w:rPr>
          </w:pPr>
          <w:r>
            <w:rPr>
              <w:rFonts w:asciiTheme="majorHAnsi" w:hAnsiTheme="majorHAnsi" w:eastAsiaTheme="majorEastAsia" w:cstheme="majorBidi"/>
              <w:color w:val="2F5597" w:themeColor="accent1" w:themeShade="BF"/>
              <w:kern w:val="0"/>
              <w:sz w:val="32"/>
              <w:szCs w:val="32"/>
              <w14:ligatures w14:val="none"/>
            </w:rPr>
            <w:t>Table of Contents</w:t>
          </w:r>
        </w:p>
        <w:p w14:paraId="5966E61D">
          <w:pPr>
            <w:tabs>
              <w:tab w:val="right" w:leader="dot" w:pos="9350"/>
            </w:tabs>
            <w:spacing w:before="100" w:beforeAutospacing="1" w:after="100" w:line="256" w:lineRule="auto"/>
            <w:rPr>
              <w:rFonts w:ascii="Calibri" w:hAnsi="Calibri" w:eastAsia="Times New Roman" w:cs="Times New Roman"/>
              <w14:ligatures w14:val="none"/>
            </w:rPr>
          </w:pP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TOC \o "1-3" \h \z \u </w:instrText>
          </w:r>
          <w:r>
            <w:rPr>
              <w:rFonts w:ascii="Calibri" w:hAnsi="Calibri" w:eastAsia="Times New Roman" w:cs="Times New Roman"/>
              <w14:ligatures w14:val="none"/>
            </w:rPr>
            <w:fldChar w:fldCharType="separate"/>
          </w:r>
          <w:r>
            <w:fldChar w:fldCharType="begin"/>
          </w:r>
          <w:r>
            <w:instrText xml:space="preserve"> HYPERLINK \l "_Toc215220426" </w:instrText>
          </w:r>
          <w:r>
            <w:fldChar w:fldCharType="separate"/>
          </w:r>
          <w:r>
            <w:rPr>
              <w:rFonts w:ascii="Times New Roman" w:hAnsi="Times New Roman" w:eastAsia="Times New Roman" w:cs="Times New Roman"/>
              <w:b/>
              <w:bCs/>
              <w14:ligatures w14:val="none"/>
            </w:rPr>
            <w:t>INTRODUCTION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_Toc215220426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3</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5B96BD9A">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"_Toc215220427" </w:instrText>
          </w:r>
          <w:r>
            <w:fldChar w:fldCharType="separate"/>
          </w:r>
          <w:r>
            <w:rPr>
              <w:rFonts w:ascii="Times New Roman" w:hAnsi="Times New Roman" w:eastAsia="Times New Roman" w:cs="Times New Roman"/>
              <w:b/>
              <w:bCs/>
              <w14:ligatures w14:val="none"/>
            </w:rPr>
            <w:t>Objects of Research</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_Toc215220427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5</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40F49955">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"_Toc215220428" </w:instrText>
          </w:r>
          <w:r>
            <w:fldChar w:fldCharType="separate"/>
          </w:r>
          <w:r>
            <w:rPr>
              <w:rFonts w:ascii="Times New Roman" w:hAnsi="Times New Roman" w:eastAsia="Times New Roman" w:cs="Times New Roman"/>
              <w:b/>
              <w:bCs/>
              <w14:ligatures w14:val="none"/>
            </w:rPr>
            <w:t>Subject of Research</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_Toc215220428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6</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2AB2A4C">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"_Toc215220429" </w:instrText>
          </w:r>
          <w:r>
            <w:fldChar w:fldCharType="separate"/>
          </w:r>
          <w:r>
            <w:rPr>
              <w:rFonts w:ascii="Times New Roman" w:hAnsi="Times New Roman" w:eastAsia="Times New Roman" w:cs="Times New Roman"/>
              <w:b/>
              <w:bCs/>
              <w14:ligatures w14:val="none"/>
            </w:rPr>
            <w:t>Aim OF The Study</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_Toc215220429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6</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7B8265F8">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"_Toc215220430" </w:instrText>
          </w:r>
          <w:r>
            <w:fldChar w:fldCharType="separate"/>
          </w:r>
          <w:r>
            <w:rPr>
              <w:rFonts w:ascii="Times New Roman" w:hAnsi="Times New Roman" w:eastAsia="Times New Roman" w:cs="Times New Roman"/>
              <w:b/>
              <w:bCs/>
              <w14:ligatures w14:val="none"/>
            </w:rPr>
            <w:t>The Purpose of the Dissertation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_Toc215220430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6</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548EDC6C">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"_Toc215220431" </w:instrText>
          </w:r>
          <w:r>
            <w:fldChar w:fldCharType="separate"/>
          </w:r>
          <w:r>
            <w:rPr>
              <w:rFonts w:ascii="Times New Roman" w:hAnsi="Times New Roman" w:eastAsia="Times New Roman" w:cs="Times New Roman"/>
              <w:b/>
              <w:bCs/>
              <w14:ligatures w14:val="none"/>
            </w:rPr>
            <w:t>Tasks of Dissertation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_Toc215220431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7AAF96C">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"_Toc215220432" </w:instrText>
          </w:r>
          <w:r>
            <w:fldChar w:fldCharType="separate"/>
          </w:r>
          <w:r>
            <w:rPr>
              <w:rFonts w:ascii="Times New Roman" w:hAnsi="Times New Roman" w:eastAsia="Times New Roman" w:cs="Times New Roman"/>
              <w:b/>
              <w:bCs/>
              <w14:ligatures w14:val="none"/>
            </w:rPr>
            <w:t>The Main Provisions to be Defended:</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_Toc215220432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11</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452F6413">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"_Toc215220433" </w:instrText>
          </w:r>
          <w:r>
            <w:fldChar w:fldCharType="separate"/>
          </w:r>
          <w:r>
            <w:rPr>
              <w:rFonts w:ascii="Times New Roman" w:hAnsi="Times New Roman" w:eastAsia="Times New Roman" w:cs="Times New Roman"/>
              <w:b/>
              <w:bCs/>
              <w14:ligatures w14:val="none"/>
            </w:rPr>
            <w:t>Degree of Reliability</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_Toc215220433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14</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461EFD73">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"_Toc215220434" </w:instrText>
          </w:r>
          <w:r>
            <w:fldChar w:fldCharType="separate"/>
          </w:r>
          <w:r>
            <w:rPr>
              <w:rFonts w:ascii="Times New Roman" w:hAnsi="Times New Roman" w:eastAsia="Times New Roman" w:cs="Times New Roman"/>
              <w:b/>
              <w:bCs/>
              <w14:ligatures w14:val="none"/>
            </w:rPr>
            <w:t>Approbation of the work</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_Toc215220434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15</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2DEE08BC">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"_Toc215220435" </w:instrText>
          </w:r>
          <w:r>
            <w:fldChar w:fldCharType="separate"/>
          </w:r>
          <w:r>
            <w:rPr>
              <w:rFonts w:ascii="Times New Roman" w:hAnsi="Times New Roman" w:eastAsia="Times New Roman" w:cs="Times New Roman"/>
              <w:b/>
              <w:bCs/>
              <w14:ligatures w14:val="none"/>
            </w:rPr>
            <w:t>Personal Contribution of the Author.</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_Toc215220435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16</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FD1D39D">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"_Toc215220436" </w:instrText>
          </w:r>
          <w:r>
            <w:fldChar w:fldCharType="separate"/>
          </w:r>
          <w:r>
            <w:rPr>
              <w:rFonts w:ascii="Times New Roman" w:hAnsi="Times New Roman" w:eastAsia="Times New Roman" w:cs="Times New Roman"/>
              <w14:ligatures w14:val="none"/>
            </w:rPr>
            <w:t>CHAPTER ONE</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_Toc215220436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18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4FAFF42B">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"_Toc215220437" </w:instrText>
          </w:r>
          <w:r>
            <w:fldChar w:fldCharType="separate"/>
          </w:r>
          <w:r>
            <w:rPr>
              <w:rFonts w:ascii="Times New Roman" w:hAnsi="Times New Roman" w:eastAsia="Times New Roman" w:cs="Times New Roman"/>
              <w14:ligatures w14:val="none"/>
            </w:rPr>
            <w:t>1.1 Conceptual Clarifications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_Toc215220437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18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2C36F010">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"_Toc215220438" </w:instrText>
          </w:r>
          <w:r>
            <w:fldChar w:fldCharType="separate"/>
          </w:r>
          <w:r>
            <w:rPr>
              <w:rFonts w:ascii="Calibri" w:hAnsi="Calibri" w:eastAsia="Times New Roman" w:cs="Times New Roman"/>
              <w:b/>
              <w:bCs/>
              <w14:ligatures w14:val="none"/>
            </w:rPr>
            <w:t>1.1.1 Concept of Urbanization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_Toc215220438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18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52A45281">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"_Toc215220439" </w:instrText>
          </w:r>
          <w:r>
            <w:fldChar w:fldCharType="separate"/>
          </w:r>
          <w:r>
            <w:rPr>
              <w:rFonts w:ascii="Times New Roman" w:hAnsi="Times New Roman" w:eastAsia="Times New Roman" w:cs="Times New Roman"/>
              <w:b/>
              <w:bCs/>
              <w14:ligatures w14:val="none"/>
            </w:rPr>
            <w:t>1.1.2 Urbanization in the Tropical Context</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_Toc215220439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18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4FDFDA7">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"_Toc215220440" </w:instrText>
          </w:r>
          <w:r>
            <w:fldChar w:fldCharType="separate"/>
          </w:r>
          <w:r>
            <w:rPr>
              <w:rFonts w:ascii="Times New Roman" w:hAnsi="Times New Roman" w:eastAsia="Times New Roman" w:cs="Times New Roman"/>
              <w:b/>
              <w:bCs/>
              <w14:ligatures w14:val="none"/>
            </w:rPr>
            <w:t>1.1.3 Land Use and Land Cover (LULC)</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_Toc215220440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19</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EF89A88">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"_Toc215220441" </w:instrText>
          </w:r>
          <w:r>
            <w:fldChar w:fldCharType="separate"/>
          </w:r>
          <w:r>
            <w:rPr>
              <w:rFonts w:ascii="Times New Roman" w:hAnsi="Times New Roman" w:eastAsia="Times New Roman" w:cs="Times New Roman"/>
              <w:b/>
              <w:bCs/>
              <w14:ligatures w14:val="none"/>
            </w:rPr>
            <w:t>1.1.4 Urbanization Gradient</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_Toc215220441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20</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424D02FC">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"_Toc215220442" </w:instrText>
          </w:r>
          <w:r>
            <w:fldChar w:fldCharType="separate"/>
          </w:r>
          <w:r>
            <w:rPr>
              <w:rFonts w:ascii="Times New Roman" w:hAnsi="Times New Roman" w:eastAsia="Times New Roman" w:cs="Times New Roman"/>
              <w:b/>
              <w:bCs/>
              <w14:ligatures w14:val="none"/>
            </w:rPr>
            <w:t>1.1.5 Plant Diversity</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_Toc215220442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21</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F786480">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"_Toc215220443" </w:instrText>
          </w:r>
          <w:r>
            <w:fldChar w:fldCharType="separate"/>
          </w:r>
          <w:r>
            <w:rPr>
              <w:rFonts w:ascii="Times New Roman" w:hAnsi="Times New Roman" w:eastAsia="Times New Roman" w:cs="Times New Roman"/>
              <w:b/>
              <w:bCs/>
              <w14:ligatures w14:val="none"/>
            </w:rPr>
            <w:t>1.1.6 Ecosystem Functioning</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_Toc215220443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21</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68B44C01">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"_Toc215220444" </w:instrText>
          </w:r>
          <w:r>
            <w:fldChar w:fldCharType="separate"/>
          </w:r>
          <w:r>
            <w:rPr>
              <w:rFonts w:ascii="Times New Roman" w:hAnsi="Times New Roman" w:eastAsia="Times New Roman" w:cs="Times New Roman"/>
              <w:b/>
              <w:bCs/>
              <w14:ligatures w14:val="none"/>
            </w:rPr>
            <w:t>1.1.7 Vegetation Indices (NDVI, EVI)</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_Toc215220444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22</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67D4A378">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"_Toc215220445" </w:instrText>
          </w:r>
          <w:r>
            <w:fldChar w:fldCharType="separate"/>
          </w:r>
          <w:r>
            <w:rPr>
              <w:rFonts w:ascii="Times New Roman" w:hAnsi="Times New Roman" w:eastAsia="Times New Roman" w:cs="Times New Roman"/>
              <w:b/>
              <w:bCs/>
              <w14:ligatures w14:val="none"/>
            </w:rPr>
            <w:t>1.1.8 Soil Ecosystem Indicators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_Toc215220445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22</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63901C04">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"_Toc215220446" </w:instrText>
          </w:r>
          <w:r>
            <w:fldChar w:fldCharType="separate"/>
          </w:r>
          <w:r>
            <w:rPr>
              <w:rFonts w:ascii="Times New Roman" w:hAnsi="Times New Roman" w:eastAsia="Times New Roman" w:cs="Times New Roman"/>
              <w:b/>
              <w:bCs/>
              <w14:ligatures w14:val="none"/>
            </w:rPr>
            <w:t>1.1.9 Urban Ecology</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_Toc215220446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23</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2A8FB519">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"_Toc215220447" </w:instrText>
          </w:r>
          <w:r>
            <w:fldChar w:fldCharType="separate"/>
          </w:r>
          <w:r>
            <w:rPr>
              <w:rFonts w:ascii="Times New Roman" w:hAnsi="Times New Roman" w:eastAsia="Times New Roman" w:cs="Times New Roman"/>
              <w:b/>
              <w:bCs/>
              <w14:ligatures w14:val="none"/>
            </w:rPr>
            <w:t>1.2 Review of Related Concepts and Approaches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_Toc215220447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24</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66234C48">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"_Toc215220448" </w:instrText>
          </w:r>
          <w:r>
            <w:fldChar w:fldCharType="separate"/>
          </w:r>
          <w:r>
            <w:rPr>
              <w:rFonts w:ascii="Times New Roman" w:hAnsi="Times New Roman" w:eastAsia="Times New Roman" w:cs="Times New Roman"/>
              <w:b/>
              <w:bCs/>
              <w14:ligatures w14:val="none"/>
            </w:rPr>
            <w:t>1.2.1 Land Use / Land Cover Change Detection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_Toc215220448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24</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73325BF1">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"_Toc215220449" </w:instrText>
          </w:r>
          <w:r>
            <w:fldChar w:fldCharType="separate"/>
          </w:r>
          <w:r>
            <w:rPr>
              <w:rFonts w:ascii="Times New Roman" w:hAnsi="Times New Roman" w:eastAsia="Times New Roman" w:cs="Times New Roman"/>
              <w:b/>
              <w:bCs/>
              <w14:ligatures w14:val="none"/>
            </w:rPr>
            <w:t>1.2.2 Plant Diversity Assessment in Urban Environments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_Toc215220449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24</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6DFE1B11">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"_Toc215220450" </w:instrText>
          </w:r>
          <w:r>
            <w:fldChar w:fldCharType="separate"/>
          </w:r>
          <w:r>
            <w:rPr>
              <w:rFonts w:ascii="Times New Roman" w:hAnsi="Times New Roman" w:eastAsia="Times New Roman" w:cs="Times New Roman"/>
              <w:b/>
              <w:bCs/>
              <w14:ligatures w14:val="none"/>
            </w:rPr>
            <w:t>1.2.2.1 Vegetation Structure in Urban Landscapes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_Toc215220450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24</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48615861">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"_Toc215220451" </w:instrText>
          </w:r>
          <w:r>
            <w:fldChar w:fldCharType="separate"/>
          </w:r>
          <w:r>
            <w:rPr>
              <w:rFonts w:ascii="Times New Roman" w:hAnsi="Times New Roman" w:eastAsia="Times New Roman" w:cs="Times New Roman"/>
              <w:b/>
              <w:bCs/>
              <w14:ligatures w14:val="none"/>
            </w:rPr>
            <w:t>1.2.2.2 Biodiversity Indices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_Toc215220451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25</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59886F28">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"_Toc215220452" </w:instrText>
          </w:r>
          <w:r>
            <w:fldChar w:fldCharType="separate"/>
          </w:r>
          <w:r>
            <w:rPr>
              <w:rFonts w:ascii="Times New Roman" w:hAnsi="Times New Roman" w:eastAsia="Times New Roman" w:cs="Times New Roman"/>
              <w:b/>
              <w:bCs/>
              <w14:ligatures w14:val="none"/>
            </w:rPr>
            <w:t>1.2.2.3 Statistical Analysis of Plant Diversity</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_Toc215220452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26</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621D3D47">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"_Toc215220453" </w:instrText>
          </w:r>
          <w:r>
            <w:fldChar w:fldCharType="separate"/>
          </w:r>
          <w:r>
            <w:rPr>
              <w:rFonts w:ascii="Times New Roman" w:hAnsi="Times New Roman" w:eastAsia="Times New Roman" w:cs="Times New Roman"/>
              <w:b/>
              <w:bCs/>
              <w14:ligatures w14:val="none"/>
            </w:rPr>
            <w:t>1.2.3 Ecosystem Functioning Across Urban Gradients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_Toc215220453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26</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6C4AE47">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"_Toc215220454" </w:instrText>
          </w:r>
          <w:r>
            <w:fldChar w:fldCharType="separate"/>
          </w:r>
          <w:r>
            <w:rPr>
              <w:rFonts w:ascii="Times New Roman" w:hAnsi="Times New Roman" w:eastAsia="Times New Roman" w:cs="Times New Roman"/>
              <w:b/>
              <w:bCs/>
              <w14:ligatures w14:val="none"/>
            </w:rPr>
            <w:t>1.2.4 Vegetation Indices in Urban Ecology Research</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_Toc215220454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27</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25E9956">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"_Toc215220455" </w:instrText>
          </w:r>
          <w:r>
            <w:fldChar w:fldCharType="separate"/>
          </w:r>
          <w:r>
            <w:rPr>
              <w:rFonts w:ascii="Times New Roman" w:hAnsi="Times New Roman" w:eastAsia="Times New Roman" w:cs="Times New Roman"/>
              <w:b/>
              <w:bCs/>
              <w14:ligatures w14:val="none"/>
            </w:rPr>
            <w:t>1.2.5 Soil Quality and Urbanization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_Toc215220455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28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522D2CEA">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"_Toc215220456" </w:instrText>
          </w:r>
          <w:r>
            <w:fldChar w:fldCharType="separate"/>
          </w:r>
          <w:r>
            <w:rPr>
              <w:rFonts w:ascii="Times New Roman" w:hAnsi="Times New Roman" w:eastAsia="Times New Roman" w:cs="Times New Roman"/>
              <w:b/>
              <w:bCs/>
              <w14:ligatures w14:val="none"/>
            </w:rPr>
            <w:t>1.2.6 Urbanization Metrics and Ecological Impacts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_Toc215220456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29</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2A210173">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"_Toc215220457" </w:instrText>
          </w:r>
          <w:r>
            <w:fldChar w:fldCharType="separate"/>
          </w:r>
          <w:r>
            <w:rPr>
              <w:rFonts w:ascii="Times New Roman" w:hAnsi="Times New Roman" w:eastAsia="Times New Roman" w:cs="Times New Roman"/>
              <w:b/>
              <w:bCs/>
              <w14:ligatures w14:val="none"/>
            </w:rPr>
            <w:t>1.2.7 Statistical and Modelling Approaches in Urban Ecology</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_Toc215220457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29</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4F415698">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"_Toc215220458" </w:instrText>
          </w:r>
          <w:r>
            <w:fldChar w:fldCharType="separate"/>
          </w:r>
          <w:r>
            <w:rPr>
              <w:rFonts w:ascii="Times New Roman" w:hAnsi="Times New Roman" w:eastAsia="Times New Roman" w:cs="Times New Roman"/>
              <w:b/>
              <w:bCs/>
              <w14:ligatures w14:val="none"/>
            </w:rPr>
            <w:t>1.3 Theoretical Framework</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_Toc215220458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30</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8A3D971">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"_Toc215220459" </w:instrText>
          </w:r>
          <w:r>
            <w:fldChar w:fldCharType="separate"/>
          </w:r>
          <w:r>
            <w:rPr>
              <w:rFonts w:ascii="Times New Roman" w:hAnsi="Times New Roman" w:eastAsia="Times New Roman" w:cs="Times New Roman"/>
              <w:b/>
              <w:bCs/>
              <w14:ligatures w14:val="none"/>
            </w:rPr>
            <w:t>1.3.1 Landscape Ecology Theory</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_Toc215220459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30</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60D97DD2">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"_Toc215220460" </w:instrText>
          </w:r>
          <w:r>
            <w:fldChar w:fldCharType="separate"/>
          </w:r>
          <w:r>
            <w:rPr>
              <w:rFonts w:ascii="Times New Roman" w:hAnsi="Times New Roman" w:eastAsia="Times New Roman" w:cs="Times New Roman"/>
              <w:b/>
              <w:bCs/>
              <w14:ligatures w14:val="none"/>
            </w:rPr>
            <w:t>1.3.2 Species Area Relationship (SAR) Theory</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_Toc215220460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31</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2BCBCDB">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"_Toc215220461" </w:instrText>
          </w:r>
          <w:r>
            <w:fldChar w:fldCharType="separate"/>
          </w:r>
          <w:r>
            <w:rPr>
              <w:rFonts w:ascii="Times New Roman" w:hAnsi="Times New Roman" w:eastAsia="Times New Roman" w:cs="Times New Roman"/>
              <w:b/>
              <w:bCs/>
              <w14:ligatures w14:val="none"/>
            </w:rPr>
            <w:t>1.3.3 Intermediate Disturbance Hypothesis (IDH)</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_Toc215220461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31</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6DA5CFAF">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"_Toc215220462" </w:instrText>
          </w:r>
          <w:r>
            <w:fldChar w:fldCharType="separate"/>
          </w:r>
          <w:r>
            <w:rPr>
              <w:rFonts w:ascii="Times New Roman" w:hAnsi="Times New Roman" w:eastAsia="Times New Roman" w:cs="Times New Roman"/>
              <w:b/>
              <w:bCs/>
              <w14:ligatures w14:val="none"/>
            </w:rPr>
            <w:t>1.3.4 Urban Scaling Theory</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_Toc215220462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32</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D1D5A46">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"_Toc215220463" </w:instrText>
          </w:r>
          <w:r>
            <w:fldChar w:fldCharType="separate"/>
          </w:r>
          <w:r>
            <w:rPr>
              <w:rFonts w:ascii="Times New Roman" w:hAnsi="Times New Roman" w:eastAsia="Times New Roman" w:cs="Times New Roman"/>
              <w:b/>
              <w:bCs/>
              <w14:ligatures w14:val="none"/>
            </w:rPr>
            <w:t>1.3.5 Ecosystem Function Theory</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_Toc215220463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33</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3A1CDFE9">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"_Toc215220464" </w:instrText>
          </w:r>
          <w:r>
            <w:fldChar w:fldCharType="separate"/>
          </w:r>
          <w:r>
            <w:rPr>
              <w:rFonts w:ascii="Times New Roman" w:hAnsi="Times New Roman" w:eastAsia="Times New Roman" w:cs="Times New Roman"/>
              <w:b/>
              <w:bCs/>
              <w14:ligatures w14:val="none"/>
            </w:rPr>
            <w:t>1.4 Empirical Review</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_Toc215220464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34</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0C6B521">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"_Toc215220465" </w:instrText>
          </w:r>
          <w:r>
            <w:fldChar w:fldCharType="separate"/>
          </w:r>
          <w:r>
            <w:rPr>
              <w:rFonts w:ascii="Times New Roman" w:hAnsi="Times New Roman" w:eastAsia="Times New Roman" w:cs="Times New Roman"/>
              <w:b/>
              <w:bCs/>
              <w14:ligatures w14:val="none"/>
            </w:rPr>
            <w:t>1.4.1 Global Studies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_Toc215220465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34</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621F7167">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"_Toc215220466" </w:instrText>
          </w:r>
          <w:r>
            <w:fldChar w:fldCharType="separate"/>
          </w:r>
          <w:r>
            <w:rPr>
              <w:rFonts w:ascii="Times New Roman" w:hAnsi="Times New Roman" w:eastAsia="Times New Roman" w:cs="Times New Roman"/>
              <w:b/>
              <w:bCs/>
              <w14:ligatures w14:val="none"/>
            </w:rPr>
            <w:t>1.4.2 African Studies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_Toc215220466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35</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6B4E6205">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"_Toc215220467" </w:instrText>
          </w:r>
          <w:r>
            <w:fldChar w:fldCharType="separate"/>
          </w:r>
          <w:r>
            <w:rPr>
              <w:rFonts w:ascii="Times New Roman" w:hAnsi="Times New Roman" w:eastAsia="Times New Roman" w:cs="Times New Roman"/>
              <w:b/>
              <w:bCs/>
              <w14:ligatures w14:val="none"/>
            </w:rPr>
            <w:t>1.4.3 Nigerian Studies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_Toc215220467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37</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39134ACF">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"_Toc215220468" </w:instrText>
          </w:r>
          <w:r>
            <w:fldChar w:fldCharType="separate"/>
          </w:r>
          <w:r>
            <w:rPr>
              <w:rFonts w:ascii="Times New Roman" w:hAnsi="Times New Roman" w:eastAsia="Times New Roman" w:cs="Times New Roman"/>
              <w:b/>
              <w:bCs/>
              <w14:ligatures w14:val="none"/>
            </w:rPr>
            <w:t>1.5 Summary of Research Gaps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_Toc215220468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38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3429BDBE">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"_Toc215220469" </w:instrText>
          </w:r>
          <w:r>
            <w:fldChar w:fldCharType="separate"/>
          </w:r>
          <w:r>
            <w:rPr>
              <w:rFonts w:ascii="Times New Roman" w:hAnsi="Times New Roman" w:eastAsia="Times New Roman" w:cs="Times New Roman"/>
              <w:b/>
              <w:bCs/>
              <w14:ligatures w14:val="none"/>
            </w:rPr>
            <w:t>1.6 Conceptual Framework</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_Toc215220469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39</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4060F3FF">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"_Toc215220470" </w:instrText>
          </w:r>
          <w:r>
            <w:fldChar w:fldCharType="separate"/>
          </w:r>
          <w:r>
            <w:rPr>
              <w:rFonts w:ascii="Times New Roman" w:hAnsi="Times New Roman" w:eastAsia="Times New Roman" w:cs="Times New Roman"/>
              <w:b/>
              <w:bCs/>
              <w14:ligatures w14:val="none"/>
            </w:rPr>
            <w:t>CHAPTER TWO</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_Toc215220470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41</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627D4C89">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"_Toc215220471" </w:instrText>
          </w:r>
          <w:r>
            <w:fldChar w:fldCharType="separate"/>
          </w:r>
          <w:r>
            <w:rPr>
              <w:rFonts w:ascii="Times New Roman" w:hAnsi="Times New Roman" w:eastAsia="Times New Roman" w:cs="Times New Roman"/>
              <w:b/>
              <w:bCs/>
              <w14:ligatures w14:val="none"/>
            </w:rPr>
            <w:t>2.0 RESEARCH METHODOLOGY</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_Toc215220471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41</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7BEE07DF">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"_Toc215220472" </w:instrText>
          </w:r>
          <w:r>
            <w:fldChar w:fldCharType="separate"/>
          </w:r>
          <w:r>
            <w:rPr>
              <w:rFonts w:ascii="Times New Roman" w:hAnsi="Times New Roman" w:eastAsia="Times New Roman" w:cs="Times New Roman"/>
              <w:b/>
              <w:bCs/>
              <w14:ligatures w14:val="none"/>
            </w:rPr>
            <w:t>2.1 Research Design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_Toc215220472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41</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75B0E9A0">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"_Toc215220473" </w:instrText>
          </w:r>
          <w:r>
            <w:fldChar w:fldCharType="separate"/>
          </w:r>
          <w:r>
            <w:rPr>
              <w:rFonts w:ascii="Times New Roman" w:hAnsi="Times New Roman" w:eastAsia="Times New Roman" w:cs="Times New Roman"/>
              <w:b/>
              <w:bCs/>
              <w14:ligatures w14:val="none"/>
            </w:rPr>
            <w:t>2.2 Study Area</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_Toc215220473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43</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EFF8375">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"_Toc215220474" </w:instrText>
          </w:r>
          <w:r>
            <w:fldChar w:fldCharType="separate"/>
          </w:r>
          <w:r>
            <w:rPr>
              <w:rFonts w:ascii="Times New Roman" w:hAnsi="Times New Roman" w:eastAsia="Times New Roman" w:cs="Times New Roman"/>
              <w:b/>
              <w:bCs/>
              <w14:ligatures w14:val="none"/>
            </w:rPr>
            <w:t>2.3 Data Requirements and Sources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_Toc215220474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45</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4B62DB5F">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"_Toc215220475" </w:instrText>
          </w:r>
          <w:r>
            <w:fldChar w:fldCharType="separate"/>
          </w:r>
          <w:r>
            <w:rPr>
              <w:rFonts w:ascii="Times New Roman" w:hAnsi="Times New Roman" w:eastAsia="Times New Roman" w:cs="Times New Roman"/>
              <w:b/>
              <w:bCs/>
              <w14:ligatures w14:val="none"/>
            </w:rPr>
            <w:t>2.3.1 Remote Sensing Data</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_Toc215220475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45</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2A86AA5F">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"_Toc215220476" </w:instrText>
          </w:r>
          <w:r>
            <w:fldChar w:fldCharType="separate"/>
          </w:r>
          <w:r>
            <w:rPr>
              <w:rFonts w:ascii="Times New Roman" w:hAnsi="Times New Roman" w:eastAsia="Times New Roman" w:cs="Times New Roman"/>
              <w:b/>
              <w:bCs/>
              <w14:ligatures w14:val="none"/>
            </w:rPr>
            <w:t>2.3.2 Field Vegetation Data</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_Toc215220476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46</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B42D6B5">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"_Toc215220477" </w:instrText>
          </w:r>
          <w:r>
            <w:fldChar w:fldCharType="separate"/>
          </w:r>
          <w:r>
            <w:rPr>
              <w:rFonts w:ascii="Times New Roman" w:hAnsi="Times New Roman" w:eastAsia="Times New Roman" w:cs="Times New Roman"/>
              <w:b/>
              <w:bCs/>
              <w14:ligatures w14:val="none"/>
            </w:rPr>
            <w:t>2.3.3 Soil Data</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_Toc215220477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47</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E338937">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"_Toc215220478" </w:instrText>
          </w:r>
          <w:r>
            <w:fldChar w:fldCharType="separate"/>
          </w:r>
          <w:r>
            <w:rPr>
              <w:rFonts w:ascii="Times New Roman" w:hAnsi="Times New Roman" w:eastAsia="Times New Roman" w:cs="Times New Roman"/>
              <w:b/>
              <w:bCs/>
              <w14:ligatures w14:val="none"/>
            </w:rPr>
            <w:t>2.4 Land-Use and Land-Cover (LULC) Analysis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_Toc215220478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48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3A23C3F2">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"_Toc215220479" </w:instrText>
          </w:r>
          <w:r>
            <w:fldChar w:fldCharType="separate"/>
          </w:r>
          <w:r>
            <w:rPr>
              <w:rFonts w:ascii="Times New Roman" w:hAnsi="Times New Roman" w:eastAsia="Times New Roman" w:cs="Times New Roman"/>
              <w:b/>
              <w:bCs/>
              <w14:ligatures w14:val="none"/>
            </w:rPr>
            <w:t>2.4.1 Image Pre-Processing</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_Toc215220479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48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920E0E7">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"_Toc215220480" </w:instrText>
          </w:r>
          <w:r>
            <w:fldChar w:fldCharType="separate"/>
          </w:r>
          <w:r>
            <w:rPr>
              <w:rFonts w:ascii="Times New Roman" w:hAnsi="Times New Roman" w:eastAsia="Times New Roman" w:cs="Times New Roman"/>
              <w:b/>
              <w:bCs/>
              <w14:ligatures w14:val="none"/>
            </w:rPr>
            <w:t>2.4.2 LULC Classification Using Random Forest</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_Toc215220480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48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4D60A40E">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"_Toc215220481" </w:instrText>
          </w:r>
          <w:r>
            <w:fldChar w:fldCharType="separate"/>
          </w:r>
          <w:r>
            <w:rPr>
              <w:rFonts w:ascii="Times New Roman" w:hAnsi="Times New Roman" w:eastAsia="Times New Roman" w:cs="Times New Roman"/>
              <w:b/>
              <w:bCs/>
              <w14:ligatures w14:val="none"/>
            </w:rPr>
            <w:t>2.4.3 Accuracy Assessment</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_Toc215220481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49</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F829863">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"_Toc215220482" </w:instrText>
          </w:r>
          <w:r>
            <w:fldChar w:fldCharType="separate"/>
          </w:r>
          <w:r>
            <w:rPr>
              <w:rFonts w:ascii="Times New Roman" w:hAnsi="Times New Roman" w:eastAsia="Times New Roman" w:cs="Times New Roman"/>
              <w:b/>
              <w:bCs/>
              <w14:ligatures w14:val="none"/>
            </w:rPr>
            <w:t>2.4.4 LULC Change Detection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_Toc215220482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49</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201CC5A4">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"_Toc215220483" </w:instrText>
          </w:r>
          <w:r>
            <w:fldChar w:fldCharType="separate"/>
          </w:r>
          <w:r>
            <w:rPr>
              <w:rFonts w:ascii="Times New Roman" w:hAnsi="Times New Roman" w:eastAsia="Times New Roman" w:cs="Times New Roman"/>
              <w:b/>
              <w:bCs/>
              <w14:ligatures w14:val="none"/>
            </w:rPr>
            <w:t>2.5 Plant Diversity Assessment</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_Toc215220483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50</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AD6D67C">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"_Toc215220484" </w:instrText>
          </w:r>
          <w:r>
            <w:fldChar w:fldCharType="separate"/>
          </w:r>
          <w:r>
            <w:rPr>
              <w:rFonts w:ascii="Times New Roman" w:hAnsi="Times New Roman" w:eastAsia="Times New Roman" w:cs="Times New Roman"/>
              <w:b/>
              <w:bCs/>
              <w14:ligatures w14:val="none"/>
            </w:rPr>
            <w:t>2.5.1 Sampling Design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_Toc215220484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50</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6EEF0579">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"_Toc215220485" </w:instrText>
          </w:r>
          <w:r>
            <w:fldChar w:fldCharType="separate"/>
          </w:r>
          <w:r>
            <w:rPr>
              <w:rFonts w:ascii="Times New Roman" w:hAnsi="Times New Roman" w:eastAsia="Times New Roman" w:cs="Times New Roman"/>
              <w:b/>
              <w:bCs/>
              <w14:ligatures w14:val="none"/>
            </w:rPr>
            <w:t>2.5.2 Biodiversity Indices Computation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_Toc215220485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51</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62B1D629">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"_Toc215220486" </w:instrText>
          </w:r>
          <w:r>
            <w:fldChar w:fldCharType="separate"/>
          </w:r>
          <w:r>
            <w:rPr>
              <w:rFonts w:ascii="Times New Roman" w:hAnsi="Times New Roman" w:eastAsia="Times New Roman" w:cs="Times New Roman"/>
              <w:b/>
              <w:bCs/>
              <w14:ligatures w14:val="none"/>
            </w:rPr>
            <w:t>2.5.3 Statistical Analysis of Diversity</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_Toc215220486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52</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5B71CF9D">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"_Toc215220487" </w:instrText>
          </w:r>
          <w:r>
            <w:fldChar w:fldCharType="separate"/>
          </w:r>
          <w:r>
            <w:rPr>
              <w:rFonts w:ascii="Times New Roman" w:hAnsi="Times New Roman" w:eastAsia="Times New Roman" w:cs="Times New Roman"/>
              <w:b/>
              <w:bCs/>
              <w14:ligatures w14:val="none"/>
            </w:rPr>
            <w:t>2.5.3.1 One-Way ANOVA</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_Toc215220487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52</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3836A961">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"_Toc215220488" </w:instrText>
          </w:r>
          <w:r>
            <w:fldChar w:fldCharType="separate"/>
          </w:r>
          <w:r>
            <w:rPr>
              <w:rFonts w:ascii="Times New Roman" w:hAnsi="Times New Roman" w:eastAsia="Times New Roman" w:cs="Times New Roman"/>
              <w:b/>
              <w:bCs/>
              <w14:ligatures w14:val="none"/>
            </w:rPr>
            <w:t>2.5.3.2 Post-hoc Tests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_Toc215220488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53</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240CC4EF">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"_Toc215220489" </w:instrText>
          </w:r>
          <w:r>
            <w:fldChar w:fldCharType="separate"/>
          </w:r>
          <w:r>
            <w:rPr>
              <w:rFonts w:ascii="Times New Roman" w:hAnsi="Times New Roman" w:eastAsia="Times New Roman" w:cs="Times New Roman"/>
              <w:b/>
              <w:bCs/>
              <w14:ligatures w14:val="none"/>
            </w:rPr>
            <w:t>2.6 Ecosystem Functioning and Urbanization Impact Modelling</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_Toc215220489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53</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8EBBE5F">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"_Toc215220490" </w:instrText>
          </w:r>
          <w:r>
            <w:fldChar w:fldCharType="separate"/>
          </w:r>
          <w:r>
            <w:rPr>
              <w:rFonts w:ascii="Times New Roman" w:hAnsi="Times New Roman" w:eastAsia="Times New Roman" w:cs="Times New Roman"/>
              <w:b/>
              <w:bCs/>
              <w14:ligatures w14:val="none"/>
            </w:rPr>
            <w:t>2.6.1 Urbanization Metrics Extraction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_Toc215220490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53</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26F3092C">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"_Toc215220491" </w:instrText>
          </w:r>
          <w:r>
            <w:fldChar w:fldCharType="separate"/>
          </w:r>
          <w:r>
            <w:rPr>
              <w:rFonts w:ascii="Times New Roman" w:hAnsi="Times New Roman" w:eastAsia="Times New Roman" w:cs="Times New Roman"/>
              <w:b/>
              <w:bCs/>
              <w14:ligatures w14:val="none"/>
            </w:rPr>
            <w:t>2.6.2 Ecosystem Function Indicators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_Toc215220491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54</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54B39B79">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"_Toc215220492" </w:instrText>
          </w:r>
          <w:r>
            <w:fldChar w:fldCharType="separate"/>
          </w:r>
          <w:r>
            <w:rPr>
              <w:rFonts w:ascii="Times New Roman" w:hAnsi="Times New Roman" w:eastAsia="Times New Roman" w:cs="Times New Roman"/>
              <w:b/>
              <w:bCs/>
              <w14:ligatures w14:val="none"/>
            </w:rPr>
            <w:t>2.6.3 Zone Comparison Statistics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_Toc215220492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55</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9605D88">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"_Toc215220493" </w:instrText>
          </w:r>
          <w:r>
            <w:fldChar w:fldCharType="separate"/>
          </w:r>
          <w:r>
            <w:rPr>
              <w:rFonts w:ascii="Times New Roman" w:hAnsi="Times New Roman" w:eastAsia="Times New Roman" w:cs="Times New Roman"/>
              <w:b/>
              <w:bCs/>
              <w14:ligatures w14:val="none"/>
            </w:rPr>
            <w:t>2.6.4 Regression Modelling</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_Toc215220493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56</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50F0E573">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"_Toc215220494" </w:instrText>
          </w:r>
          <w:r>
            <w:fldChar w:fldCharType="separate"/>
          </w:r>
          <w:r>
            <w:rPr>
              <w:rFonts w:ascii="Times New Roman" w:hAnsi="Times New Roman" w:eastAsia="Times New Roman" w:cs="Times New Roman"/>
              <w:b/>
              <w:bCs/>
              <w14:ligatures w14:val="none"/>
            </w:rPr>
            <w:t>2.7 Policy and Management Recommendations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_Toc215220494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57</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449F4BB6">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"_Toc215220495" </w:instrText>
          </w:r>
          <w:r>
            <w:fldChar w:fldCharType="separate"/>
          </w:r>
          <w:r>
            <w:rPr>
              <w:rFonts w:ascii="Times New Roman" w:hAnsi="Times New Roman" w:eastAsia="Times New Roman" w:cs="Times New Roman"/>
              <w:b/>
              <w:bCs/>
              <w14:ligatures w14:val="none"/>
            </w:rPr>
            <w:t>CHAPTER THREE</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_Toc215220495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58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2E286447">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"_Toc215220496" </w:instrText>
          </w:r>
          <w:r>
            <w:fldChar w:fldCharType="separate"/>
          </w:r>
          <w:r>
            <w:rPr>
              <w:rFonts w:ascii="Times New Roman" w:hAnsi="Times New Roman" w:eastAsia="Times New Roman" w:cs="Times New Roman"/>
              <w:b/>
              <w:bCs/>
              <w14:ligatures w14:val="none"/>
            </w:rPr>
            <w:t>RESULTS AND DISCUSSION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_Toc215220496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58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5E9BC57E">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"_Toc215220497" </w:instrText>
          </w:r>
          <w:r>
            <w:fldChar w:fldCharType="separate"/>
          </w:r>
          <w:r>
            <w:rPr>
              <w:rFonts w:ascii="Times New Roman" w:hAnsi="Times New Roman" w:eastAsia="Times New Roman" w:cs="Times New Roman"/>
              <w:b/>
              <w:bCs/>
              <w14:ligatures w14:val="none"/>
            </w:rPr>
            <w:t>3.1 Land Use and Land Cover (LULC) Classification Results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_Toc215220497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58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8F45A7A">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"_Toc215220498" </w:instrText>
          </w:r>
          <w:r>
            <w:fldChar w:fldCharType="separate"/>
          </w:r>
          <w:r>
            <w:rPr>
              <w:rFonts w:ascii="Times New Roman" w:hAnsi="Times New Roman" w:eastAsia="Times New Roman" w:cs="Times New Roman"/>
              <w:b/>
              <w:bCs/>
              <w14:ligatures w14:val="none"/>
            </w:rPr>
            <w:t>3.1.1 Land Use and Land Cover Dynamics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_Toc215220498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58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713FBCC7">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"_Toc215220499" </w:instrText>
          </w:r>
          <w:r>
            <w:fldChar w:fldCharType="separate"/>
          </w:r>
          <w:r>
            <w:rPr>
              <w:rFonts w:ascii="Times New Roman" w:hAnsi="Times New Roman" w:eastAsia="Times New Roman" w:cs="Times New Roman"/>
              <w:b/>
              <w:bCs/>
              <w14:ligatures w14:val="none"/>
            </w:rPr>
            <w:t>3.1.2 Spatial Interpretation of LULC Maps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_Toc215220499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60</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353A22EB">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"_Toc215220500" </w:instrText>
          </w:r>
          <w:r>
            <w:fldChar w:fldCharType="separate"/>
          </w:r>
          <w:r>
            <w:rPr>
              <w:rFonts w:ascii="Times New Roman" w:hAnsi="Times New Roman" w:eastAsia="Times New Roman" w:cs="Times New Roman"/>
              <w:b/>
              <w14:ligatures w14:val="none"/>
            </w:rPr>
            <w:t>3.1.3 Ground Truthing for LULC Classification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_Toc215220500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63</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25A5855">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"_Toc215220501" </w:instrText>
          </w:r>
          <w:r>
            <w:fldChar w:fldCharType="separate"/>
          </w:r>
          <w:r>
            <w:rPr>
              <w:rFonts w:ascii="Times New Roman" w:hAnsi="Times New Roman" w:eastAsia="Times New Roman" w:cs="Times New Roman"/>
              <w:b/>
              <w:bCs/>
              <w14:ligatures w14:val="none"/>
            </w:rPr>
            <w:t>3.2 Plant Composition and Biodiversity Patterns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_Toc215220501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65</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2EFB68E1">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"_Toc215220502" </w:instrText>
          </w:r>
          <w:r>
            <w:fldChar w:fldCharType="separate"/>
          </w:r>
          <w:r>
            <w:rPr>
              <w:rFonts w:ascii="Times New Roman" w:hAnsi="Times New Roman" w:eastAsia="Calibri" w:cs="Times New Roman"/>
              <w:b/>
              <w:bCs/>
              <w14:ligatures w14:val="none"/>
            </w:rPr>
            <w:t>3.2.1 Plant Diversity in Makurdi local Government area</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_Toc215220502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65</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7DF35BD2">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"_Toc215220503" </w:instrText>
          </w:r>
          <w:r>
            <w:fldChar w:fldCharType="separate"/>
          </w:r>
          <w:r>
            <w:rPr>
              <w:rFonts w:ascii="Times New Roman" w:hAnsi="Times New Roman" w:eastAsia="Calibri" w:cs="Times New Roman"/>
              <w:b/>
              <w:bCs/>
              <w14:ligatures w14:val="none"/>
            </w:rPr>
            <w:t>3.2.1.1 Rural Areas of Makurdi Local Government</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_Toc215220503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66</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7C16908E">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"_Toc215220504" </w:instrText>
          </w:r>
          <w:r>
            <w:fldChar w:fldCharType="separate"/>
          </w:r>
          <w:r>
            <w:rPr>
              <w:rFonts w:ascii="Times New Roman" w:hAnsi="Times New Roman" w:eastAsia="Calibri" w:cs="Times New Roman"/>
              <w:b/>
              <w:bCs/>
              <w14:ligatures w14:val="none"/>
            </w:rPr>
            <w:t>3.2.1.2 Peri-Urban Areas of Makurdi Local Government</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_Toc215220504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67</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8B48ECD">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"_Toc215220505" </w:instrText>
          </w:r>
          <w:r>
            <w:fldChar w:fldCharType="separate"/>
          </w:r>
          <w:r>
            <w:rPr>
              <w:rFonts w:ascii="Times New Roman" w:hAnsi="Times New Roman" w:eastAsia="Calibri" w:cs="Times New Roman"/>
              <w:b/>
              <w:bCs/>
              <w14:ligatures w14:val="none"/>
            </w:rPr>
            <w:t>3.2.1.3 Urban Areas of Makurdi Local Government</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_Toc215220505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67</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1D701A7">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"_Toc215220506" </w:instrText>
          </w:r>
          <w:r>
            <w:fldChar w:fldCharType="separate"/>
          </w:r>
          <w:r>
            <w:rPr>
              <w:rFonts w:ascii="Times New Roman" w:hAnsi="Times New Roman" w:eastAsia="Calibri" w:cs="Times New Roman"/>
              <w:b/>
              <w:bCs/>
              <w14:ligatures w14:val="none"/>
            </w:rPr>
            <w:t>3.2.1.4 Comparison of Species Diversity between Rural, Peri-Urban, and Urban Areas in Makurdi Local Government</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_Toc215220506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68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0671978">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"_Toc215220507" </w:instrText>
          </w:r>
          <w:r>
            <w:fldChar w:fldCharType="separate"/>
          </w:r>
          <w:r>
            <w:rPr>
              <w:rFonts w:ascii="Times New Roman" w:hAnsi="Times New Roman" w:eastAsia="Calibri" w:cs="Times New Roman"/>
              <w:b/>
              <w:bCs/>
              <w14:ligatures w14:val="none"/>
            </w:rPr>
            <w:t>3.2.2 Plant Diversity in Otukpo Local Government</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_Toc215220507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69</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E48D41C">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"_Toc215220508" </w:instrText>
          </w:r>
          <w:r>
            <w:fldChar w:fldCharType="separate"/>
          </w:r>
          <w:r>
            <w:rPr>
              <w:rFonts w:ascii="Times New Roman" w:hAnsi="Times New Roman" w:eastAsia="Calibri" w:cs="Times New Roman"/>
              <w:b/>
              <w:bCs/>
              <w14:ligatures w14:val="none"/>
            </w:rPr>
            <w:t>3.2.2.2 Peri-Urban Area of Otukpo Local Government</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_Toc215220508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70</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AFDDC8A">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"_Toc215220509" </w:instrText>
          </w:r>
          <w:r>
            <w:fldChar w:fldCharType="separate"/>
          </w:r>
          <w:r>
            <w:rPr>
              <w:rFonts w:ascii="Times New Roman" w:hAnsi="Times New Roman" w:eastAsia="Calibri" w:cs="Times New Roman"/>
              <w:b/>
              <w:bCs/>
              <w14:ligatures w14:val="none"/>
            </w:rPr>
            <w:t>3.2.2.1 Rural Areas of Otukpo Local Government</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_Toc215220509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70</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8025BFB">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"_Toc215220510" </w:instrText>
          </w:r>
          <w:r>
            <w:fldChar w:fldCharType="separate"/>
          </w:r>
          <w:r>
            <w:rPr>
              <w:rFonts w:ascii="Times New Roman" w:hAnsi="Times New Roman" w:eastAsia="Calibri" w:cs="Times New Roman"/>
              <w:b/>
              <w:bCs/>
              <w14:ligatures w14:val="none"/>
            </w:rPr>
            <w:t>3.2.2.3 Urban Areas of Otukpo Local Government</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_Toc215220510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71</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2D8F5A91">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"_Toc215220511" </w:instrText>
          </w:r>
          <w:r>
            <w:fldChar w:fldCharType="separate"/>
          </w:r>
          <w:r>
            <w:rPr>
              <w:rFonts w:ascii="Times New Roman" w:hAnsi="Times New Roman" w:eastAsia="Calibri" w:cs="Times New Roman"/>
              <w:b/>
              <w:bCs/>
              <w14:ligatures w14:val="none"/>
            </w:rPr>
            <w:t>3.2.2.4 Comparison of Species Diversity between Rural, Peri-Urban, and Urban Areas in Otukpo Local Government</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_Toc215220511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72</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6F9230DC">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"_Toc215220512" </w:instrText>
          </w:r>
          <w:r>
            <w:fldChar w:fldCharType="separate"/>
          </w:r>
          <w:r>
            <w:rPr>
              <w:rFonts w:ascii="Times New Roman" w:hAnsi="Times New Roman" w:eastAsia="Times New Roman" w:cs="Times New Roman"/>
              <w:b/>
              <w:bCs/>
              <w14:ligatures w14:val="none"/>
            </w:rPr>
            <w:t>3.3 Soil Properties Across the Urban Gradient</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_Toc215220512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73</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56694D00">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"_Toc215220513" </w:instrText>
          </w:r>
          <w:r>
            <w:fldChar w:fldCharType="separate"/>
          </w:r>
          <w:r>
            <w:rPr>
              <w:rFonts w:ascii="Times New Roman" w:hAnsi="Times New Roman" w:eastAsia="Times New Roman" w:cs="Times New Roman"/>
              <w:b/>
              <w:bCs/>
              <w14:ligatures w14:val="none"/>
            </w:rPr>
            <w:t>3.3.1 Soil Variable Summary</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_Toc215220513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73</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20BBD431">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"_Toc215220514" </w:instrText>
          </w:r>
          <w:r>
            <w:fldChar w:fldCharType="separate"/>
          </w:r>
          <w:r>
            <w:rPr>
              <w:rFonts w:ascii="Times New Roman" w:hAnsi="Times New Roman" w:eastAsia="Times New Roman" w:cs="Times New Roman"/>
              <w:b/>
              <w:bCs/>
              <w14:ligatures w14:val="none"/>
            </w:rPr>
            <w:t>3.3.2 Statistical Differences Across Zones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_Toc215220514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75</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60C81173">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"_Toc215220515" </w:instrText>
          </w:r>
          <w:r>
            <w:fldChar w:fldCharType="separate"/>
          </w:r>
          <w:r>
            <w:rPr>
              <w:rFonts w:ascii="Times New Roman" w:hAnsi="Times New Roman" w:eastAsia="Times New Roman" w:cs="Times New Roman"/>
              <w:b/>
              <w:bCs/>
              <w14:ligatures w14:val="none"/>
            </w:rPr>
            <w:t>3.4 Vegetation Index (NDVI/EVI) Results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_Toc215220515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76</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765244B6">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"_Toc215220516" </w:instrText>
          </w:r>
          <w:r>
            <w:fldChar w:fldCharType="separate"/>
          </w:r>
          <w:r>
            <w:rPr>
              <w:rFonts w:ascii="Times New Roman" w:hAnsi="Times New Roman" w:eastAsia="Times New Roman" w:cs="Times New Roman"/>
              <w:b/>
              <w:bCs/>
              <w14:ligatures w14:val="none"/>
            </w:rPr>
            <w:t>3.4.1 NDVI and EVI Summary by Zone</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_Toc215220516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76</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4D22F573">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"_Toc215220517" </w:instrText>
          </w:r>
          <w:r>
            <w:fldChar w:fldCharType="separate"/>
          </w:r>
          <w:r>
            <w:rPr>
              <w:rFonts w:ascii="Times New Roman" w:hAnsi="Times New Roman" w:eastAsia="Times New Roman" w:cs="Times New Roman"/>
              <w:b/>
              <w:bCs/>
              <w14:ligatures w14:val="none"/>
            </w:rPr>
            <w:t>3.4.2 Zone Comparison Statistics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_Toc215220517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77</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512F1604">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"_Toc215220518" </w:instrText>
          </w:r>
          <w:r>
            <w:fldChar w:fldCharType="separate"/>
          </w:r>
          <w:r>
            <w:rPr>
              <w:rFonts w:ascii="Times New Roman" w:hAnsi="Times New Roman" w:eastAsia="Times New Roman" w:cs="Times New Roman"/>
              <w:b/>
              <w:bCs/>
              <w14:ligatures w14:val="none"/>
            </w:rPr>
            <w:t>3.5 Relationship Between Urbanization Metrics and Ecosystem Functioning</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_Toc215220518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79</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66C7E1C">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"_Toc215220519" </w:instrText>
          </w:r>
          <w:r>
            <w:fldChar w:fldCharType="separate"/>
          </w:r>
          <w:r>
            <w:rPr>
              <w:rFonts w:ascii="Times New Roman" w:hAnsi="Times New Roman" w:eastAsia="Times New Roman" w:cs="Times New Roman"/>
              <w:b/>
              <w:bCs/>
              <w14:ligatures w14:val="none"/>
            </w:rPr>
            <w:t>3. 5.1 Summary of Urbanization Indicators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_Toc215220519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79</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5B2EA5CD">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"_Toc215220520" </w:instrText>
          </w:r>
          <w:r>
            <w:fldChar w:fldCharType="separate"/>
          </w:r>
          <w:r>
            <w:rPr>
              <w:rFonts w:ascii="Times New Roman" w:hAnsi="Times New Roman" w:eastAsia="Times New Roman" w:cs="Times New Roman"/>
              <w:b/>
              <w:bCs/>
              <w14:ligatures w14:val="none"/>
            </w:rPr>
            <w:t>3.5.2 Regression Analysis of Urbanization Metrics as Predictors of NDVI</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_Toc215220520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81</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279B9B11">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"_Toc215220521" </w:instrText>
          </w:r>
          <w:r>
            <w:fldChar w:fldCharType="separate"/>
          </w:r>
          <w:r>
            <w:rPr>
              <w:rFonts w:ascii="Times New Roman" w:hAnsi="Times New Roman" w:eastAsia="Times New Roman" w:cs="Times New Roman"/>
              <w:b/>
              <w:bCs/>
              <w14:ligatures w14:val="none"/>
            </w:rPr>
            <w:t>3.5.3 Model Fit Validation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_Toc215220521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83</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7989CBE">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"_Toc215220522" </w:instrText>
          </w:r>
          <w:r>
            <w:fldChar w:fldCharType="separate"/>
          </w:r>
          <w:r>
            <w:rPr>
              <w:rFonts w:ascii="Times New Roman" w:hAnsi="Times New Roman" w:eastAsia="Times New Roman" w:cs="Times New Roman"/>
              <w:b/>
              <w:bCs/>
              <w14:ligatures w14:val="none"/>
            </w:rPr>
            <w:t>3.5.4 Interpretation of Regression Results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_Toc215220522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88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54C1D607">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"_Toc215220523" </w:instrText>
          </w:r>
          <w:r>
            <w:fldChar w:fldCharType="separate"/>
          </w:r>
          <w:r>
            <w:rPr>
              <w:rFonts w:ascii="Times New Roman" w:hAnsi="Times New Roman" w:eastAsia="Times New Roman" w:cs="Times New Roman"/>
              <w:b/>
              <w:bCs/>
              <w14:ligatures w14:val="none"/>
            </w:rPr>
            <w:t>3.6 Integrated Assessment of Urbanization Impacts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_Toc215220523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91</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2B3C9C71">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"_Toc215220524" </w:instrText>
          </w:r>
          <w:r>
            <w:fldChar w:fldCharType="separate"/>
          </w:r>
          <w:r>
            <w:rPr>
              <w:rFonts w:ascii="Times New Roman" w:hAnsi="Times New Roman" w:eastAsia="Times New Roman" w:cs="Times New Roman"/>
              <w:b/>
              <w:bCs/>
              <w14:ligatures w14:val="none"/>
            </w:rPr>
            <w:t>3.6.1 Synthesis of Findings Across Indicators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_Toc215220524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91</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4F4A62FB">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"_Toc215220525" </w:instrText>
          </w:r>
          <w:r>
            <w:fldChar w:fldCharType="separate"/>
          </w:r>
          <w:r>
            <w:rPr>
              <w:rFonts w:ascii="Times New Roman" w:hAnsi="Times New Roman" w:eastAsia="Times New Roman" w:cs="Times New Roman"/>
              <w:b/>
              <w:bCs/>
              <w14:ligatures w14:val="none"/>
            </w:rPr>
            <w:t>3.6.2 Ecological Implications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_Toc215220525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92</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73C41F68">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"_Toc215220526" </w:instrText>
          </w:r>
          <w:r>
            <w:fldChar w:fldCharType="separate"/>
          </w:r>
          <w:r>
            <w:rPr>
              <w:rFonts w:ascii="Times New Roman" w:hAnsi="Times New Roman" w:eastAsia="Times New Roman" w:cs="Times New Roman"/>
              <w:b/>
              <w:bCs/>
              <w14:ligatures w14:val="none"/>
            </w:rPr>
            <w:t>3.7 Summary of Findings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_Toc215220526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94</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45F5CC05">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"_Toc215220527" </w:instrText>
          </w:r>
          <w:r>
            <w:fldChar w:fldCharType="separate"/>
          </w:r>
          <w:r>
            <w:rPr>
              <w:rFonts w:ascii="Times New Roman" w:hAnsi="Times New Roman" w:eastAsia="Times New Roman" w:cs="Times New Roman"/>
              <w:b/>
              <w:bCs/>
              <w14:ligatures w14:val="none"/>
            </w:rPr>
            <w:t>3.8 Discussion of Results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_Toc215220527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95</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1A0C3BF">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"_Toc215220528" </w:instrText>
          </w:r>
          <w:r>
            <w:fldChar w:fldCharType="separate"/>
          </w:r>
          <w:r>
            <w:rPr>
              <w:rFonts w:ascii="Times New Roman" w:hAnsi="Times New Roman" w:eastAsia="Times New Roman" w:cs="Times New Roman"/>
              <w:b/>
              <w:bCs/>
              <w14:ligatures w14:val="none"/>
            </w:rPr>
            <w:t>3.8.1 Urban Expansion and Landscape Transformation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_Toc215220528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96</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F822765">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"_Toc215220529" </w:instrText>
          </w:r>
          <w:r>
            <w:fldChar w:fldCharType="separate"/>
          </w:r>
          <w:r>
            <w:rPr>
              <w:rFonts w:ascii="Times New Roman" w:hAnsi="Times New Roman" w:eastAsia="Times New Roman" w:cs="Times New Roman"/>
              <w:b/>
              <w:bCs/>
              <w14:ligatures w14:val="none"/>
            </w:rPr>
            <w:t>3.8.2 Plant Diversity Decline Along Urban Gradients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_Toc215220529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96</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F2DF93B">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"_Toc215220530" </w:instrText>
          </w:r>
          <w:r>
            <w:fldChar w:fldCharType="separate"/>
          </w:r>
          <w:r>
            <w:rPr>
              <w:rFonts w:ascii="Times New Roman" w:hAnsi="Times New Roman" w:eastAsia="Times New Roman" w:cs="Times New Roman"/>
              <w:b/>
              <w:bCs/>
              <w14:ligatures w14:val="none"/>
            </w:rPr>
            <w:t>3.8.3 Soil Properties and Urban-Induced Alterations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_Toc215220530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97</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71BEF980">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"_Toc215220531" </w:instrText>
          </w:r>
          <w:r>
            <w:fldChar w:fldCharType="separate"/>
          </w:r>
          <w:r>
            <w:rPr>
              <w:rFonts w:ascii="Times New Roman" w:hAnsi="Times New Roman" w:eastAsia="Times New Roman" w:cs="Times New Roman"/>
              <w:b/>
              <w:bCs/>
              <w14:ligatures w14:val="none"/>
            </w:rPr>
            <w:t>3.8.4 Vegetation Productivity Decline (NDVI/EVI)</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_Toc215220531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97</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46769A60">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"_Toc215220532" </w:instrText>
          </w:r>
          <w:r>
            <w:fldChar w:fldCharType="separate"/>
          </w:r>
          <w:r>
            <w:rPr>
              <w:rFonts w:ascii="Times New Roman" w:hAnsi="Times New Roman" w:eastAsia="Times New Roman" w:cs="Times New Roman"/>
              <w:b/>
              <w:bCs/>
              <w14:ligatures w14:val="none"/>
            </w:rPr>
            <w:t>3.8.5 Influence of Urbanization Metrics on Ecosystem Functioning</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_Toc215220532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98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4F0D2246">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"_Toc215220533" </w:instrText>
          </w:r>
          <w:r>
            <w:fldChar w:fldCharType="separate"/>
          </w:r>
          <w:r>
            <w:rPr>
              <w:rFonts w:ascii="Times New Roman" w:hAnsi="Times New Roman" w:eastAsia="Times New Roman" w:cs="Times New Roman"/>
              <w:b/>
              <w:bCs/>
              <w14:ligatures w14:val="none"/>
            </w:rPr>
            <w:t>3.8.6 Synthesis with Tropical Urban Ecology Theory</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_Toc215220533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98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45E8C99F">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"_Toc215220534" </w:instrText>
          </w:r>
          <w:r>
            <w:fldChar w:fldCharType="separate"/>
          </w:r>
          <w:r>
            <w:rPr>
              <w:rFonts w:ascii="Times New Roman" w:hAnsi="Times New Roman" w:eastAsia="Times New Roman" w:cs="Times New Roman"/>
              <w:b/>
              <w:bCs/>
              <w14:ligatures w14:val="none"/>
            </w:rPr>
            <w:t>CONCLUSION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_Toc215220534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99</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E8BABB6">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"_Toc215220535" </w:instrText>
          </w:r>
          <w:r>
            <w:fldChar w:fldCharType="separate"/>
          </w:r>
          <w:r>
            <w:rPr>
              <w:rFonts w:ascii="Times New Roman" w:hAnsi="Times New Roman" w:eastAsia="Times New Roman" w:cs="Times New Roman"/>
              <w:b/>
              <w:bCs/>
              <w14:ligatures w14:val="none"/>
            </w:rPr>
            <w:t>Conclusion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_Toc215220535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102</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F471B84">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"_Toc215220536" </w:instrText>
          </w:r>
          <w:r>
            <w:fldChar w:fldCharType="separate"/>
          </w:r>
          <w:r>
            <w:rPr>
              <w:rFonts w:ascii="Times New Roman" w:hAnsi="Times New Roman" w:eastAsia="Times New Roman" w:cs="Times New Roman"/>
              <w:b/>
              <w:bCs/>
              <w14:ligatures w14:val="none"/>
            </w:rPr>
            <w:t>RECOMMENDATION</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_Toc215220536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104</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05F76BDA">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"_Toc215220537" </w:instrText>
          </w:r>
          <w:r>
            <w:fldChar w:fldCharType="separate"/>
          </w:r>
          <w:r>
            <w:rPr>
              <w:rFonts w:ascii="Times New Roman" w:hAnsi="Times New Roman" w:eastAsia="Times New Roman" w:cs="Times New Roman"/>
              <w:b/>
              <w:bCs/>
              <w14:ligatures w14:val="none"/>
            </w:rPr>
            <w:t>Policy Implications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_Toc215220537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105</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7FF135F3">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"_Toc215220538" </w:instrText>
          </w:r>
          <w:r>
            <w:fldChar w:fldCharType="separate"/>
          </w:r>
          <w:r>
            <w:rPr>
              <w:rFonts w:ascii="Times New Roman" w:hAnsi="Times New Roman" w:eastAsia="Times New Roman" w:cs="Times New Roman"/>
              <w:b/>
              <w:bCs/>
              <w14:ligatures w14:val="none"/>
            </w:rPr>
            <w:t>Contribution to Knowledge</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_Toc215220538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107</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63AFAE7A">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"_Toc215220539" </w:instrText>
          </w:r>
          <w:r>
            <w:fldChar w:fldCharType="separate"/>
          </w:r>
          <w:r>
            <w:rPr>
              <w:rFonts w:ascii="Times New Roman" w:hAnsi="Times New Roman" w:eastAsia="Times New Roman" w:cs="Times New Roman"/>
              <w:b/>
              <w:bCs/>
              <w14:ligatures w14:val="none"/>
            </w:rPr>
            <w:t>List of publications on the topic of the thesis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_Toc215220539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108</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65C55A41">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"_Toc215220540" </w:instrText>
          </w:r>
          <w:r>
            <w:fldChar w:fldCharType="separate"/>
          </w:r>
          <w:r>
            <w:rPr>
              <w:rFonts w:ascii="Times New Roman" w:hAnsi="Times New Roman" w:eastAsia="Times New Roman" w:cs="Times New Roman"/>
              <w14:ligatures w14:val="none"/>
            </w:rPr>
            <w:t>REFERNCES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_Toc215220540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110</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5F246AF2">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"_Toc215220541" </w:instrText>
          </w:r>
          <w:r>
            <w:fldChar w:fldCharType="separate"/>
          </w:r>
          <w:r>
            <w:rPr>
              <w:rFonts w:ascii="Times New Roman" w:hAnsi="Times New Roman" w:eastAsia="Times New Roman" w:cs="Times New Roman"/>
              <w:b/>
              <w:bCs/>
              <w:kern w:val="36"/>
              <w14:ligatures w14:val="none"/>
            </w:rPr>
            <w:t>LIST OF ABBREVIATIONS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_Toc215220541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129</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13279F02">
          <w:pPr>
            <w:tabs>
              <w:tab w:val="right" w:leader="dot" w:pos="9350"/>
            </w:tabs>
            <w:spacing w:before="100" w:beforeAutospacing="1" w:after="100" w:line="256" w:lineRule="auto"/>
            <w:rPr>
              <w:rFonts w:ascii="Calibri" w:hAnsi="Calibri" w:eastAsia="Times New Roman" w:cs="Times New Roman"/>
              <w14:ligatures w14:val="none"/>
            </w:rPr>
          </w:pPr>
          <w:r>
            <w:fldChar w:fldCharType="begin"/>
          </w:r>
          <w:r>
            <w:instrText xml:space="preserve"> HYPERLINK \l "_Toc215220542" </w:instrText>
          </w:r>
          <w:r>
            <w:fldChar w:fldCharType="separate"/>
          </w:r>
          <w:r>
            <w:rPr>
              <w:rFonts w:ascii="Times New Roman" w:hAnsi="Times New Roman" w:eastAsia="Times New Roman" w:cs="Times New Roman"/>
              <w:b/>
              <w14:ligatures w14:val="none"/>
            </w:rPr>
            <w:t>APPENDICES</w:t>
          </w:r>
          <w:r>
            <w:rPr>
              <w:rFonts w:ascii="Calibri" w:hAnsi="Calibri" w:eastAsia="Times New Roman" w:cs="Times New Roman"/>
              <w14:ligatures w14:val="none"/>
            </w:rPr>
            <w:tab/>
          </w:r>
          <w:r>
            <w:rPr>
              <w:rFonts w:ascii="Calibri" w:hAnsi="Calibri" w:eastAsia="Times New Roman" w:cs="Times New Roman"/>
              <w14:ligatures w14:val="none"/>
            </w:rPr>
            <w:fldChar w:fldCharType="begin"/>
          </w:r>
          <w:r>
            <w:rPr>
              <w:rFonts w:ascii="Calibri" w:hAnsi="Calibri" w:eastAsia="Times New Roman" w:cs="Times New Roman"/>
              <w14:ligatures w14:val="none"/>
            </w:rPr>
            <w:instrText xml:space="preserve"> PAGEREF _Toc215220542 \h </w:instrText>
          </w:r>
          <w:r>
            <w:rPr>
              <w:rFonts w:ascii="Calibri" w:hAnsi="Calibri" w:eastAsia="Times New Roman" w:cs="Times New Roman"/>
              <w14:ligatures w14:val="none"/>
            </w:rPr>
            <w:fldChar w:fldCharType="separate"/>
          </w:r>
          <w:r>
            <w:rPr>
              <w:rFonts w:ascii="Calibri" w:hAnsi="Calibri" w:eastAsia="Times New Roman" w:cs="Times New Roman"/>
              <w14:ligatures w14:val="none"/>
            </w:rPr>
            <w:t>131</w:t>
          </w:r>
          <w:r>
            <w:rPr>
              <w:rFonts w:ascii="Calibri" w:hAnsi="Calibri" w:eastAsia="Times New Roman" w:cs="Times New Roman"/>
              <w14:ligatures w14:val="none"/>
            </w:rPr>
            <w:fldChar w:fldCharType="end"/>
          </w:r>
          <w:r>
            <w:rPr>
              <w:rFonts w:ascii="Calibri" w:hAnsi="Calibri" w:eastAsia="Times New Roman" w:cs="Times New Roman"/>
              <w14:ligatures w14:val="none"/>
            </w:rPr>
            <w:fldChar w:fldCharType="end"/>
          </w:r>
        </w:p>
        <w:p w14:paraId="720BC213">
          <w:pPr>
            <w:spacing w:before="100" w:beforeAutospacing="1" w:line="256" w:lineRule="auto"/>
            <w:rPr>
              <w:rFonts w:ascii="Calibri" w:hAnsi="Calibri" w:eastAsia="Times New Roman" w:cs="Times New Roman"/>
              <w14:ligatures w14:val="none"/>
            </w:rPr>
          </w:pPr>
          <w:r>
            <w:rPr>
              <w:rFonts w:ascii="Calibri" w:hAnsi="Calibri" w:eastAsia="Times New Roman" w:cs="Times New Roman"/>
              <w:b/>
              <w:bCs/>
              <w14:ligatures w14:val="none"/>
            </w:rPr>
            <w:fldChar w:fldCharType="end"/>
          </w:r>
        </w:p>
      </w:sdtContent>
    </w:sdt>
    <w:p w14:paraId="48215581">
      <w:pPr>
        <w:spacing w:before="100" w:beforeAutospacing="1" w:line="256" w:lineRule="auto"/>
        <w:rPr>
          <w:rFonts w:ascii="Calibri" w:hAnsi="Calibri" w:eastAsia="Calibri" w:cs="Times New Roman"/>
          <w14:ligatures w14:val="none"/>
        </w:rPr>
      </w:pPr>
    </w:p>
    <w:p w14:paraId="41DA006B">
      <w:pPr>
        <w:spacing w:before="100" w:beforeAutospacing="1" w:line="256" w:lineRule="auto"/>
        <w:rPr>
          <w:rFonts w:ascii="Times New Roman" w:hAnsi="Times New Roman" w:eastAsia="Calibri" w:cs="Times New Roman"/>
          <w:sz w:val="28"/>
          <w:szCs w:val="28"/>
          <w14:ligatures w14:val="none"/>
        </w:rPr>
      </w:pPr>
    </w:p>
    <w:p w14:paraId="634ED871">
      <w:pPr>
        <w:spacing w:before="100" w:beforeAutospacing="1" w:line="256" w:lineRule="auto"/>
        <w:rPr>
          <w:rFonts w:ascii="Times New Roman" w:hAnsi="Times New Roman" w:eastAsia="Calibri" w:cs="Times New Roman"/>
          <w:sz w:val="28"/>
          <w:szCs w:val="28"/>
          <w14:ligatures w14:val="none"/>
        </w:rPr>
      </w:pPr>
    </w:p>
    <w:p w14:paraId="62D26381">
      <w:pPr>
        <w:spacing w:before="100" w:beforeAutospacing="1" w:line="256" w:lineRule="auto"/>
        <w:rPr>
          <w:rFonts w:ascii="Times New Roman" w:hAnsi="Times New Roman" w:eastAsia="Calibri" w:cs="Times New Roman"/>
          <w:sz w:val="28"/>
          <w:szCs w:val="28"/>
          <w14:ligatures w14:val="none"/>
        </w:rPr>
      </w:pPr>
    </w:p>
    <w:p w14:paraId="3C4040C1">
      <w:pPr>
        <w:spacing w:before="100" w:beforeAutospacing="1" w:line="256" w:lineRule="auto"/>
        <w:rPr>
          <w:rFonts w:ascii="Times New Roman" w:hAnsi="Times New Roman" w:eastAsia="Calibri" w:cs="Times New Roman"/>
          <w:sz w:val="28"/>
          <w:szCs w:val="28"/>
          <w14:ligatures w14:val="none"/>
        </w:rPr>
      </w:pPr>
    </w:p>
    <w:p w14:paraId="0800ED61">
      <w:pPr>
        <w:spacing w:before="100" w:beforeAutospacing="1" w:line="256" w:lineRule="auto"/>
        <w:rPr>
          <w:rFonts w:ascii="Times New Roman" w:hAnsi="Times New Roman" w:eastAsia="Calibri" w:cs="Times New Roman"/>
          <w:sz w:val="28"/>
          <w:szCs w:val="28"/>
          <w14:ligatures w14:val="none"/>
        </w:rPr>
      </w:pPr>
    </w:p>
    <w:p w14:paraId="269F5DBC">
      <w:pPr>
        <w:spacing w:before="100" w:beforeAutospacing="1" w:line="256" w:lineRule="auto"/>
        <w:rPr>
          <w:rFonts w:ascii="Times New Roman" w:hAnsi="Times New Roman" w:eastAsia="Calibri" w:cs="Times New Roman"/>
          <w:sz w:val="28"/>
          <w:szCs w:val="28"/>
          <w14:ligatures w14:val="none"/>
        </w:rPr>
      </w:pPr>
    </w:p>
    <w:p w14:paraId="4ADBB150">
      <w:pPr>
        <w:spacing w:before="100" w:beforeAutospacing="1" w:line="256" w:lineRule="auto"/>
        <w:rPr>
          <w:rFonts w:ascii="Times New Roman" w:hAnsi="Times New Roman" w:eastAsia="Calibri" w:cs="Times New Roman"/>
          <w:sz w:val="28"/>
          <w:szCs w:val="28"/>
          <w14:ligatures w14:val="none"/>
        </w:rPr>
      </w:pPr>
    </w:p>
    <w:p w14:paraId="692E36DB">
      <w:pPr>
        <w:spacing w:before="100" w:beforeAutospacing="1" w:line="256" w:lineRule="auto"/>
        <w:rPr>
          <w:rFonts w:ascii="Times New Roman" w:hAnsi="Times New Roman" w:eastAsia="Calibri" w:cs="Times New Roman"/>
          <w:sz w:val="28"/>
          <w:szCs w:val="28"/>
          <w14:ligatures w14:val="none"/>
        </w:rPr>
      </w:pPr>
    </w:p>
    <w:p w14:paraId="2CFB65DF">
      <w:pPr>
        <w:spacing w:before="100" w:beforeAutospacing="1" w:line="256" w:lineRule="auto"/>
        <w:rPr>
          <w:rFonts w:ascii="Times New Roman" w:hAnsi="Times New Roman" w:eastAsia="Calibri" w:cs="Times New Roman"/>
          <w:sz w:val="28"/>
          <w:szCs w:val="28"/>
          <w14:ligatures w14:val="none"/>
        </w:rPr>
      </w:pPr>
    </w:p>
    <w:p w14:paraId="437FEE95">
      <w:pPr>
        <w:spacing w:before="100" w:beforeAutospacing="1" w:line="256" w:lineRule="auto"/>
        <w:rPr>
          <w:rFonts w:ascii="Times New Roman" w:hAnsi="Times New Roman" w:eastAsia="Calibri" w:cs="Times New Roman"/>
          <w:sz w:val="28"/>
          <w:szCs w:val="28"/>
          <w14:ligatures w14:val="none"/>
        </w:rPr>
      </w:pPr>
    </w:p>
    <w:p w14:paraId="1DF0AA6A">
      <w:pPr>
        <w:spacing w:before="100" w:beforeAutospacing="1" w:line="256" w:lineRule="auto"/>
        <w:rPr>
          <w:rFonts w:ascii="Times New Roman" w:hAnsi="Times New Roman" w:eastAsia="Calibri" w:cs="Times New Roman"/>
          <w:sz w:val="28"/>
          <w:szCs w:val="28"/>
          <w14:ligatures w14:val="none"/>
        </w:rPr>
      </w:pPr>
    </w:p>
    <w:p w14:paraId="34C667A5">
      <w:pPr>
        <w:spacing w:before="100" w:beforeAutospacing="1" w:line="256" w:lineRule="auto"/>
        <w:rPr>
          <w:rFonts w:ascii="Times New Roman" w:hAnsi="Times New Roman" w:eastAsia="Calibri" w:cs="Times New Roman"/>
          <w:sz w:val="28"/>
          <w:szCs w:val="28"/>
          <w14:ligatures w14:val="none"/>
        </w:rPr>
      </w:pPr>
    </w:p>
    <w:p w14:paraId="3A82F531">
      <w:pPr>
        <w:spacing w:before="100" w:beforeAutospacing="1" w:line="256" w:lineRule="auto"/>
        <w:rPr>
          <w:rFonts w:ascii="Times New Roman" w:hAnsi="Times New Roman" w:eastAsia="Calibri" w:cs="Times New Roman"/>
          <w:sz w:val="28"/>
          <w:szCs w:val="28"/>
          <w14:ligatures w14:val="none"/>
        </w:rPr>
      </w:pPr>
    </w:p>
    <w:p w14:paraId="4D0520E2">
      <w:pPr>
        <w:spacing w:before="100" w:beforeAutospacing="1" w:line="256" w:lineRule="auto"/>
        <w:rPr>
          <w:rFonts w:ascii="Times New Roman" w:hAnsi="Times New Roman" w:eastAsia="Calibri" w:cs="Times New Roman"/>
          <w:sz w:val="28"/>
          <w:szCs w:val="28"/>
          <w14:ligatures w14:val="none"/>
        </w:rPr>
      </w:pPr>
    </w:p>
    <w:p w14:paraId="58CB4DE6">
      <w:pPr>
        <w:spacing w:before="100" w:beforeAutospacing="1" w:line="256" w:lineRule="auto"/>
        <w:rPr>
          <w:rFonts w:ascii="Times New Roman" w:hAnsi="Times New Roman" w:eastAsia="Calibri" w:cs="Times New Roman"/>
          <w:sz w:val="28"/>
          <w:szCs w:val="28"/>
          <w14:ligatures w14:val="none"/>
        </w:rPr>
      </w:pPr>
    </w:p>
    <w:p w14:paraId="5E7DB9F4">
      <w:pPr>
        <w:keepNext/>
        <w:keepLines/>
        <w:widowControl w:val="0"/>
        <w:spacing w:before="240" w:after="0" w:line="256" w:lineRule="auto"/>
        <w:jc w:val="center"/>
        <w:outlineLvl w:val="0"/>
        <w:rPr>
          <w:rFonts w:ascii="Times New Roman" w:hAnsi="Times New Roman" w:eastAsia="DengXian Light" w:cs="Times New Roman"/>
          <w:b/>
          <w:bCs/>
          <w:sz w:val="32"/>
          <w:szCs w:val="32"/>
          <w14:ligatures w14:val="none"/>
        </w:rPr>
      </w:pPr>
      <w:bookmarkStart w:id="1" w:name="_Toc215220426"/>
      <w:r>
        <w:rPr>
          <w:rFonts w:ascii="Times New Roman" w:hAnsi="Times New Roman" w:eastAsia="DengXian Light" w:cs="Times New Roman"/>
          <w:b/>
          <w:bCs/>
          <w:sz w:val="32"/>
          <w:szCs w:val="32"/>
          <w14:ligatures w14:val="none"/>
        </w:rPr>
        <w:t>INTRODUCTION</w:t>
      </w:r>
      <w:bookmarkEnd w:id="1"/>
    </w:p>
    <w:p w14:paraId="1853A95F">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b/>
          <w:bCs/>
          <w:sz w:val="28"/>
          <w:szCs w:val="28"/>
          <w14:ligatures w14:val="none"/>
        </w:rPr>
        <w:t xml:space="preserve">Relevance of the Study. </w:t>
      </w:r>
      <w:r>
        <w:rPr>
          <w:rFonts w:ascii="Times New Roman" w:hAnsi="Times New Roman" w:eastAsia="Calibri" w:cs="Times New Roman"/>
          <w:sz w:val="28"/>
          <w:szCs w:val="28"/>
          <w14:ligatures w14:val="none"/>
        </w:rPr>
        <w:t>Urbanization can be seen as a major cause of ecological change in tropical regions, and still its impacts on biodiversity and ecosystem functioning remain understudied in many rapidly growing African cities. To understand how expanding built-up areas alter plant communities, soil processes, and vegetation productivity is important for detecting long-term environmental consequences (Obateru et al. 2025). In recent studies (Obateru et al. 2025; Chen et al. 2023; Mhlanga et al. 2025), it is evident that tropical cities in particularly faces intense pressures as a result of high population growth, weak land-use regulation, and high dependence on natural resources, making them global hotspots for biodiversity decline and habitat fragmentation. To address this gap, this study provides spatial, ecological, and statistical evidence of how urbanization affects plant diversity and ecosystem functioning in Benue State, Nigeria</w:t>
      </w:r>
      <w:r>
        <w:rPr>
          <w:rFonts w:ascii="Times New Roman" w:hAnsi="Times New Roman" w:eastAsia="Calibri" w:cs="Times New Roman"/>
          <w:b/>
          <w:bCs/>
          <w:sz w:val="28"/>
          <w:szCs w:val="28"/>
          <w14:ligatures w14:val="none"/>
        </w:rPr>
        <w:t>.</w:t>
      </w:r>
    </w:p>
    <w:p w14:paraId="5C957248">
      <w:pPr>
        <w:spacing w:before="100" w:beforeAutospacing="1" w:line="273" w:lineRule="auto"/>
        <w:jc w:val="both"/>
        <w:rPr>
          <w:rFonts w:ascii="Times New Roman" w:hAnsi="Times New Roman" w:eastAsia="Calibri" w:cs="Times New Roman"/>
          <w:sz w:val="28"/>
          <w:szCs w:val="28"/>
          <w14:ligatures w14:val="none"/>
        </w:rPr>
      </w:pPr>
      <w:bookmarkStart w:id="2" w:name="ZOTERO_BREF_pnRIzT9BGZGa"/>
      <w:bookmarkStart w:id="3" w:name="_Hlk217099411"/>
      <w:r>
        <w:rPr>
          <w:rFonts w:ascii="Times New Roman" w:hAnsi="Times New Roman" w:eastAsia="Calibri" w:cs="Times New Roman"/>
          <w:sz w:val="28"/>
          <w:szCs w:val="28"/>
          <w14:ligatures w14:val="none"/>
        </w:rPr>
        <w:t xml:space="preserve">This study is particularly relevant because it brings together remote sensing, field-based biodiversity surveys, and soil ecosystem indicators an integrated approach that is still rare in West African ecological research. Most previous studies have focused either on satellite-derived vegetation analysis or on field species surveys, often treating them separately and rarely examining urban, peri-urban, and rural areas together (Onandia et al., 2019; Li et al., 2016). To address this gap, this study adopts a more holistic view of ecological health, capturing how land-use change interacts with vegetation structure and soil nutrient dynamics (Finizio et al., 2024). </w:t>
      </w:r>
      <w:bookmarkEnd w:id="2"/>
    </w:p>
    <w:bookmarkEnd w:id="3"/>
    <w:p w14:paraId="6C4E2D03">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This study is also important for urban planning and environmental policy. Many Nigerian cities, including Makurdi and Otukpo, lack up-to-date ecological information to guide land-use decisions, green-space protection, and climate adaptation efforts. In their respective studies, (Liu et al., 2025; Akiner &amp; Ghasri, 2025) shows that integrating biodiversity indicators and vegetation metrics such as NDVI into planning processes can greatly enhance urban sustainability. The outcome of this research will provide the policymakers practical, evidence-based guidance for developing green infrastructure, conserving remaining natural habitats, and supporting ecosystem services that are essential for human well-being.</w:t>
      </w:r>
    </w:p>
    <w:p w14:paraId="0E21CBC5">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Finally, this study adds to global discussions on how urbanization influences ecological processes, especially in data-limited regions. By developing a statistical model that links urbanization intensity measured through built-up density, night-time lights, and population density with ecosystem indicators such as NDVI, soil organic carbon, and nitrogen, the research improves understanding of urban ecological gradients in tropical settings. Again, for researchers studying similar urban transitions across Sub-Saharan Africa and other rapidly urbanizing tropical regions the study finding will provide them with useful comparisons (Stenchly et al., 2019; Ayeni et al., 2023). In doing so, the study not only addresses regional data gaps but also strengthens broader ecological research and practice.</w:t>
      </w:r>
    </w:p>
    <w:p w14:paraId="41930BD3">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b/>
          <w:bCs/>
          <w:sz w:val="28"/>
          <w:szCs w:val="28"/>
          <w14:ligatures w14:val="none"/>
        </w:rPr>
        <w:t>The Degree of Development of the Problem.</w:t>
      </w:r>
      <w:r>
        <w:rPr>
          <w:rFonts w:ascii="Times New Roman" w:hAnsi="Times New Roman" w:eastAsia="Calibri" w:cs="Times New Roman"/>
          <w:sz w:val="28"/>
          <w:szCs w:val="28"/>
          <w14:ligatures w14:val="none"/>
        </w:rPr>
        <w:t xml:space="preserve"> Although urban ecological issues are receiving increasing global attention, past literatures on how urbanization affects plant diversity and ecosystem functioning in tropical African cities remains relatively scarce. Existing studies have largely concentrated on temperate regions, where long-term ecological monitoring systems and high-resolution datasets are more readily available (Rija et al. 2014). In contrast, cities in tropical Africa particularly in West Africa are experiencing rapid and often poorly regulated land-use changes, yet they are far less represented in the scientific literature. The overall knowledge gaps are continues as regarding the impacts of accelerated urban growth on local plant communities, soil conditions, and vegetation productivity along rural–urban gradients (Radoine et al. 2024; Atchade et al. 2023).</w:t>
      </w:r>
    </w:p>
    <w:p w14:paraId="41396D87">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literatures that explicitly connects these parts; urbanization, biodiversity, and ecosystem functioning in Nigeria are rare. Most existing studies tend to focus on seperate components like LULC, plant diversity, or soil degradation without examining their combined or interactive effects within an integrated framework (Ayeni et al. 2023). In the other hand, some of the literatures that apply quantitative urbanization indicators, to include night-time light intensity, built-up density, and population concentration, remain particularly limited, despite growing evidence that these metrics are strong predictors of ecological stress at the global scale (O’Connor et al. 2022). This fragmented approach has constrained a holistic understanding of how urban expansion is reshaping ecological processes in rapidly growing cities such as Makurdi and Otukpo.</w:t>
      </w:r>
    </w:p>
    <w:p w14:paraId="532B9FA5">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problem is also underdeveloped in terms of methodological integration. While remote sensing technologies have improved substantially, their application to tropical urban ecology is still limited by insufficient ground-truthing and the absence of fine-scale biodiversity data (Hisano, et al. 2017). Likewise, in Nigeria literatures centred on plant diversity are often short-term and restricted to small sampling areas, lacking the extensive spatial stratification required to capture the urban gradients (Gao and Carmel 2020). Also, Soil indicators such as organic carbon and nitrogen that are vital in the evaluation of ecosystem functioning, are rarely incorporated into ecological impact assessments despite mounting evidence of their sensitivity to urban disturbance (Udoinyang 2024).</w:t>
      </w:r>
    </w:p>
    <w:p w14:paraId="4B986158">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conceptual and empirical understanding of this issue remains incomplete. Because only a limited number of studies have applied statistical modeling approaches to quantify how multiple dimensions of urbanization jointly influence vegetation health, soil conditions, and plant community structure in tropical settings. In the most recent innovation in the filed of ecology that emphasize the pressing need for integrating, data-driven frameworks that combine remote sensing, species inventories, and ecological indicators to better capture the complex impacts of urbanization (Hines and Pereira 2021; Ferreira et al. 2019). By responding to these gaps, the present study makes a meaningful contribution toward advancing research on this largely understudied problem in tropical cities—particularly within Benue State and Nigeria more broadly.</w:t>
      </w:r>
    </w:p>
    <w:p w14:paraId="2FDB5618">
      <w:pPr>
        <w:spacing w:before="100" w:beforeAutospacing="1" w:line="256" w:lineRule="auto"/>
        <w:jc w:val="both"/>
        <w:rPr>
          <w:rFonts w:ascii="Times New Roman" w:hAnsi="Times New Roman" w:eastAsia="Calibri" w:cs="Times New Roman"/>
          <w:sz w:val="28"/>
          <w:szCs w:val="28"/>
          <w14:ligatures w14:val="none"/>
        </w:rPr>
      </w:pPr>
      <w:r>
        <w:rPr>
          <w:rFonts w:ascii="Times New Roman" w:hAnsi="Times New Roman" w:eastAsia="SimSun" w:cs="Times New Roman"/>
          <w:sz w:val="28"/>
          <w:szCs w:val="28"/>
          <w14:ligatures w14:val="none"/>
        </w:rPr>
        <w:t>Understanding the impacts of urbanisation and its challenges on natural ecosystems is important. The role it plays in shaping the ecological and economic sphere in Benue state and nigera at large has led to different research by several scientific studies ( Shabu.T, Garba U., Job l.o,Mala.M, Mabogunje A.L, Onokerhoraye A.G, Eghaosa E.O, Ismaila.T, Guessan.K.N, Jelili.M.O,Ajibade A., Alabi A.T., Stren R.E, Faniran.A.</w:t>
      </w:r>
      <w:r>
        <w:rPr>
          <w:rFonts w:ascii="Times New Roman" w:hAnsi="Times New Roman" w:eastAsia="Calibri" w:cs="Times New Roman"/>
          <w:sz w:val="28"/>
          <w:szCs w:val="28"/>
          <w14:ligatures w14:val="none"/>
        </w:rPr>
        <w:t xml:space="preserve"> Onanuga, M. Y.,Nnaji, C. C, Tyubee, B. T., Onilude, O,Ogunbode, T. </w:t>
      </w:r>
    </w:p>
    <w:p w14:paraId="0C82AA7E">
      <w:pPr>
        <w:keepNext/>
        <w:keepLines/>
        <w:widowControl w:val="0"/>
        <w:spacing w:before="240" w:after="0" w:line="256" w:lineRule="auto"/>
        <w:jc w:val="center"/>
        <w:outlineLvl w:val="0"/>
        <w:rPr>
          <w:rFonts w:ascii="Times New Roman" w:hAnsi="Times New Roman" w:eastAsia="DengXian Light" w:cs="Times New Roman"/>
          <w:b/>
          <w:bCs/>
          <w:sz w:val="32"/>
          <w:szCs w:val="32"/>
          <w14:ligatures w14:val="none"/>
        </w:rPr>
      </w:pPr>
      <w:bookmarkStart w:id="4" w:name="_Toc215220427"/>
      <w:r>
        <w:rPr>
          <w:rFonts w:ascii="Times New Roman" w:hAnsi="Times New Roman" w:eastAsia="DengXian Light" w:cs="Times New Roman"/>
          <w:b/>
          <w:bCs/>
          <w:sz w:val="32"/>
          <w:szCs w:val="32"/>
          <w14:ligatures w14:val="none"/>
        </w:rPr>
        <w:t>Objects of Research</w:t>
      </w:r>
      <w:bookmarkEnd w:id="4"/>
    </w:p>
    <w:p w14:paraId="0BD35A1A">
      <w:pPr>
        <w:spacing w:before="100" w:beforeAutospacing="1" w:line="273" w:lineRule="auto"/>
        <w:ind w:left="90"/>
        <w:jc w:val="both"/>
        <w:rPr>
          <w:rFonts w:ascii="Times New Roman" w:hAnsi="Times New Roman" w:eastAsia="Calibri" w:cs="Times New Roman"/>
          <w:b/>
          <w:bCs/>
          <w:sz w:val="28"/>
          <w:szCs w:val="28"/>
          <w14:ligatures w14:val="none"/>
        </w:rPr>
      </w:pPr>
      <w:r>
        <w:rPr>
          <w:rFonts w:ascii="Times New Roman" w:hAnsi="Times New Roman" w:eastAsia="Calibri" w:cs="Times New Roman"/>
          <w:sz w:val="28"/>
          <w:szCs w:val="28"/>
          <w14:ligatures w14:val="none"/>
        </w:rPr>
        <w:t xml:space="preserve">We study and assess the effects of urbanisation on plant diversity and ecosystem services in Makurdi and Otukpo, two rapidly urbanising cities in Benue State, Nigeria. This study examine LULC over three decade ranging from 1990-2024 to understand the impact of urban expansion on local plants. </w:t>
      </w:r>
    </w:p>
    <w:p w14:paraId="46343F02">
      <w:pPr>
        <w:keepNext/>
        <w:keepLines/>
        <w:widowControl w:val="0"/>
        <w:spacing w:before="240" w:after="0" w:line="256" w:lineRule="auto"/>
        <w:jc w:val="center"/>
        <w:outlineLvl w:val="0"/>
        <w:rPr>
          <w:rFonts w:ascii="Times New Roman" w:hAnsi="Times New Roman" w:eastAsia="DengXian Light" w:cs="Times New Roman"/>
          <w:b/>
          <w:bCs/>
          <w:sz w:val="32"/>
          <w:szCs w:val="32"/>
          <w14:ligatures w14:val="none"/>
        </w:rPr>
      </w:pPr>
      <w:bookmarkStart w:id="5" w:name="_Toc215220428"/>
      <w:r>
        <w:rPr>
          <w:rFonts w:ascii="Times New Roman" w:hAnsi="Times New Roman" w:eastAsia="DengXian Light" w:cs="Times New Roman"/>
          <w:b/>
          <w:bCs/>
          <w:sz w:val="32"/>
          <w:szCs w:val="32"/>
          <w14:ligatures w14:val="none"/>
        </w:rPr>
        <w:t>Subject of Research</w:t>
      </w:r>
      <w:bookmarkEnd w:id="5"/>
    </w:p>
    <w:p w14:paraId="5D6205F8">
      <w:pPr>
        <w:spacing w:before="100" w:beforeAutospacing="1" w:line="256" w:lineRule="auto"/>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Multi-temporal satellite imagery and ancillary geospatial datasets were employed which are necessary for detecting land-use/land-cover transformations, quantifying vegetation condition, and assessing urbanization intensity across Makurdi and Otukpo. Landsat TM (1990), ETM+ (2010), and OLI (2024) scenes were obtained for change detection, NDVI, and EVI derivation due to their 30 m spatial resolution and long-term continuity, which makes them suitable for landscape-scale ecological studies Downloading Landsat imagery that covers both Makurdi and    Otukpo, at interval   of 10 years between 1990, 2010, and 2024 years for possibly three period. VIIRS Day/Night Band night-time lights imagery was used to represent anthropogenic intensity and built-up expansion through illumination patterns, while WorldPop population density rasters provided high-resolution demographic information to quantify population-driven urbanization pressures these were extracted at the ward level.</w:t>
      </w:r>
    </w:p>
    <w:p w14:paraId="148BD78F">
      <w:pPr>
        <w:spacing w:before="100" w:beforeAutospacing="1" w:line="256" w:lineRule="auto"/>
        <w:rPr>
          <w:rFonts w:ascii="Times New Roman" w:hAnsi="Times New Roman" w:eastAsia="Calibri" w:cs="Times New Roman"/>
          <w:sz w:val="24"/>
          <w:szCs w:val="24"/>
          <w14:ligatures w14:val="none"/>
        </w:rPr>
      </w:pPr>
    </w:p>
    <w:p w14:paraId="53D941F8">
      <w:pPr>
        <w:keepNext/>
        <w:keepLines/>
        <w:widowControl w:val="0"/>
        <w:spacing w:before="240" w:after="0" w:line="256" w:lineRule="auto"/>
        <w:jc w:val="center"/>
        <w:outlineLvl w:val="0"/>
        <w:rPr>
          <w:rFonts w:ascii="Times New Roman" w:hAnsi="Times New Roman" w:eastAsia="DengXian Light" w:cs="Times New Roman"/>
          <w:b/>
          <w:bCs/>
          <w:color w:val="2F5496"/>
          <w:sz w:val="32"/>
          <w:szCs w:val="32"/>
          <w14:ligatures w14:val="none"/>
        </w:rPr>
      </w:pPr>
      <w:bookmarkStart w:id="6" w:name="_Toc215220429"/>
      <w:r>
        <w:rPr>
          <w:rFonts w:ascii="Times New Roman" w:hAnsi="Times New Roman" w:eastAsia="DengXian Light" w:cs="Times New Roman"/>
          <w:b/>
          <w:bCs/>
          <w:sz w:val="32"/>
          <w:szCs w:val="32"/>
          <w14:ligatures w14:val="none"/>
        </w:rPr>
        <w:t>Aim OF The Study</w:t>
      </w:r>
      <w:bookmarkEnd w:id="6"/>
    </w:p>
    <w:p w14:paraId="23AF135E">
      <w:pPr>
        <w:spacing w:before="100" w:beforeAutospacing="1" w:line="256" w:lineRule="auto"/>
        <w:rPr>
          <w:rFonts w:ascii="Calibri" w:hAnsi="Calibri" w:eastAsia="Times New Roman" w:cs="Times New Roman"/>
          <w:kern w:val="0"/>
          <w14:ligatures w14:val="none"/>
        </w:rPr>
      </w:pPr>
      <w:r>
        <w:rPr>
          <w:rFonts w:ascii="Times New Roman" w:hAnsi="Times New Roman" w:eastAsia="Times New Roman" w:cs="Times New Roman"/>
          <w:sz w:val="28"/>
          <w:szCs w:val="28"/>
          <w14:ligatures w14:val="none"/>
        </w:rPr>
        <w:t>The major aim and purpose of this study is to investigate the impacts of urbanization on plant diversity and ecosystem functioning in Benue State, with a focus on the changes in LULC patterns, and the resulting effects on ecosystem services and plants biodiversity. The selected time periods for analysis are 1990, 2010, and 2024, reflecting significant phases of urbanization and environmental change in the study area.</w:t>
      </w:r>
    </w:p>
    <w:p w14:paraId="0E86C0BD">
      <w:pPr>
        <w:keepNext/>
        <w:keepLines/>
        <w:widowControl w:val="0"/>
        <w:spacing w:before="240" w:after="0" w:line="256" w:lineRule="auto"/>
        <w:jc w:val="center"/>
        <w:outlineLvl w:val="0"/>
        <w:rPr>
          <w:rFonts w:ascii="Calibri Light" w:hAnsi="Calibri Light" w:eastAsia="Calibri" w:cs="Times New Roman"/>
          <w:color w:val="2F5496"/>
          <w:sz w:val="28"/>
          <w:szCs w:val="28"/>
          <w14:ligatures w14:val="none"/>
        </w:rPr>
      </w:pPr>
      <w:bookmarkStart w:id="7" w:name="_Toc215220430"/>
      <w:r>
        <w:rPr>
          <w:rFonts w:ascii="Times New Roman" w:hAnsi="Times New Roman" w:eastAsia="DengXian Light" w:cs="Times New Roman"/>
          <w:b/>
          <w:bCs/>
          <w:sz w:val="32"/>
          <w:szCs w:val="32"/>
          <w14:ligatures w14:val="none"/>
        </w:rPr>
        <w:t>The Purpose of the Dissertation</w:t>
      </w:r>
      <w:bookmarkEnd w:id="7"/>
    </w:p>
    <w:p w14:paraId="4104D04A">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 To assess how urbanization influences plant diversity and ecosystem functioning across urbanization gradients in Makurdi and Otukpo LGAs Benue state using an integrated approach combining remote sensing, field-based biodiversity assessment, soil indicators, and statistical modelling.</w:t>
      </w:r>
    </w:p>
    <w:p w14:paraId="70B78511">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To analyze the changes in LULC in Makurdi and Otukpo for 1990, 2010, and 2024, and to quantify the trends and extent of urban expansion and vegetation loss across rural, peri-urban, and urban zones.</w:t>
      </w:r>
    </w:p>
    <w:p w14:paraId="4B78C361">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To assess plant species richness, diversity, and evenness across urban gradients using field-based vegetation inventory and compute indices such as Shannon index, Simpson index, and Pielou’s evenness.</w:t>
      </w:r>
    </w:p>
    <w:p w14:paraId="72EC30C9">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To evaluate how increasing urbanization influences the ecosystem functioning across rural-urban gradients, and statistically determine whether urbanization significantly affects plant diversity and soil ecosystem quality.</w:t>
      </w:r>
    </w:p>
    <w:p w14:paraId="34652A04">
      <w:pPr>
        <w:spacing w:before="100" w:before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sz w:val="28"/>
          <w:szCs w:val="28"/>
          <w14:ligatures w14:val="none"/>
        </w:rPr>
        <w:t>To develop and propose an evidence-based policy recommendations for sustainable urban planning and biodiversity conservation in tropical cities, based on the study’s findings on urbanization impacts on plants and ecosystem function.</w:t>
      </w:r>
    </w:p>
    <w:p w14:paraId="2809A915">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b/>
          <w:bCs/>
          <w:sz w:val="28"/>
          <w:szCs w:val="28"/>
          <w14:ligatures w14:val="none"/>
        </w:rPr>
        <w:t>Scientific Novelty.</w:t>
      </w:r>
      <w:r>
        <w:rPr>
          <w:rFonts w:ascii="Times New Roman" w:hAnsi="Times New Roman" w:eastAsia="Calibri" w:cs="Times New Roman"/>
          <w:sz w:val="28"/>
          <w:szCs w:val="28"/>
          <w14:ligatures w14:val="none"/>
        </w:rPr>
        <w:t xml:space="preserve"> </w:t>
      </w:r>
    </w:p>
    <w:p w14:paraId="65A55842">
      <w:pPr>
        <w:pStyle w:val="15"/>
        <w:numPr>
          <w:ilvl w:val="0"/>
          <w:numId w:val="1"/>
        </w:numPr>
        <w:rPr>
          <w:rFonts w:ascii="Times New Roman" w:hAnsi="Times New Roman" w:eastAsia="Calibri"/>
          <w:sz w:val="28"/>
          <w:szCs w:val="28"/>
        </w:rPr>
      </w:pPr>
      <w:r>
        <w:rPr>
          <w:rFonts w:ascii="Times New Roman" w:hAnsi="Times New Roman" w:eastAsia="Calibri"/>
          <w:sz w:val="28"/>
          <w:szCs w:val="28"/>
        </w:rPr>
        <w:t>The systematic sampling of 33 vegetation plots across all wards in Makurdi and Otukpo further provides one of the few fine-scale biodiversity datasets for the region, strengthening empirical understanding of species-environment interactions in tropical cities.</w:t>
      </w:r>
    </w:p>
    <w:p w14:paraId="1337C0FC">
      <w:pPr>
        <w:pStyle w:val="15"/>
        <w:numPr>
          <w:ilvl w:val="0"/>
          <w:numId w:val="1"/>
        </w:numPr>
        <w:rPr>
          <w:rFonts w:ascii="Times New Roman" w:hAnsi="Times New Roman" w:eastAsia="Calibri"/>
          <w:sz w:val="28"/>
          <w:szCs w:val="28"/>
        </w:rPr>
      </w:pPr>
      <w:r>
        <w:rPr>
          <w:rFonts w:ascii="Times New Roman" w:hAnsi="Times New Roman" w:eastAsia="Calibri"/>
          <w:sz w:val="28"/>
          <w:szCs w:val="28"/>
        </w:rPr>
        <w:t xml:space="preserve">The study contributes to global scientific debates on how urbanization shapes ecological processes, particularly in regions where data scarcity limits robust analysis. </w:t>
      </w:r>
    </w:p>
    <w:p w14:paraId="5CF33154">
      <w:pPr>
        <w:pStyle w:val="15"/>
        <w:numPr>
          <w:ilvl w:val="0"/>
          <w:numId w:val="1"/>
        </w:numPr>
        <w:rPr>
          <w:rFonts w:ascii="Times New Roman" w:hAnsi="Times New Roman" w:eastAsia="Calibri"/>
          <w:sz w:val="28"/>
          <w:szCs w:val="28"/>
        </w:rPr>
      </w:pPr>
      <w:r>
        <w:rPr>
          <w:rFonts w:ascii="Times New Roman" w:hAnsi="Times New Roman" w:eastAsia="Calibri"/>
          <w:sz w:val="28"/>
          <w:szCs w:val="28"/>
        </w:rPr>
        <w:t>This study integrates field based plant diversity assessments, soil ecosystem indicators, and remote sensing metrics to evaluate urbanization impacts in a tropical city, a combination rarely applied in Nigerian or wider tropical urban ecological research.</w:t>
      </w:r>
    </w:p>
    <w:p w14:paraId="78B83CAD">
      <w:pPr>
        <w:pStyle w:val="15"/>
        <w:numPr>
          <w:ilvl w:val="0"/>
          <w:numId w:val="1"/>
        </w:numPr>
        <w:rPr>
          <w:rFonts w:ascii="Times New Roman" w:hAnsi="Times New Roman" w:eastAsia="Calibri"/>
          <w:sz w:val="28"/>
          <w:szCs w:val="28"/>
        </w:rPr>
      </w:pPr>
      <w:r>
        <w:rPr>
          <w:rFonts w:ascii="Times New Roman" w:hAnsi="Times New Roman" w:eastAsia="Calibri"/>
          <w:sz w:val="28"/>
          <w:szCs w:val="28"/>
        </w:rPr>
        <w:t xml:space="preserve">Through a quantitative regression framework, the research introduces a more robust, multi-dimensional assessment of anthropogenic pressure an approach underutilized in ecological studies in the research area, by Connecting NDVI to built-up density, night-time lights, and population density </w:t>
      </w:r>
    </w:p>
    <w:p w14:paraId="7C19BD48">
      <w:pPr>
        <w:pStyle w:val="15"/>
        <w:numPr>
          <w:ilvl w:val="0"/>
          <w:numId w:val="1"/>
        </w:numPr>
        <w:rPr>
          <w:rFonts w:ascii="Times New Roman" w:hAnsi="Times New Roman" w:eastAsia="Calibri"/>
          <w:b/>
          <w:bCs/>
          <w:sz w:val="28"/>
          <w:szCs w:val="28"/>
        </w:rPr>
      </w:pPr>
      <w:r>
        <w:rPr>
          <w:rFonts w:ascii="Times New Roman" w:hAnsi="Times New Roman" w:eastAsia="Calibri"/>
          <w:sz w:val="28"/>
          <w:szCs w:val="28"/>
        </w:rPr>
        <w:t>The study methodological and empirical contributions advances current knowledge on how rapid tropical urbanization shapes plant diversity and ecosystem functioning, addressing well-recognized research gaps in urban ecology literature.</w:t>
      </w:r>
    </w:p>
    <w:p w14:paraId="027F674D">
      <w:pPr>
        <w:keepNext/>
        <w:keepLines/>
        <w:widowControl w:val="0"/>
        <w:spacing w:before="240" w:after="0" w:line="256" w:lineRule="auto"/>
        <w:jc w:val="center"/>
        <w:outlineLvl w:val="0"/>
        <w:rPr>
          <w:rFonts w:ascii="Times New Roman" w:hAnsi="Times New Roman" w:eastAsia="Times New Roman" w:cs="Times New Roman"/>
          <w:b/>
          <w:bCs/>
          <w:sz w:val="32"/>
          <w:szCs w:val="32"/>
          <w14:ligatures w14:val="none"/>
        </w:rPr>
      </w:pPr>
      <w:bookmarkStart w:id="8" w:name="_Toc215220431"/>
      <w:r>
        <w:rPr>
          <w:rFonts w:ascii="Times New Roman" w:hAnsi="Times New Roman" w:eastAsia="DengXian Light" w:cs="Times New Roman"/>
          <w:b/>
          <w:bCs/>
          <w:sz w:val="32"/>
          <w:szCs w:val="32"/>
          <w14:ligatures w14:val="none"/>
        </w:rPr>
        <w:t>Tasks of Dissertation</w:t>
      </w:r>
      <w:bookmarkEnd w:id="8"/>
    </w:p>
    <w:p w14:paraId="6CAA9710">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Remote sensing served as the foundation for quantifying land-use transitions for a selected period from 1990, 2010, 2024 and vegetation dynamics, using satellite-derived indices and classification products processed within the Google Earth Engine (GEE) environment. The Field based plants sampling was carried out across 33 stratified plots, representing urbanization gradientsin the 6 wards of Makurdi and 5 wards of Otukpo (three plots per ward. For each plot, GPS coordinates, elevation, land-use context, and additional plot metadata were documented to ensure accurate geolocation and integration with remotely sensed variables. These data supported the computation of biodiversity indices (Shannon, Simpson, Evenness) and enabled comparison of species composition along the rural–peri-urban–urban gradient. Complementary to the plant survey, geo-cordinates of the plotss were recorded.  </w:t>
      </w:r>
    </w:p>
    <w:p w14:paraId="67723374">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Statistical analysis, including ANOVA tests for comparing vegetation and soil parameters across the urbanization gradient, with assumption checks for data distribution and homogeneity. The Regression modelling was implemented to assess the relationship between urbanization metrics and vegetation condition, using the specified model. Vegetation indices results showed the clearest ecological signal. NDVI declined from 0.482 ± 0.023 (rural) to 0.277 ± 0.076 (urban), while EVI dropped from 0.312 ± 0.025 to 0.173 ± 0.051, demonstrating stark reductions in primary productivity and vegetation vigor. ANOVA results confirmed highly significant differences exist across the gradients zones (NDVI: F = 31.04, p &lt; 0.001; EVI: F = 32.52, p &lt; 0.001), revealing that vegetation functioning diminishes sharply with increasing urban intensity. Ecosystem functioning indicators showed a marked decline with increasing urban intensity. The NDVI values have decreased from 0.48 in the rural areas to 0.28 in the urban areas, while the EVI values also have reduced from 0.31 to 0.17, which indicate the reduction of vegetation vigor and the primary productivity. On the other hand, the soil analysis's findings showed that a significant increases in the soil pH in urban zones is (p = 0.037), which suggested there is an altered soil chemistry linked to anthropogenic disturbance. Although SOC and nitrogen appeared higher in urban zones, these increases are likely driven by waste inputs rather than natural fertility processes. On the other hand, the regression modelling further showed that the population density is the strongest suppressor of vegetation greenness having this value (β = –0.0072, p &lt; 0.001), highlighting demographic pressure as a key driver of ecological degradation. </w:t>
      </w:r>
    </w:p>
    <w:p w14:paraId="1550C50A">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To accurately know if vegetation indices differ significantly across the urban zones, one-way ANOVA tests were conducted for NDVI and EVI. The findings indicate highly significant differences where (NDVI: F = 31.04, p &lt; 0.001, η² = 0.75; EVI: F = 32.52, p &lt; 0.001, η² = 0.76), proving the impact urbanization has on plant diversity. </w:t>
      </w:r>
    </w:p>
    <w:p w14:paraId="56A3D0FF">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The overall model performance (R² = 0.862) shows NDVI variability is accounted for by these three indicators, underscoring the central role of urbanization dynamics in shaping ecological conditions. The strong negative effect of population density combined with the modest positive effect of built-up surfaces suggests that ecological degradation is predominantly linked to demographic expansion rather than structural development alone. </w:t>
      </w:r>
    </w:p>
    <w:p w14:paraId="6595A199">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Biodiversity Decline and Ecological Homogenization.The decline in species richness from 23.50 species (rural) to 15.83 species (urban), indicates that urbanization fosters homogenization of plant communities. Disturbance-tolerant species such as Cleomeviscosa, Sida acuta, and Heterotis rotundifolia become more dominant, while native forest species decline. This shift reduces functional diversity, disrupts trophic and symbiotic relationships, and diminishes ecological resilience.</w:t>
      </w:r>
    </w:p>
    <w:p w14:paraId="575C37A0">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Habitat Fragmentation and Landscape Conversion: The loss of 124.93 km² of forest and widespread cropland decline have fragmented formerly continuous habitats into isolated patches. Fragmentation reduces dispersal opportunities, increases edge effects, and disrupts plant community dynamics.</w:t>
      </w:r>
    </w:p>
    <w:p w14:paraId="1D3BFF84">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b/>
          <w:bCs/>
          <w:sz w:val="28"/>
          <w:szCs w:val="28"/>
          <w14:ligatures w14:val="none"/>
        </w:rPr>
        <w:t>Theoretical and Practical Significance of the Work.</w:t>
      </w:r>
      <w:r>
        <w:rPr>
          <w:rFonts w:ascii="Times New Roman" w:hAnsi="Times New Roman" w:eastAsia="Calibri" w:cs="Times New Roman"/>
          <w:sz w:val="28"/>
          <w:szCs w:val="28"/>
          <w14:ligatures w14:val="none"/>
        </w:rPr>
        <w:t xml:space="preserve"> </w:t>
      </w:r>
      <w:bookmarkStart w:id="9" w:name="ZOTERO_BREF_wDp1EWQu9OCl"/>
      <w:r>
        <w:rPr>
          <w:rFonts w:ascii="Times New Roman" w:hAnsi="Times New Roman" w:eastAsia="Calibri" w:cs="Times New Roman"/>
          <w:sz w:val="28"/>
          <w:szCs w:val="28"/>
          <w14:ligatures w14:val="none"/>
        </w:rPr>
        <w:t>From a theoretical perspective, the study deepens understanding of the effect of urbanization on ecological patterns in tropical cities (urban ecology, landscape ecology, and socio-environmental systems). It advances existing theory by empirically connecting key measures of urbanization such as built-up density, night-time light intensity, and population density with indicators of ecosystem functioning, including vegetation greenness (NDVI), soil nutrients, and plant diversity. The study demonstrated how urban growth and the ecosystem can be modelled (Reynolds 2002; Zaninotto et al. 2023; Ulrich and Sargent 2025). The findings provides new insights for resilience, species distribution patterns, and the pathways for ecosystem processes (Xie et al. 2020; Isendahl et al. 2020).</w:t>
      </w:r>
    </w:p>
    <w:p w14:paraId="273F44DD">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From a practical view, the results provide actionable insights for urban planners, environmental managers, and policymakers in Benue State and other tropical regions experiencing rapid urban growth. The high-resolution spatial and field datasets produced including vegetation surveys, soil indicators, and land-use/land-cover change maps can be directly applied to environmental monitoring, impact assessments, and local climate adaptation planning. Lastly, the findings identified priority areas for conservation and ecological restoration also proven in past studies (Korpilo et al. 2023; Hansen et al. 2023) this enables targeted interventions that reduce biodiversity loss and the enhancement of ecosystem services in mostly growing and expanding cities (Falasca and Marucci 2024; Jensen et al. 2025).</w:t>
      </w:r>
      <w:bookmarkEnd w:id="9"/>
    </w:p>
    <w:p w14:paraId="4141AB3A">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b/>
          <w:bCs/>
          <w:sz w:val="28"/>
          <w:szCs w:val="28"/>
          <w14:ligatures w14:val="none"/>
        </w:rPr>
        <w:t>Methodology and Methods of Research.</w:t>
      </w:r>
      <w:r>
        <w:rPr>
          <w:rFonts w:ascii="Times New Roman" w:hAnsi="Times New Roman" w:eastAsia="Calibri" w:cs="Times New Roman"/>
          <w:sz w:val="28"/>
          <w:szCs w:val="28"/>
          <w14:ligatures w14:val="none"/>
        </w:rPr>
        <w:t xml:space="preserve"> </w:t>
      </w:r>
      <w:bookmarkStart w:id="10" w:name="_Hlk215206345"/>
      <w:r>
        <w:rPr>
          <w:rFonts w:ascii="Times New Roman" w:hAnsi="Times New Roman" w:eastAsia="Calibri" w:cs="Times New Roman"/>
          <w:sz w:val="28"/>
          <w:szCs w:val="28"/>
          <w14:ligatures w14:val="none"/>
        </w:rPr>
        <w:t>This study was carried out between 2022 and 2025 across the two study loactions. The research design follows an integrated methodological framework that was structured around the major study objectives, and by combining geospatial analysis, ecological field measurements, and soil assessments. Remote sensing served as the foundation for quantifying land-use transitions for a selected period from 1990, 2010, 2024 and vegetation dynamics, using satellite-derived indices and classification products processed within the Google Earth Engine (GEE) environment. Field based vegetation sampling complemented these spatial datasets by documenting species composition and diversity across gradients of urbanization. Soil properties essential for understanding ecosystem functioning such as Soil Organic Carbon, Nitrogen, Bulk Density, pH, and Cation Exchange Capacity were extracted using GEE and also the urbanization indicators were etracted from the same GEE. The methodology used provides a comprehensive, multi-dimensional approach for achieving the purpose of the study.</w:t>
      </w:r>
    </w:p>
    <w:bookmarkEnd w:id="10"/>
    <w:p w14:paraId="0F529ADA">
      <w:pPr>
        <w:keepNext/>
        <w:keepLines/>
        <w:widowControl w:val="0"/>
        <w:spacing w:before="240" w:after="0" w:line="256" w:lineRule="auto"/>
        <w:outlineLvl w:val="0"/>
        <w:rPr>
          <w:rFonts w:ascii="Times New Roman" w:hAnsi="Times New Roman" w:eastAsia="DengXian Light" w:cs="Times New Roman"/>
          <w:b/>
          <w:bCs/>
          <w:sz w:val="32"/>
          <w:szCs w:val="32"/>
          <w14:ligatures w14:val="none"/>
        </w:rPr>
      </w:pPr>
      <w:bookmarkStart w:id="11" w:name="_Toc215220432"/>
      <w:r>
        <w:rPr>
          <w:rFonts w:ascii="Times New Roman" w:hAnsi="Times New Roman" w:eastAsia="DengXian Light" w:cs="Times New Roman"/>
          <w:b/>
          <w:bCs/>
          <w:sz w:val="32"/>
          <w:szCs w:val="32"/>
          <w14:ligatures w14:val="none"/>
        </w:rPr>
        <w:t>The Main Provisions to be Defended:</w:t>
      </w:r>
      <w:bookmarkEnd w:id="11"/>
    </w:p>
    <w:p w14:paraId="470AF6A0">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study examines how urban expansion, vegetation transformation, and anthropogenic pressure over a 34-year period (1990-2024) shape ecological patterns across rural, peri-urban, and urban zones. The principal scientific provisions for defense in this work are summarized as follows:</w:t>
      </w:r>
    </w:p>
    <w:p w14:paraId="136EC7D9">
      <w:pPr>
        <w:spacing w:before="100" w:beforeAutospacing="1" w:line="273" w:lineRule="auto"/>
        <w:jc w:val="both"/>
        <w:rPr>
          <w:rFonts w:ascii="Times New Roman" w:hAnsi="Times New Roman" w:eastAsia="Calibri" w:cs="Times New Roman"/>
          <w:sz w:val="28"/>
          <w:szCs w:val="28"/>
          <w14:ligatures w14:val="none"/>
        </w:rPr>
      </w:pPr>
    </w:p>
    <w:p w14:paraId="373C4288">
      <w:pPr>
        <w:spacing w:before="100" w:beforeAutospacing="1" w:line="273" w:lineRule="auto"/>
        <w:jc w:val="both"/>
        <w:rPr>
          <w:rFonts w:ascii="Times New Roman" w:hAnsi="Times New Roman" w:eastAsia="Calibri" w:cs="Times New Roman"/>
          <w:sz w:val="28"/>
          <w:szCs w:val="28"/>
          <w14:ligatures w14:val="none"/>
        </w:rPr>
      </w:pPr>
    </w:p>
    <w:p w14:paraId="0AA4435A">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Regression Analysis of Urbanization Metrics as Predictors of NDVI.</w:t>
      </w:r>
    </w:p>
    <w:p w14:paraId="5AB88466">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model performed strongly, indicating that a considerable proportion of spatial variation in NDVI is attributable to these three urbanization indicators. The overall model explained 86.2% of the variation in NDVI (R² = 0.862), with an adjusted R² of 0.842, confirming high explanatory power even after adjusting for the number of predictors .The model’s F-statistic was significant where (F = 41.73, p &lt; 0.001) indicating that the predictor set collectively contributes meaningfully to NDVI variation. Information criteria (AIC = –80.28; BIC = –75.57) also support a well-fitted model.</w:t>
      </w:r>
    </w:p>
    <w:p w14:paraId="73BC1970">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Synthesis of Findings Across Indicators</w:t>
      </w:r>
    </w:p>
    <w:p w14:paraId="1228DC78">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Vegetation indices showed the clearest ecological signal. The value (NDVI) declined from 0.482 ± 0.023 to 0.277 ± 0.076, while EVI dropped from 0.312 ± 0.025 to 0.173 ± 0.051, demonstrating stark reductions in primary productivity and vegetation vigor. ANOVA results confirmed highly significant differences across zones (F = 31.04, p &lt; 0.001 in the case of NDVI; and F = 32.52, p &lt; 0.001 for the case of EVI), revealing that vegetation functioning diminishes sharply with increasing urban intensity</w:t>
      </w:r>
    </w:p>
    <w:p w14:paraId="449EA7F5">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Habitat Fragmentation and Landscape Conversion</w:t>
      </w:r>
    </w:p>
    <w:p w14:paraId="159E3CF8">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loss of 124.93 km² of forest land and also the drastical reduction in cropland size have fragmented the formerly continuous habitats into isolated patches. This fragmentation in turn reduces dispersal opportunities, increases edge effects, and disrupts plant community dynamics. And again, patch isolation also limits pollinator movement, seed flow, and successional processes essential for ecosystem recovery.</w:t>
      </w:r>
    </w:p>
    <w:p w14:paraId="7295BD33">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Biodiversity Decline and Ecological Homogenization</w:t>
      </w:r>
    </w:p>
    <w:p w14:paraId="758835D3">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decline in species richness from 23.50 species (rural) to 15.83 species (urban), along with reduced Shannon and Simpson indices, indicates that urbanization fosters homogenization of plant communities. Disturbance tolerant species such as Cleome viscosa, Sida acuta, and Heterotis rotundifolia become more dominant, while native forest species decline. The shift reduced functional diversity, disrupts trophic and symbiotic relationships, and diminishes ecological resilience.</w:t>
      </w:r>
    </w:p>
    <w:p w14:paraId="0585D9DD">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Soil Fertility Modification and Biological Function Disruption</w:t>
      </w:r>
    </w:p>
    <w:p w14:paraId="7B03B0A6">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Significantly higher soil pH in urban areas (p = 0.037) indicates altered nutrient availability and potential micro-nutrient deficiencies that can suppress plant growth. Even though SOC and nitrogen appear elevated, the biological reality is reduced nutrient turnover, poorer microbial activity, and compacted soil structure conditions that limit root development and reduce soil-plant interactions fundamental to ecosystem processes.</w:t>
      </w:r>
    </w:p>
    <w:p w14:paraId="579CC771">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Reduced Primary Productivity and Vegetation Health</w:t>
      </w:r>
    </w:p>
    <w:p w14:paraId="619FEFEA">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substantial decline in NDVI value from 0.48 to 0.28 and that of EVI from 0.31 to 0.17 tells the weakened photosynthetic activity, reduced biomass accumulation, and lower canopy cover. As a result of the reduction it compromises ecological functions such as carbon sequestration, microclimate regulation, soil stabilization, and hydrological buffering. Urban hotpots with the highest population densities show the lowest NDVI values, confirming that demographic stress is a major biological driver of ecosystem decline.</w:t>
      </w:r>
    </w:p>
    <w:p w14:paraId="4FC3C963">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Statistical Models Confirm Urbanization as a Predictor of Ecological Degradation.</w:t>
      </w:r>
    </w:p>
    <w:p w14:paraId="2511AB97">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regression modeling of these variables (NDVI = β₀ + β₁ Built-up + β₂ Night-time Lights + β₃ Population Density + ε) revealed that the three indicators of urbanization had significantly predicted plant productivity in the study area. Random Forest regression further ranked the predictors by importance, confirming built-up area and night-time lights as the leading determinants of ecosystem functioning in both LGAs.</w:t>
      </w:r>
    </w:p>
    <w:p w14:paraId="7314B810">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Evidence for Sustainable Urban Planning and Conservation Interventions.</w:t>
      </w:r>
    </w:p>
    <w:p w14:paraId="7CE62AAE">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combined findings from LULC change, biodiversity patterns, soil indicators, and statistical modeling support actionable recommendations for urban management in Benue State. Key provisions include:</w:t>
      </w:r>
    </w:p>
    <w:p w14:paraId="25005291">
      <w:pPr>
        <w:pStyle w:val="15"/>
        <w:numPr>
          <w:ilvl w:val="0"/>
          <w:numId w:val="2"/>
        </w:numPr>
        <w:spacing w:line="273" w:lineRule="auto"/>
        <w:jc w:val="both"/>
        <w:rPr>
          <w:rFonts w:ascii="Times New Roman" w:hAnsi="Times New Roman" w:eastAsia="Calibri"/>
          <w:sz w:val="28"/>
          <w:szCs w:val="28"/>
        </w:rPr>
      </w:pPr>
      <w:r>
        <w:rPr>
          <w:rFonts w:ascii="Times New Roman" w:hAnsi="Times New Roman" w:eastAsia="Calibri"/>
          <w:sz w:val="28"/>
          <w:szCs w:val="28"/>
        </w:rPr>
        <w:t>Strengthening land-use zoning and control of built-up expansion.</w:t>
      </w:r>
    </w:p>
    <w:p w14:paraId="186C5A2C">
      <w:pPr>
        <w:pStyle w:val="15"/>
        <w:numPr>
          <w:ilvl w:val="0"/>
          <w:numId w:val="2"/>
        </w:numPr>
        <w:spacing w:line="273" w:lineRule="auto"/>
        <w:jc w:val="both"/>
        <w:rPr>
          <w:rFonts w:ascii="Times New Roman" w:hAnsi="Times New Roman" w:eastAsia="Calibri"/>
          <w:sz w:val="28"/>
          <w:szCs w:val="28"/>
        </w:rPr>
      </w:pPr>
      <w:r>
        <w:rPr>
          <w:rFonts w:ascii="Times New Roman" w:hAnsi="Times New Roman" w:eastAsia="Calibri"/>
          <w:sz w:val="28"/>
          <w:szCs w:val="28"/>
        </w:rPr>
        <w:t>Restoration of degraded vegetation and promotion of urban forestry.</w:t>
      </w:r>
    </w:p>
    <w:p w14:paraId="0FCC0721">
      <w:pPr>
        <w:pStyle w:val="15"/>
        <w:numPr>
          <w:ilvl w:val="0"/>
          <w:numId w:val="2"/>
        </w:numPr>
        <w:spacing w:line="273" w:lineRule="auto"/>
        <w:jc w:val="both"/>
        <w:rPr>
          <w:rFonts w:ascii="Times New Roman" w:hAnsi="Times New Roman" w:eastAsia="Calibri"/>
          <w:sz w:val="28"/>
          <w:szCs w:val="28"/>
        </w:rPr>
      </w:pPr>
      <w:r>
        <w:rPr>
          <w:rFonts w:ascii="Times New Roman" w:hAnsi="Times New Roman" w:eastAsia="Calibri"/>
          <w:sz w:val="28"/>
          <w:szCs w:val="28"/>
        </w:rPr>
        <w:t>Protection of remaining natural vegetation patches in peri-urban and rural zones.</w:t>
      </w:r>
    </w:p>
    <w:p w14:paraId="213A38DC">
      <w:pPr>
        <w:pStyle w:val="15"/>
        <w:numPr>
          <w:ilvl w:val="0"/>
          <w:numId w:val="2"/>
        </w:numPr>
        <w:spacing w:line="273" w:lineRule="auto"/>
        <w:jc w:val="both"/>
        <w:rPr>
          <w:rFonts w:ascii="Times New Roman" w:hAnsi="Times New Roman" w:eastAsia="Calibri"/>
          <w:sz w:val="28"/>
          <w:szCs w:val="28"/>
        </w:rPr>
      </w:pPr>
      <w:r>
        <w:rPr>
          <w:rFonts w:ascii="Times New Roman" w:hAnsi="Times New Roman" w:eastAsia="Calibri"/>
          <w:sz w:val="28"/>
          <w:szCs w:val="28"/>
        </w:rPr>
        <w:t>Integrating ecological datasets (NDVI, species diversity, soil metrics) into planning decisions.</w:t>
      </w:r>
    </w:p>
    <w:p w14:paraId="1A802D95">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These provisions align with global frameworks for nature-based solutions and provide scientific justification for policies that enhance biodiversity conservation and ecosystem resilience in tropical urban environments.</w:t>
      </w:r>
    </w:p>
    <w:p w14:paraId="42618039">
      <w:pPr>
        <w:keepNext/>
        <w:keepLines/>
        <w:widowControl w:val="0"/>
        <w:spacing w:before="240" w:after="240" w:line="256" w:lineRule="auto"/>
        <w:outlineLvl w:val="0"/>
        <w:rPr>
          <w:rFonts w:ascii="Times New Roman" w:hAnsi="Times New Roman" w:eastAsia="DengXian Light" w:cs="Times New Roman"/>
          <w:b/>
          <w:bCs/>
          <w:sz w:val="32"/>
          <w:szCs w:val="32"/>
          <w14:ligatures w14:val="none"/>
        </w:rPr>
      </w:pPr>
      <w:bookmarkStart w:id="12" w:name="_Toc215220433"/>
      <w:r>
        <w:rPr>
          <w:rFonts w:ascii="Times New Roman" w:hAnsi="Times New Roman" w:eastAsia="DengXian Light" w:cs="Times New Roman"/>
          <w:b/>
          <w:bCs/>
          <w:sz w:val="32"/>
          <w:szCs w:val="32"/>
          <w14:ligatures w14:val="none"/>
        </w:rPr>
        <w:t>Degree of Reliability</w:t>
      </w:r>
      <w:bookmarkEnd w:id="12"/>
    </w:p>
    <w:p w14:paraId="090B20A2">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All the classified maps were validated with ground truth data collected from field through accuracy assestment tool in ArcGIS. A total of 11 wards were randomly picked (6 in Markurdi and 5 in Otukpo), where each ward had 3 plot samples and each plot sample covered an area of 100 m². All were surveyed in each zone. The plant species were manually identified, and classified based on their life forms (trees, shrubs, and herbs) and growth forms (perennial or annual). Species richness and abundance were also recorded for each plot. This survey was carried out alongside the Department of Wildlife and Range Management, College of Forestry and Fisheries, Joseph Sarwuan Tarka University, Makurdi. All geospatial predictor variables used in this study including Enhanced Vegetation Index (EVI), Normalized Difference Vegetation Index (NDVI), soil organic carbon, nitrogen, bulk density, cation exchange capacity, pH, night-time lights, population density, and built-up intensity were extracted using Google Earth Engine (GEE)(Kumari et al. 2021; Hengl et al. 2017; Song et al. 2025; Wang et al. 2024).</w:t>
      </w:r>
    </w:p>
    <w:p w14:paraId="3B53636F">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workflow integrated multiple remotely sensed and modelled datasetsand all layers were clipped to ward-level buffer boundaries, aggregated to mean values per ward, and exported directly from GEE into a structured table. The final datasets produced by this workflow is openly available in the Appendix, ensuring reproducibility as well as the national population data in appendix 10 was collected from the National Population Commission, Department of Population Census and Statistics, Headquarters, Abuja.</w:t>
      </w:r>
    </w:p>
    <w:p w14:paraId="0054DB5D">
      <w:pPr>
        <w:spacing w:before="100" w:beforeAutospacing="1" w:line="273" w:lineRule="auto"/>
        <w:jc w:val="both"/>
        <w:rPr>
          <w:rFonts w:ascii="Times New Roman" w:hAnsi="Times New Roman" w:eastAsia="Calibri" w:cs="Times New Roman"/>
          <w:sz w:val="28"/>
          <w:szCs w:val="28"/>
          <w14:ligatures w14:val="none"/>
        </w:rPr>
      </w:pPr>
    </w:p>
    <w:p w14:paraId="091A6C33">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Compliance of the Dissertation with the Passport of the Scientific Specialty.</w:t>
      </w:r>
    </w:p>
    <w:p w14:paraId="55B58FF5">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Dissertation work corresponds to the specialty passport 1.5.15. Ecology by item: Item 10. Anthropogenic impact on populations, communities, and ecosystems. Biological effects of environmental pollution with toxic substances (ecotoxicology). Development of biological methods and criteria for assessing the state of the environment, bioindication, biotesting, and biomonitoring. Development of environmentally sound standards for the impact of human economic activity on wildlife: item 12. Ecological principles of nature protection at the population-specific and ecosystem level.</w:t>
      </w:r>
    </w:p>
    <w:p w14:paraId="31608305">
      <w:pPr>
        <w:keepNext/>
        <w:keepLines/>
        <w:widowControl w:val="0"/>
        <w:spacing w:before="240" w:after="240" w:line="256" w:lineRule="auto"/>
        <w:outlineLvl w:val="0"/>
        <w:rPr>
          <w:rFonts w:ascii="Times New Roman" w:hAnsi="Times New Roman" w:eastAsia="DengXian Light" w:cs="Times New Roman"/>
          <w:b/>
          <w:bCs/>
          <w:sz w:val="32"/>
          <w:szCs w:val="32"/>
          <w14:ligatures w14:val="none"/>
        </w:rPr>
      </w:pPr>
      <w:bookmarkStart w:id="13" w:name="_Toc215220434"/>
      <w:r>
        <w:rPr>
          <w:rFonts w:ascii="Times New Roman" w:hAnsi="Times New Roman" w:eastAsia="DengXian Light" w:cs="Times New Roman"/>
          <w:b/>
          <w:bCs/>
          <w:sz w:val="32"/>
          <w:szCs w:val="32"/>
          <w14:ligatures w14:val="none"/>
        </w:rPr>
        <w:t>Approbation of the work</w:t>
      </w:r>
      <w:bookmarkEnd w:id="13"/>
    </w:p>
    <w:p w14:paraId="5E8F2890">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The result of the dissertation research was the publication of 5 articles, including 3 in scientific journals indexed in the SCOPUS database and 2 in a journal included in the Higher Attestation Commission (HAC) list. The results of the dissertation work were presented at the following conferences: </w:t>
      </w:r>
      <w:r>
        <w:rPr>
          <w:rFonts w:ascii="Times New Roman" w:hAnsi="Times New Roman" w:eastAsia="Calibri" w:cs="Times New Roman"/>
          <w:b/>
          <w:bCs/>
          <w:sz w:val="28"/>
          <w:szCs w:val="28"/>
          <w14:ligatures w14:val="none"/>
        </w:rPr>
        <w:t>International youth scientific conference “EPI 2025”</w:t>
      </w:r>
      <w:r>
        <w:rPr>
          <w:rFonts w:ascii="Times New Roman" w:hAnsi="Times New Roman" w:eastAsia="Calibri" w:cs="Times New Roman"/>
          <w:sz w:val="28"/>
          <w:szCs w:val="28"/>
          <w14:ligatures w14:val="none"/>
        </w:rPr>
        <w:t xml:space="preserve">: Environmental studies and protection issues, Institute of Environmental Engineering RUDN University April 2025, </w:t>
      </w:r>
      <w:r>
        <w:rPr>
          <w:rFonts w:ascii="Times New Roman" w:hAnsi="Times New Roman" w:eastAsia="Calibri" w:cs="Times New Roman"/>
          <w:b/>
          <w:bCs/>
          <w:sz w:val="28"/>
          <w:szCs w:val="28"/>
          <w14:ligatures w14:val="none"/>
        </w:rPr>
        <w:t>XXVth International Multidisciplinary Scientific GeoConference Surveying, Geology and Mining, Ecology and Management (SGEM) A</w:t>
      </w:r>
      <w:r>
        <w:rPr>
          <w:rFonts w:ascii="Times New Roman" w:hAnsi="Times New Roman" w:eastAsia="Calibri" w:cs="Times New Roman"/>
          <w:sz w:val="28"/>
          <w:szCs w:val="28"/>
          <w14:ligatures w14:val="none"/>
        </w:rPr>
        <w:t xml:space="preserve">lbena Resort &amp; Spa, BulgariaJune 28-July 7th 2025, proceeding, </w:t>
      </w:r>
      <w:r>
        <w:rPr>
          <w:rFonts w:ascii="Times New Roman" w:hAnsi="Times New Roman" w:eastAsia="Calibri" w:cs="Times New Roman"/>
          <w:b/>
          <w:bCs/>
          <w:sz w:val="28"/>
          <w:szCs w:val="28"/>
          <w14:ligatures w14:val="none"/>
        </w:rPr>
        <w:t>Roles of Artificial intelligence in predictive Agroecological modelling and sustainable land management in response to climate viability in Moscow Region (Scopus Q2)</w:t>
      </w:r>
    </w:p>
    <w:p w14:paraId="3513FCAC">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 Africa’s pathway to the 17 SDGS:</w:t>
      </w:r>
      <w:r>
        <w:rPr>
          <w:rFonts w:ascii="Times New Roman" w:hAnsi="Times New Roman" w:eastAsia="Calibri" w:cs="Times New Roman"/>
          <w:b/>
          <w:bCs/>
          <w:sz w:val="28"/>
          <w:szCs w:val="28"/>
          <w14:ligatures w14:val="none"/>
        </w:rPr>
        <w:t xml:space="preserve"> An Integrated Approach November 21st, 2023: Abundant Potential Solar Energy in Nigeria: A Pathway to Renewable Energy, Russia African Conference, July 2023</w:t>
      </w:r>
      <w:r>
        <w:rPr>
          <w:rFonts w:ascii="Times New Roman" w:hAnsi="Times New Roman" w:eastAsia="Calibri" w:cs="Times New Roman"/>
          <w:sz w:val="28"/>
          <w:szCs w:val="28"/>
          <w14:ligatures w14:val="none"/>
        </w:rPr>
        <w:t xml:space="preserve"> The Application of Remote Sensing Techniques in Monitoring and Assessment of Inorganic Pollutants in Africa, Anthropogenic Activities: </w:t>
      </w:r>
      <w:r>
        <w:rPr>
          <w:rFonts w:ascii="Times New Roman" w:hAnsi="Times New Roman" w:eastAsia="Calibri" w:cs="Times New Roman"/>
          <w:b/>
          <w:bCs/>
          <w:sz w:val="28"/>
          <w:szCs w:val="28"/>
          <w14:ligatures w14:val="none"/>
        </w:rPr>
        <w:t>A Threat to Natural Resources Sustainability Possible Solution (Council of Young scientists of the institute of ecology of RUDN University “Lecture Seminars on Studying the Earth” December, 3 &amp; 10, 2022</w:t>
      </w:r>
      <w:r>
        <w:rPr>
          <w:rFonts w:ascii="Times New Roman" w:hAnsi="Times New Roman" w:eastAsia="Calibri" w:cs="Times New Roman"/>
          <w:sz w:val="28"/>
          <w:szCs w:val="28"/>
          <w14:ligatures w14:val="none"/>
        </w:rPr>
        <w:t xml:space="preserve">), Urbanization Challenges and Its Pressure On Natural Resources Sustainability In Nigeria </w:t>
      </w:r>
      <w:r>
        <w:rPr>
          <w:rFonts w:ascii="Times New Roman" w:hAnsi="Times New Roman" w:eastAsia="Calibri" w:cs="Times New Roman"/>
          <w:b/>
          <w:bCs/>
          <w:sz w:val="28"/>
          <w:szCs w:val="28"/>
          <w14:ligatures w14:val="none"/>
        </w:rPr>
        <w:t xml:space="preserve">International youth scientific conference “GREEN-2022” Graduate Research in Ecology, Engineering and Nature; November 2022 Institute of Environmental Engineering RUDN University, </w:t>
      </w:r>
      <w:r>
        <w:rPr>
          <w:rFonts w:ascii="Times New Roman" w:hAnsi="Times New Roman" w:eastAsia="Calibri" w:cs="Times New Roman"/>
          <w:sz w:val="28"/>
          <w:szCs w:val="28"/>
          <w14:ligatures w14:val="none"/>
        </w:rPr>
        <w:t xml:space="preserve">International youth scientific conference “EPI 2024” Environmental studies and protection issues. Institute of Environmental Engineering RUDN University "Common Natural Ecosystem Challenges in Nigeria": </w:t>
      </w:r>
      <w:r>
        <w:rPr>
          <w:rFonts w:ascii="Arial" w:hAnsi="Arial" w:eastAsia="Calibri" w:cs="Arial"/>
          <w:b/>
          <w:bCs/>
          <w:sz w:val="28"/>
          <w:szCs w:val="28"/>
          <w14:ligatures w14:val="none"/>
        </w:rPr>
        <w:t>Assessment of urbanization's environmental impact in Makurdi Metropolis, Benue State, Nigeria. International Journal of Environmental Impacts</w:t>
      </w:r>
      <w:r>
        <w:rPr>
          <w:rFonts w:ascii="Times New Roman" w:hAnsi="Times New Roman" w:eastAsia="Calibri" w:cs="Times New Roman"/>
          <w:sz w:val="28"/>
          <w:szCs w:val="28"/>
          <w14:ligatures w14:val="none"/>
        </w:rPr>
        <w:t xml:space="preserve">, Vol. 8, No. 2, pp. 393-400. https://doi.org/10.18280/ijei.080218 (Scopus Q3 , A social approach to assessing the impact of urbanization on natural resources: A case study of Makurdi-Benue State, Nigeria) </w:t>
      </w:r>
      <w:r>
        <w:rPr>
          <w:rFonts w:ascii="Times New Roman" w:hAnsi="Times New Roman" w:eastAsia="Calibri" w:cs="Times New Roman"/>
          <w:b/>
          <w:bCs/>
          <w:sz w:val="28"/>
          <w:szCs w:val="28"/>
          <w14:ligatures w14:val="none"/>
        </w:rPr>
        <w:t>International Research Journal №6 (156). URL:   https://doi.org/10.60797/IRJ.2025.156.82 Issue: № 6 (156), 2025   (VAK K1(SCOPUS Q2, WOS Q1,</w:t>
      </w:r>
      <w:r>
        <w:rPr>
          <w:rFonts w:ascii="Times New Roman" w:hAnsi="Times New Roman" w:eastAsia="Calibri" w:cs="Times New Roman"/>
          <w:sz w:val="28"/>
          <w:szCs w:val="28"/>
          <w14:ligatures w14:val="none"/>
        </w:rPr>
        <w:t xml:space="preserve">  Spatiotemporal Analysis of Land Use and Land Cover Changes Driven by Urbanization in Makurdi, Nigeria (1990 to 2024): Implications for Cropland Loss, Environmental Risk, and Sustainable Urban Development (SCOPUS Q3 WOS Q3), Journal of Applied Environmental Research, Socio-ecological consequences of urban growth in dutsen kura gwari, Niger state, Nigeria,  Soil fertility management practices among smallholder farmers in Ughelli North, Delta State, Nigeria. (2025). Tropical Agriculture, 102(3), 358–367. </w:t>
      </w:r>
    </w:p>
    <w:p w14:paraId="5AD11C96">
      <w:pPr>
        <w:keepNext/>
        <w:keepLines/>
        <w:widowControl w:val="0"/>
        <w:spacing w:before="240" w:after="240" w:line="256" w:lineRule="auto"/>
        <w:outlineLvl w:val="0"/>
        <w:rPr>
          <w:rFonts w:ascii="Times New Roman" w:hAnsi="Times New Roman" w:eastAsia="DengXian Light" w:cs="Times New Roman"/>
          <w:b/>
          <w:bCs/>
          <w:sz w:val="32"/>
          <w:szCs w:val="32"/>
          <w14:ligatures w14:val="none"/>
        </w:rPr>
      </w:pPr>
      <w:bookmarkStart w:id="14" w:name="_Toc215220435"/>
      <w:r>
        <w:rPr>
          <w:rFonts w:ascii="Times New Roman" w:hAnsi="Times New Roman" w:eastAsia="DengXian Light" w:cs="Times New Roman"/>
          <w:b/>
          <w:bCs/>
          <w:sz w:val="32"/>
          <w:szCs w:val="32"/>
          <w14:ligatures w14:val="none"/>
        </w:rPr>
        <w:t>Personal Contribution of the Author.</w:t>
      </w:r>
      <w:bookmarkEnd w:id="14"/>
    </w:p>
    <w:p w14:paraId="234298FC">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candidate participated in setting the aim and specific objectives of the study, collected and analyzed the obtained material, processed and interpreted the data, and prepared publications in co-authorship.</w:t>
      </w:r>
    </w:p>
    <w:p w14:paraId="4CF3C401">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 Structure and Volume of the Dissertation. The thesis consists of an Introduction, 3 chapters, conclusions, Recommendations, List of Abbreviations, list of references, 11 appendices. The thesis is summarized and presented o</w:t>
      </w:r>
      <w:r>
        <w:rPr>
          <w:rFonts w:ascii="Times New Roman" w:hAnsi="Times New Roman" w:eastAsia="Calibri" w:cs="Times New Roman"/>
          <w:color w:val="0C0C0C"/>
          <w:sz w:val="28"/>
          <w:szCs w:val="28"/>
          <w14:ligatures w14:val="none"/>
        </w:rPr>
        <w:t>n 141 pages; the main text includes 15 figures and 21 tables.</w:t>
      </w:r>
    </w:p>
    <w:p w14:paraId="79DE37F8">
      <w:pPr>
        <w:spacing w:before="100" w:beforeAutospacing="1" w:line="273" w:lineRule="auto"/>
        <w:jc w:val="both"/>
        <w:rPr>
          <w:rFonts w:ascii="Times New Roman" w:hAnsi="Times New Roman" w:eastAsia="Calibri" w:cs="Times New Roman"/>
          <w:b/>
          <w:bCs/>
          <w:sz w:val="32"/>
          <w:szCs w:val="32"/>
          <w14:ligatures w14:val="none"/>
        </w:rPr>
      </w:pPr>
      <w:r>
        <w:rPr>
          <w:rFonts w:ascii="Times New Roman" w:hAnsi="Times New Roman" w:eastAsia="Calibri" w:cs="Times New Roman"/>
          <w:b/>
          <w:bCs/>
          <w:sz w:val="32"/>
          <w:szCs w:val="32"/>
          <w14:ligatures w14:val="none"/>
        </w:rPr>
        <w:t>Acknowledgement</w:t>
      </w:r>
    </w:p>
    <w:p w14:paraId="5D160F7E">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My special thanks go to God for all grace and provision, to my scientific supervisor Ass. Prof. Pinaev Vladimir Evgenievich, who supervised this work; Prof. Savenkova Elena Viktorovna, Director of the Institute of Environmental Engineering at RUDN University; Prof. Kapralova Daria Olegovna, PhD coordinator at the Institute of Environmental Engineering at RUDN University; Prof. M.M. Redina; and all staff of the Institute of Environmental Engineering at RUDN University for their support and tutelage throughout the period of my academic pursuit at the institute. To my family, my wife and daughter, Mrs. Patience and Rehoboth Ebogocho Shaibu; my mother, Aladi Shaibu; siblings, etc.; Mr. John Nyiesue Ikyobo, principal technical officer 1, Department of Wildlife and Range Management; and Surv. Idoko F. Olechi, Department of Physical Planning: Geoinformatics Unit, Joseph Sarwuan Tarka University, Makurdi-Nigeria, for their invaluable assistance during collection of data for the research work on the topic of the dissertation.</w:t>
      </w:r>
    </w:p>
    <w:p w14:paraId="3B6A935D">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 This chapter reviews relevant literature that provides the scientific foundation for assessing how urbanization influences plant diversity and ecosystem functioning in tropical environments. It is organized around the major themes of the study, beginning with the concept, patterns, and drivers of urbanization, followed by documented effects of urban growth on plant species richness, evenness, and community structure along rural-urban gradients. The chapter also examines ecosystem functioning metrics such as vegetation indices (NDVI/EVI), soil organic carbon, and soil nitrogen and their ecological significance, alongside remote sensing and GIS techniques used in monitoring land-use change and vegetation dynamics. Furthermore, the review highlights statistical modelling approaches, including regression and machine-learning tools, that help quantify the relationships between urban intensity and ecological variables. The chapter concludes with a conceptual and theoretical framework that integrates these themes and guides the analytical direction of the present study.</w:t>
      </w:r>
    </w:p>
    <w:p w14:paraId="7E25615B">
      <w:pPr>
        <w:spacing w:before="100" w:beforeAutospacing="1" w:line="273" w:lineRule="auto"/>
        <w:jc w:val="both"/>
        <w:rPr>
          <w:rFonts w:ascii="Times New Roman" w:hAnsi="Times New Roman" w:eastAsia="Calibri" w:cs="Times New Roman"/>
          <w:sz w:val="28"/>
          <w:szCs w:val="28"/>
          <w14:ligatures w14:val="none"/>
        </w:rPr>
      </w:pPr>
    </w:p>
    <w:p w14:paraId="6BDAD16D">
      <w:pPr>
        <w:spacing w:before="100" w:beforeAutospacing="1" w:line="273" w:lineRule="auto"/>
        <w:jc w:val="both"/>
        <w:rPr>
          <w:rFonts w:ascii="Times New Roman" w:hAnsi="Times New Roman" w:eastAsia="Calibri" w:cs="Times New Roman"/>
          <w:sz w:val="28"/>
          <w:szCs w:val="28"/>
          <w14:ligatures w14:val="none"/>
        </w:rPr>
      </w:pPr>
    </w:p>
    <w:p w14:paraId="34C21D3B">
      <w:pPr>
        <w:spacing w:before="100" w:beforeAutospacing="1" w:line="273" w:lineRule="auto"/>
        <w:jc w:val="both"/>
        <w:rPr>
          <w:rFonts w:ascii="Times New Roman" w:hAnsi="Times New Roman" w:eastAsia="Calibri" w:cs="Times New Roman"/>
          <w:sz w:val="28"/>
          <w:szCs w:val="28"/>
          <w14:ligatures w14:val="none"/>
        </w:rPr>
      </w:pPr>
    </w:p>
    <w:p w14:paraId="4CC6FB36">
      <w:pPr>
        <w:pStyle w:val="2"/>
        <w:jc w:val="center"/>
        <w:rPr>
          <w:rFonts w:ascii="Times New Roman" w:hAnsi="Times New Roman"/>
          <w:b/>
          <w:bCs/>
          <w:color w:val="auto"/>
        </w:rPr>
      </w:pPr>
      <w:r>
        <w:rPr>
          <w:rFonts w:ascii="Times New Roman" w:hAnsi="Times New Roman"/>
          <w:b/>
          <w:bCs/>
          <w:color w:val="auto"/>
        </w:rPr>
        <w:t>CHAPTER ONE</w:t>
      </w:r>
    </w:p>
    <w:p w14:paraId="08A0142C">
      <w:pPr>
        <w:pStyle w:val="2"/>
        <w:jc w:val="center"/>
        <w:rPr>
          <w:rFonts w:ascii="Times New Roman" w:hAnsi="Times New Roman"/>
          <w:b/>
          <w:bCs/>
          <w:color w:val="auto"/>
        </w:rPr>
      </w:pPr>
      <w:r>
        <w:rPr>
          <w:rFonts w:ascii="Times New Roman" w:hAnsi="Times New Roman"/>
          <w:b/>
          <w:bCs/>
          <w:color w:val="auto"/>
        </w:rPr>
        <w:t>1.1 Conceptual Clarifications</w:t>
      </w:r>
    </w:p>
    <w:p w14:paraId="0CE6E140">
      <w:pPr>
        <w:pStyle w:val="2"/>
        <w:jc w:val="center"/>
        <w:rPr>
          <w:rFonts w:ascii="Times New Roman" w:hAnsi="Times New Roman"/>
          <w:b/>
          <w:bCs/>
          <w:color w:val="auto"/>
        </w:rPr>
      </w:pPr>
      <w:r>
        <w:rPr>
          <w:rFonts w:ascii="Times New Roman" w:hAnsi="Times New Roman"/>
          <w:b/>
          <w:bCs/>
          <w:color w:val="auto"/>
        </w:rPr>
        <w:t>1.1.1 Concept of Urbanization</w:t>
      </w:r>
    </w:p>
    <w:p w14:paraId="10FBD044">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Urbanization is defined as the increasing concentration of people, infrastructure, and economic activities in towns and cities, resulting in the physical and demographic expansion of urban areas. Historically, it evolved alongside the industrialization in the past 18th and 19th centuries, as technological innovations, improved transportation, and factory-based economies drew populations from rural settlements into emerging metropolitan centers (Murayama and Estoque 2020) https://recentscientific.com/urbanization-concepts-dimensions-and-factors. But in our contemporary era, urbanization have shifted from being an industrial phenomenon to a global socio-economic process shaped by globalization, service economies, and technological transformation. This shift is especially concentrated (pronounced) in the most developing nations of the world, where urban growth is charaterized by unprecedented rates of human population increase and ofcourse it is often without corresponding improvements in infrastructure, environmental management, or governance (Bai et al. 2017; Waheeb 2023). Looking at the context of Africa and Asia, rapid urbanization is largely driven by natural population increase, rural-urban migration, expanding economic opportunities, informal settlements, and the physical extension of built-up land into peri-urban and agricultural zones(Gutu Sakketa 2023). Further more, the causes are majorly; the infrastructural development, political centralization, transportation corridors, and land speculation, all of which reinforce the conversion of natural landscapes into urban land uses (Longo et al. 2023; Li et al. 2016). The combination of these factors made urbanization (rapid urban growth) a powerful force to recogned with which is really shaping ecological patterns, resource availability, and environmental quality particularly in low- and middle-income regions where urban planning systems struggle to keep pace with population and spatial expansion.</w:t>
      </w:r>
    </w:p>
    <w:p w14:paraId="44C50312">
      <w:pPr>
        <w:pStyle w:val="2"/>
        <w:jc w:val="center"/>
        <w:rPr>
          <w:rFonts w:ascii="Times New Roman" w:hAnsi="Times New Roman"/>
          <w:b/>
          <w:bCs/>
          <w:color w:val="auto"/>
        </w:rPr>
      </w:pPr>
      <w:r>
        <w:rPr>
          <w:rFonts w:ascii="Times New Roman" w:hAnsi="Times New Roman"/>
          <w:b/>
          <w:bCs/>
          <w:color w:val="auto"/>
        </w:rPr>
        <w:t>1.1.2 Urbanization in the Tropical Context</w:t>
      </w:r>
    </w:p>
    <w:p w14:paraId="551398AA">
      <w:pPr>
        <w:jc w:val="both"/>
        <w:rPr>
          <w:rFonts w:ascii="Times New Roman" w:hAnsi="Times New Roman" w:cs="Times New Roman"/>
          <w:sz w:val="28"/>
          <w:szCs w:val="28"/>
        </w:rPr>
      </w:pPr>
      <w:r>
        <w:rPr>
          <w:rFonts w:ascii="Times New Roman" w:hAnsi="Times New Roman" w:cs="Times New Roman"/>
          <w:sz w:val="28"/>
          <w:szCs w:val="28"/>
        </w:rPr>
        <w:t>Urbanization in tropical regions is shaped by unique environmental, socio-economic, and climatic conditions that distinguish tropical cities from those in temperate zones. The major charaterictics of the tropical cities are; high population densities, rapid spatial expansion, extensive informal settlements, insufficient infrastructure, and strong dependence on natural resources and ecosystem services (Smith et al. 2020; He et al. 2021). The climate condition of these cities are marked by high temperature, intense rainfall, and also a year-round biological productivity heighten sensitivity to land-use change, making vegetation cover, soil properties, and hydrological systems particularly vulnerable to urban disturbances. The evidence from the humid tropical regions, is that the problem excalate to deforestation, altering of microclimates, reducing vegetation greenness, increasing of surface runoff, and degrading soil fertility (Yin et al. 2024), which in turn leads to significant ecological consequences such as biodiversity loss, reduced carbon storage, and weakened ecosystem (Yin et al. 2024; Ramil Abbasov 2025).</w:t>
      </w:r>
    </w:p>
    <w:p w14:paraId="6BD48467">
      <w:pPr>
        <w:jc w:val="both"/>
        <w:rPr>
          <w:rFonts w:ascii="Times New Roman" w:hAnsi="Times New Roman" w:cs="Times New Roman"/>
          <w:sz w:val="28"/>
          <w:szCs w:val="28"/>
        </w:rPr>
      </w:pPr>
      <w:r>
        <w:rPr>
          <w:rFonts w:ascii="Times New Roman" w:hAnsi="Times New Roman" w:cs="Times New Roman"/>
          <w:sz w:val="28"/>
          <w:szCs w:val="28"/>
        </w:rPr>
        <w:t xml:space="preserve">Across Africa, and particularly in West Africa, urban growth has been exceptionally on the high and is driven by natural population increase, rural-urban migration, administrative centralization, and expanding economic activities in transportation and trade (Kankam et al. 2024).According to previous studies (Kisvarga et al. 2023; Ogwu 2019), West African mega cities such as Lagos, Accra, Bamako, and the emerging secondary ones such as Makurdi and Otukpo clearly exhibit similar patterns of fragmented expansion, infrastructural deficits, and strong interactions between human activities and ecological processes . </w:t>
      </w:r>
    </w:p>
    <w:p w14:paraId="52E84AAB">
      <w:pPr>
        <w:pStyle w:val="2"/>
        <w:jc w:val="center"/>
        <w:rPr>
          <w:rFonts w:ascii="Times New Roman" w:hAnsi="Times New Roman"/>
          <w:b/>
          <w:bCs/>
          <w:color w:val="auto"/>
        </w:rPr>
      </w:pPr>
      <w:r>
        <w:rPr>
          <w:rFonts w:ascii="Times New Roman" w:hAnsi="Times New Roman"/>
          <w:b/>
          <w:bCs/>
          <w:color w:val="auto"/>
        </w:rPr>
        <w:t>1.1.3 Land Use and Land Cover (LULC)</w:t>
      </w:r>
    </w:p>
    <w:p w14:paraId="348567A6">
      <w:pPr>
        <w:jc w:val="both"/>
        <w:rPr>
          <w:rFonts w:ascii="Times New Roman" w:hAnsi="Times New Roman" w:cs="Times New Roman"/>
          <w:sz w:val="28"/>
          <w:szCs w:val="28"/>
        </w:rPr>
      </w:pPr>
      <w:r>
        <w:rPr>
          <w:rFonts w:ascii="Times New Roman" w:hAnsi="Times New Roman" w:cs="Times New Roman"/>
          <w:sz w:val="28"/>
          <w:szCs w:val="28"/>
        </w:rPr>
        <w:t>Land use refers to the human purposes or activities applied to the land such as agriculture, settlements, industry, transportation, and conservation reflecting socio-economic decisions and management practices imposed on the (Nedd, et al. 2021) and land cover describes the physical and biophysical features present on the Earth’s surface, including vegetation, water bodies, bare soil, built-up areas, and wetlands, regardless of how humans utilize (Gaur and Singh 2023). While, the two are conceptually distinct, but are closely linked (land use influences land cover through activities like deforestation, cultivation, and urban development, and changes in land cover can shape future land-use decisions by determining resource availability, ecological suitability, and environmental (Da Silva et al. 2020)).  According to Yaghoobi et al. 2022, it is vital to understand the linkges between human-induced land-use activities and the leading drivers of land-cover change globally, especially in rapidly urbanizing regions where natural landscapes are continuously converted into built-up surfaces (Yaghoobi et al. 2022).</w:t>
      </w:r>
    </w:p>
    <w:p w14:paraId="7CE629DC">
      <w:pPr>
        <w:jc w:val="both"/>
        <w:rPr>
          <w:rFonts w:ascii="Times New Roman" w:hAnsi="Times New Roman" w:cs="Times New Roman"/>
          <w:sz w:val="28"/>
          <w:szCs w:val="28"/>
        </w:rPr>
      </w:pPr>
      <w:r>
        <w:rPr>
          <w:rFonts w:ascii="Times New Roman" w:hAnsi="Times New Roman" w:cs="Times New Roman"/>
          <w:sz w:val="28"/>
          <w:szCs w:val="28"/>
        </w:rPr>
        <w:t>Also, from past studies (Lou et al. 2025; Derdouri et al. 2021), accurate LULC mapping/classification can aid environmental managegers and researchers to quantify and evaluate the patterns of vegetation loss, habitat fragmentation, soil degradation, hydrological disruption, and urban expansion key processes that shape ecological responses at multiple spatial scales. To manage tropical and developing nations cities, where urban expansion is at the height and fast and often uncontrolled, LULC assessments are crucial for monitoring environmental impacts, planning green infrastructure, and implementing conservation strategies. Remote sensing and GIS in the other hand have become indispensable tools for proper and adequately LULC analysis, offering consistent, repeatable, and large-scale observations that support the evaluation of long-term ecological (Mohajane et al. 2018; Aryal et al. 2023). For studies like the present research, LULC dynamics provide the foundational spatial context for examining how urbanization gradients influence plant diversity, soil conditions, and vegetation productivity.</w:t>
      </w:r>
    </w:p>
    <w:p w14:paraId="24E0E5F8">
      <w:pPr>
        <w:pStyle w:val="2"/>
        <w:jc w:val="center"/>
        <w:rPr>
          <w:rFonts w:ascii="Times New Roman" w:hAnsi="Times New Roman"/>
          <w:b/>
          <w:bCs/>
          <w:color w:val="auto"/>
        </w:rPr>
      </w:pPr>
      <w:r>
        <w:rPr>
          <w:rFonts w:ascii="Times New Roman" w:hAnsi="Times New Roman"/>
          <w:b/>
          <w:bCs/>
          <w:color w:val="auto"/>
        </w:rPr>
        <w:t>1.1.4 Urbanization Gradient</w:t>
      </w:r>
    </w:p>
    <w:p w14:paraId="62E3171C">
      <w:pPr>
        <w:jc w:val="both"/>
        <w:rPr>
          <w:rFonts w:ascii="Times New Roman" w:hAnsi="Times New Roman" w:cs="Times New Roman"/>
          <w:sz w:val="28"/>
          <w:szCs w:val="28"/>
        </w:rPr>
      </w:pPr>
      <w:r>
        <w:rPr>
          <w:rFonts w:ascii="Times New Roman" w:hAnsi="Times New Roman" w:cs="Times New Roman"/>
          <w:sz w:val="28"/>
          <w:szCs w:val="28"/>
        </w:rPr>
        <w:t xml:space="preserve">The urbanization gradient referring to as a spatial continuum ranging from rural areas with low population density and minimal built infrastructure, through peri-urban areas which are characterized by a mixed land uses and rapid transformation, to highly developed urban centers dominated by impervious surfaces and intensive human activities (Seress et al. 2014). This particular urban gradient framework is becoming more commonly used in ecological research (Alue et al. 2022; Wu 2014; Ullah et al. 2025), because it captures the progressive influence of urban development on environmental phenomena, therefore allowing a systematic comparisons of biodiversity, ecosystem functions, and habitat quality across varying levels of human engaments (Barbieri et al. 2023). </w:t>
      </w:r>
    </w:p>
    <w:p w14:paraId="3CFA79F8">
      <w:pPr>
        <w:pStyle w:val="2"/>
        <w:jc w:val="center"/>
        <w:rPr>
          <w:rFonts w:ascii="Times New Roman" w:hAnsi="Times New Roman"/>
          <w:b/>
          <w:bCs/>
          <w:color w:val="auto"/>
        </w:rPr>
      </w:pPr>
      <w:r>
        <w:rPr>
          <w:rFonts w:ascii="Times New Roman" w:hAnsi="Times New Roman"/>
          <w:b/>
          <w:bCs/>
          <w:color w:val="auto"/>
        </w:rPr>
        <w:t>1.1.5 Plant Diversity</w:t>
      </w:r>
    </w:p>
    <w:p w14:paraId="7025EF0A">
      <w:pPr>
        <w:jc w:val="both"/>
        <w:rPr>
          <w:rFonts w:ascii="Times New Roman" w:hAnsi="Times New Roman" w:cs="Times New Roman"/>
          <w:sz w:val="28"/>
          <w:szCs w:val="28"/>
        </w:rPr>
      </w:pPr>
      <w:r>
        <w:rPr>
          <w:rFonts w:ascii="Times New Roman" w:hAnsi="Times New Roman" w:cs="Times New Roman"/>
          <w:sz w:val="28"/>
          <w:szCs w:val="28"/>
        </w:rPr>
        <w:t xml:space="preserve">Plant diversity comprises several complementary dimensions which are: 1) species richness, 2) the sheer count of different plant species, 3) species evenness-referring to how equally individuals are distributed among those species; and broader metrics such as alpha diversity (diversity within a site), beta diversity (turnover or change in species composition between sites), and gamma diversity (total diversity across a landscape) (Vasilevich 2009; Zhang et al. 2023). These dimensions offers differently ecological insights and paths.  For example,  the α-diversity helps understand local community complexity, while the β-diversity reveals how plant composition shifts across environmental or land-use classes (Qi et al. 2024). High plant diversity plays a crucial role in ecosystem functioning and resilience. Major empirical studies (Toscano et al. 2025; Mogîldea and Biță-Nicolae 2024), have demonstrated that the greater species richness enhances carbon storage, boosts productivity, and improves multiple ecosystem services by promoting complementary resource management, stabilizing community structure, and increasing resistance to environmental stressor/disturbances . Kovacs et al. 2025 in their study of urban ecology, diverse plant communities support services such as air purification, microclimate regulation, pollinator habitats, and soil stabilization, making plant diversity a key component of sustainable and resilient city. </w:t>
      </w:r>
    </w:p>
    <w:p w14:paraId="7A504B90">
      <w:pPr>
        <w:pStyle w:val="2"/>
        <w:jc w:val="center"/>
        <w:rPr>
          <w:rFonts w:ascii="Times New Roman" w:hAnsi="Times New Roman"/>
          <w:b/>
          <w:bCs/>
          <w:color w:val="auto"/>
        </w:rPr>
      </w:pPr>
      <w:r>
        <w:rPr>
          <w:rFonts w:ascii="Times New Roman" w:hAnsi="Times New Roman"/>
          <w:b/>
          <w:bCs/>
          <w:color w:val="auto"/>
        </w:rPr>
        <w:t>1.1.6 Ecosystem Functioning</w:t>
      </w:r>
    </w:p>
    <w:p w14:paraId="756FDA1B">
      <w:pPr>
        <w:jc w:val="both"/>
        <w:rPr>
          <w:rFonts w:ascii="Times New Roman" w:hAnsi="Times New Roman" w:cs="Times New Roman"/>
          <w:sz w:val="28"/>
          <w:szCs w:val="28"/>
        </w:rPr>
      </w:pPr>
      <w:r>
        <w:rPr>
          <w:rFonts w:ascii="Times New Roman" w:hAnsi="Times New Roman" w:cs="Times New Roman"/>
          <w:sz w:val="28"/>
          <w:szCs w:val="28"/>
        </w:rPr>
        <w:t>Ecosystem functioning refers to the sum of ecological processes that regulate how ecosystems operate, including primary productivity, nutrient cycling, energy flow, soil formation, and vegetation (Mollashahi and Szymura 2022). These processes determine the capacity of ecosystems to sustain life and maintain stability, and even if they are strongly influenced by parameters such as soil organic matter, microbial activity, vegetation cover, and hydrological balance (Breuste et al. 2017). In terrestrial landscapes, indicators such as net primary productivity (NPP), soil nutrient availability, infiltration capacity, and biomass accumulation are commonly used to assess ecosystem functioning, especially in environments undergoing rapid land-use changes (Včeláková et al. 2023). A substantial collection of evidence has proven beyond doubt that biodiversity particularly of the plant species richness and functional diversity enhances ecosystem functioning by promoting complementary resource use, stabilizing productivity, and improving nutrient retention and soil (Onandia et al. 2019; Marques and Mandrak 2024). The biodiversity ecosystem functioning (BEF) relationship is majorly critical in most urbanized landscapes of tropical regions of the world, where habitat fragmentation and vegetation loss can impair carbon sequestration, nutrient cycling, and soil all at once (Gu et al. 2024)), making plant diversity a key driver of ecological integrity across rural-urban gradients.</w:t>
      </w:r>
    </w:p>
    <w:p w14:paraId="5F0F3551">
      <w:pPr>
        <w:pStyle w:val="2"/>
        <w:jc w:val="center"/>
        <w:rPr>
          <w:rFonts w:ascii="Times New Roman" w:hAnsi="Times New Roman"/>
          <w:b/>
          <w:bCs/>
          <w:color w:val="auto"/>
        </w:rPr>
      </w:pPr>
      <w:r>
        <w:rPr>
          <w:rFonts w:ascii="Times New Roman" w:hAnsi="Times New Roman"/>
          <w:b/>
          <w:bCs/>
          <w:color w:val="auto"/>
        </w:rPr>
        <w:t>1.1.7 Vegetation Indices (NDVI, EVI)</w:t>
      </w:r>
    </w:p>
    <w:p w14:paraId="657D59D6">
      <w:pPr>
        <w:jc w:val="both"/>
        <w:rPr>
          <w:rFonts w:ascii="Times New Roman" w:hAnsi="Times New Roman" w:cs="Times New Roman"/>
          <w:sz w:val="28"/>
          <w:szCs w:val="28"/>
        </w:rPr>
      </w:pPr>
      <w:r>
        <w:rPr>
          <w:rFonts w:ascii="Times New Roman" w:hAnsi="Times New Roman" w:cs="Times New Roman"/>
          <w:sz w:val="28"/>
          <w:szCs w:val="28"/>
        </w:rPr>
        <w:t>Vegetation indices are quantitative measures derived from satellite spectral reflectance, particularly the differential reflection of red and near-infrared (NIR) wavelengths by vegetation available all in Landsat and Sentinel imageries, which allow researchers and environmental managers to assess plant vigoriously and photosynthetic activity (Reddy and Prasad 2018). NDVI, basically operates on the principle that any healthy plants absorb red light for photosynthesis and strongly reflecting NIR radiation, producing values that correlate highly with biomass, productivity, and canopy (Benhizia et al. 2024)). EVI on ther other hand, builds on the limitations of NDVI by incorporating blue band reflectance and correction factors to minimize atmospheric interference and canopy background noise, making it more highly and reliable in humid or densely vegetated tropical (Gaikwad et al. 2025) .Both, have become essential tools for evaluating plant ecosystem health, detecting vegetation stress, monitoring urbanization impacts, and quantifying changes in ecological functioning across landscapes especially in rapidly transforming tropical cities where field data alone are insufficient(Priya et al. 2023; Hassani et al. 2023). Their integration within a same GIS and remote sensing framework enhances the capacity to track reliable and efficient spatio-temporal vegetation patterns, providing robust indicators of ecological degradation, fragmentation, and resilience along urbanization gradients for accurately and acceptable results suitable for policy recommendations (Kamble et al. 2010).</w:t>
      </w:r>
    </w:p>
    <w:p w14:paraId="14EC58C9">
      <w:pPr>
        <w:pStyle w:val="2"/>
        <w:jc w:val="center"/>
        <w:rPr>
          <w:rFonts w:ascii="Times New Roman" w:hAnsi="Times New Roman"/>
          <w:b/>
          <w:bCs/>
          <w:color w:val="auto"/>
        </w:rPr>
      </w:pPr>
      <w:r>
        <w:rPr>
          <w:rFonts w:ascii="Times New Roman" w:hAnsi="Times New Roman"/>
          <w:b/>
          <w:bCs/>
          <w:color w:val="auto"/>
        </w:rPr>
        <w:t>1.1.8 Soil Ecosystem Indicators</w:t>
      </w:r>
    </w:p>
    <w:p w14:paraId="4A16DC07">
      <w:pPr>
        <w:jc w:val="both"/>
        <w:rPr>
          <w:rFonts w:ascii="Times New Roman" w:hAnsi="Times New Roman" w:cs="Times New Roman"/>
          <w:sz w:val="28"/>
          <w:szCs w:val="28"/>
        </w:rPr>
      </w:pPr>
      <w:r>
        <w:rPr>
          <w:rFonts w:ascii="Times New Roman" w:hAnsi="Times New Roman" w:cs="Times New Roman"/>
          <w:sz w:val="28"/>
          <w:szCs w:val="28"/>
        </w:rPr>
        <w:t>Soil ecosystem properties particularly (soil organic carbon (SOC), nitrogen (N), bulk density, pH, and electrical conductivity (EC)) are considered the fundamental measures of soil health and ecological functioning of any soil (Mattoo et al. 2025). SOC serves as a reservoir for a long-term carbon storage and the regulation of soil structure, water retention and nutrient availability, where nitrogen is critical and central to nutrient cycling and plant (Mattoo et al. 2025). Bulk density reflects soil compaction: higher bulk density, often found in urbanized areas, reduces porosity and limits root growth and microbial (Frene et al. 2024; Zhu et al. 2024). Soil pH influences microbial community composition and enzymatic processes, and it proven that urban soils frequently exhibit altered pH due to construction materials and pollution, which in turn affects nutrient (Almendro-Candel et al. 2018). Electrical conductivity provides a measure of soil salinity or ionic strength, influencing nutrient uptake by plants and soil organisms, particularly in degraded or engineered urban (Mu et al. 2024). Together, these indicators are critical because they link physical and chemical soil conditions to ecosystem processes such as carbon sequestration, nutrient cycling, and plant productivity, making them indispensable for assessing how urbanization degrades or transforms below-ground ecological (Macci et al. 2025)).</w:t>
      </w:r>
    </w:p>
    <w:p w14:paraId="6A03DD8B">
      <w:pPr>
        <w:pStyle w:val="2"/>
        <w:jc w:val="center"/>
        <w:rPr>
          <w:rFonts w:ascii="Times New Roman" w:hAnsi="Times New Roman"/>
          <w:b/>
          <w:bCs/>
          <w:color w:val="auto"/>
        </w:rPr>
      </w:pPr>
      <w:r>
        <w:rPr>
          <w:rFonts w:ascii="Times New Roman" w:hAnsi="Times New Roman"/>
          <w:b/>
          <w:bCs/>
          <w:color w:val="auto"/>
        </w:rPr>
        <w:t>1.1.9 Urban Ecology</w:t>
      </w:r>
    </w:p>
    <w:p w14:paraId="0438EF68">
      <w:pPr>
        <w:jc w:val="both"/>
        <w:rPr>
          <w:rFonts w:ascii="Times New Roman" w:hAnsi="Times New Roman" w:cs="Times New Roman"/>
          <w:sz w:val="28"/>
          <w:szCs w:val="28"/>
        </w:rPr>
      </w:pPr>
      <w:r>
        <w:rPr>
          <w:rFonts w:ascii="Times New Roman" w:hAnsi="Times New Roman" w:cs="Times New Roman"/>
          <w:sz w:val="28"/>
          <w:szCs w:val="28"/>
        </w:rPr>
        <w:t xml:space="preserve">City or urban ecology examines how cities as a novel of ecosystems that host human activities and profoundly shape the ecological structure and processes takes place. It is majorly characterized among other indicators by a mosaic of built infrastructure, green patches, remnant fragments, and highly modified environments, which create complex landscapes with unique microclimates and resource distributions all together (Byrne 2024). Fragmentation in real sense and according to (Tanner et al. 2014; Douglas 2017) is a pervasive outcome of urbanization where natural habitats are broken into smaller, isolated patches by roads, buildings, and other infrastructure, species movement, genetic flow, and ecological connectivity decline, contributing to biodiversity loss and functional homogenization. Anthropogenic pressures in the context of ecosystems go beyond fragmentation they include the following: pollution (air, light, noise), invasive species, and altered disturbance regimes, all of which reshuffle community composition toward generalist and disturbance-tolerant species (Wu 2014; McPhearson et al. 2016)2016). In tropical cities, where urban greening opportunities exist but planning is often weak,  we can see these pressures combine to cause significant changes in ecological dynamics, making urban ecology a critical framework for understanding how human-dominated landscapes affect plant diversity, ecosystem functioning, and long-term environmental resilience. </w:t>
      </w:r>
    </w:p>
    <w:p w14:paraId="5120D704">
      <w:pPr>
        <w:pStyle w:val="2"/>
        <w:jc w:val="center"/>
        <w:rPr>
          <w:rFonts w:ascii="Times New Roman" w:hAnsi="Times New Roman"/>
          <w:b/>
          <w:bCs/>
          <w:color w:val="auto"/>
        </w:rPr>
      </w:pPr>
      <w:bookmarkStart w:id="15" w:name="_Toc215220447"/>
      <w:r>
        <w:rPr>
          <w:rFonts w:ascii="Times New Roman" w:hAnsi="Times New Roman"/>
          <w:b/>
          <w:bCs/>
          <w:color w:val="auto"/>
        </w:rPr>
        <w:t>1.2 Review of Related Concepts and Approaches</w:t>
      </w:r>
      <w:bookmarkEnd w:id="15"/>
    </w:p>
    <w:p w14:paraId="5C01C90B">
      <w:pPr>
        <w:pStyle w:val="2"/>
        <w:jc w:val="center"/>
        <w:rPr>
          <w:rFonts w:ascii="Times New Roman" w:hAnsi="Times New Roman"/>
          <w:b/>
          <w:bCs/>
          <w:color w:val="auto"/>
        </w:rPr>
      </w:pPr>
      <w:r>
        <w:rPr>
          <w:rFonts w:ascii="Times New Roman" w:hAnsi="Times New Roman"/>
          <w:b/>
          <w:bCs/>
          <w:color w:val="auto"/>
        </w:rPr>
        <w:t>1.2.1 Land Use / Land Cover Change Detection</w:t>
      </w:r>
    </w:p>
    <w:p w14:paraId="4B8A868F">
      <w:pPr>
        <w:jc w:val="both"/>
        <w:rPr>
          <w:rFonts w:ascii="Times New Roman" w:hAnsi="Times New Roman" w:cs="Times New Roman"/>
          <w:sz w:val="28"/>
          <w:szCs w:val="28"/>
        </w:rPr>
      </w:pPr>
      <w:r>
        <w:rPr>
          <w:rFonts w:ascii="Times New Roman" w:hAnsi="Times New Roman" w:cs="Times New Roman"/>
          <w:sz w:val="28"/>
          <w:szCs w:val="28"/>
        </w:rPr>
        <w:t>LULC change detection is a cornerstone approach in ecological and urban research, involving the use of satellite imagery and remote sensing tools to effectively monitor and evaluate how far human activities and natural processes reshape the landscape over time and place. By leveraging multi-temporal satellite data (Landsat, Sentinel), researchers can map changes in built-up areas, vegetation, water, agriculture and other classes of LULC across decades, offering a retrospective view of urban expansion and ecological (Viana et al. 2019; Dadi et al. 2016). Two most widely used change detection techniques/approaches are post-classification comparison, where independently classified images from different dates are compared to produce “from-to” change maps, and supervised classification, in which training data (from ground truth or high-resolution imagery) guide pixel labeling into discrete land-use classes (Chughtai et al. 2021; Selvaraj and Nagarajan 2022). The post-classification methods often includes constructing transition matrices, which solely quantify how much area in size and percentage has converted from one class (forest) to another (built-up), allowing for clear interpretation of patterns such as urban sprawl or habitat loss (Mas et al. 2017). At a global scene, such methodology have demonstrated effieciently how growing urban cities expand in extent, rising impervious surfaces and leading to consequential loss of vegetated and cropland; locally, studies in Nigeria have employed supervised classification to document dramatic built-up growth at the expense of vegetation over multi-decade periods, underscoring the relevance of change detection for regional ecological assessment and policy-(Tewabe and Fentahun 2020; Halmy et al. 2015)).</w:t>
      </w:r>
    </w:p>
    <w:p w14:paraId="1C58F471">
      <w:pPr>
        <w:pStyle w:val="2"/>
        <w:jc w:val="center"/>
        <w:rPr>
          <w:rFonts w:ascii="Times New Roman" w:hAnsi="Times New Roman"/>
          <w:b/>
          <w:bCs/>
          <w:color w:val="auto"/>
        </w:rPr>
      </w:pPr>
      <w:r>
        <w:rPr>
          <w:rFonts w:ascii="Times New Roman" w:hAnsi="Times New Roman"/>
          <w:b/>
          <w:bCs/>
          <w:color w:val="auto"/>
        </w:rPr>
        <w:t>1.2.2 Plant Diversity Assessment in Urban Environments</w:t>
      </w:r>
    </w:p>
    <w:p w14:paraId="1BA65A63">
      <w:pPr>
        <w:pStyle w:val="2"/>
        <w:jc w:val="center"/>
        <w:rPr>
          <w:rFonts w:ascii="Times New Roman" w:hAnsi="Times New Roman"/>
          <w:b/>
          <w:bCs/>
          <w:color w:val="auto"/>
        </w:rPr>
      </w:pPr>
      <w:r>
        <w:rPr>
          <w:rFonts w:ascii="Times New Roman" w:hAnsi="Times New Roman"/>
          <w:b/>
          <w:bCs/>
          <w:color w:val="auto"/>
        </w:rPr>
        <w:t>1.2.2.1 Vegetation Structure in Urban Landscapes</w:t>
      </w:r>
    </w:p>
    <w:p w14:paraId="57E63871">
      <w:pPr>
        <w:jc w:val="both"/>
        <w:rPr>
          <w:rFonts w:ascii="Times New Roman" w:hAnsi="Times New Roman" w:cs="Times New Roman"/>
          <w:sz w:val="28"/>
          <w:szCs w:val="28"/>
        </w:rPr>
      </w:pPr>
      <w:r>
        <w:rPr>
          <w:rFonts w:ascii="Times New Roman" w:hAnsi="Times New Roman" w:cs="Times New Roman"/>
          <w:sz w:val="28"/>
          <w:szCs w:val="28"/>
        </w:rPr>
        <w:t>The plant and vegetation structure in urban landscapes reflects a complex interplay of species composition, disturbance regimes, and environmental modifications associated with urban development in it totallity. Species composition in cities typically consists of a mix of native species, ornamental plantings, and non-native or invasive species that thrive under altered conditions, leading to biotic homogenization and reduced ecological uniqueness across urban grids which is as a result the high human population (Mitchell et al. 2016; Threlfall et al. 2016). Urban environments are shaped by disturbance gradients known as (rural, peri-urban, and urban) ranging from low-intensity disturbances in peri-urban and suburban green spaces to severe disturbances in city cores where impervious surfaces, pollution, and frequent human activity impose strong filtering pressures on plant (Dobbs et al. 2017). As a result, urban flora (plants) tends to be dominated by disturbance tolerant, fast-growing, generalist species with broad ecological amplitudes, while sensitive and specialist species decline in abundance or disappear entirely (Ossola et al. 2019; Campos-Silva and Piratelli 2021). In tropical cities, including those in Sub-sahara region, the vegetation structure is purely and additionally influenced by informal land-use practices, high population densities, and weak enforcement of green-space policies, which is proven to have contributed to fragmented vegetation patches, reduced canopy cover, and shifts in community composition along the rural-urban (Duan et al. 2024).</w:t>
      </w:r>
    </w:p>
    <w:p w14:paraId="361034E6">
      <w:pPr>
        <w:pStyle w:val="2"/>
        <w:jc w:val="center"/>
        <w:rPr>
          <w:rFonts w:ascii="Times New Roman" w:hAnsi="Times New Roman"/>
          <w:b/>
          <w:bCs/>
          <w:color w:val="auto"/>
        </w:rPr>
      </w:pPr>
      <w:r>
        <w:rPr>
          <w:rFonts w:ascii="Times New Roman" w:hAnsi="Times New Roman"/>
          <w:b/>
          <w:bCs/>
          <w:color w:val="auto"/>
        </w:rPr>
        <w:t>1.2.2.2 Biodiversity Indices</w:t>
      </w:r>
    </w:p>
    <w:p w14:paraId="26CA19F9">
      <w:pPr>
        <w:jc w:val="both"/>
        <w:rPr>
          <w:rFonts w:ascii="Times New Roman" w:hAnsi="Times New Roman" w:cs="Times New Roman"/>
          <w:sz w:val="28"/>
          <w:szCs w:val="28"/>
        </w:rPr>
      </w:pPr>
      <w:r>
        <w:rPr>
          <w:rFonts w:ascii="Times New Roman" w:hAnsi="Times New Roman" w:cs="Times New Roman"/>
          <w:sz w:val="28"/>
          <w:szCs w:val="28"/>
        </w:rPr>
        <w:t>The plant biodiversity indices are essential tools used to quantify patterns of species richness and distribution in ecological studies, particularly within human-modified environments such as urban gradients (the rural, peri-urban, and urban). The Shannon-Wiener Index (H′) measures diversity by incorporating 1) the number of species and 2) the proportional abundance of each, making it sensitive to rare species and useful for detecting subtle ecological changes across disturbance gradients evidently utilized in this study(Kitikidou et al. 2024). The Simpson Index (1–D) emphasizes majorly on the dominance structure of plant communities (species) and also, it is particularly effective for identifying whether a few disturbance-tolerant species disproportionately dominate urban habitats (Ali et al. 2025). Species Evenness (E) complements these other indices by evaluating how uniformly individuals are distributed among species, offering insight into community (speies) stability and ecological balance in a given loaction at a given timewhich is well docummented in this study (Bayat et al. 2021). Jointly, these indices are widely uitilized in urban ecological monitoring because they provide robust indicators of habitat quality, disturbance intensity, and biotic homogenization, especially in areas experiencing rapid land-use transformation for a sound sound result and provision of data driving policy implementation for envrironmental managers and other stakeholders (Stamin and Cosmulescu 2025). Recent studies across tropical and subtropical cities have successfully employed; 1) Shannon, 2) Simpson, and 3) evenness indices to track the trend of biodiversity loss, identify dominance species patterns, and compare the whole plant ecosystem structures along rural-urban gradients, demonstrating their reliability and relevance for understanding how urbanization alters ecological integrity (Watermeyer et al. 2021; Vačkář et al. 2012).</w:t>
      </w:r>
    </w:p>
    <w:p w14:paraId="325324B3">
      <w:pPr>
        <w:pStyle w:val="2"/>
        <w:jc w:val="center"/>
        <w:rPr>
          <w:rFonts w:ascii="Times New Roman" w:hAnsi="Times New Roman"/>
          <w:b/>
          <w:bCs/>
          <w:color w:val="auto"/>
        </w:rPr>
      </w:pPr>
      <w:r>
        <w:rPr>
          <w:rFonts w:ascii="Times New Roman" w:hAnsi="Times New Roman"/>
          <w:b/>
          <w:bCs/>
          <w:color w:val="auto"/>
        </w:rPr>
        <w:t>1.2.2.3 Statistical Analysis of Plant Diversity</w:t>
      </w:r>
    </w:p>
    <w:p w14:paraId="3AB3A631">
      <w:pPr>
        <w:jc w:val="both"/>
        <w:rPr>
          <w:rFonts w:ascii="Times New Roman" w:hAnsi="Times New Roman" w:cs="Times New Roman"/>
          <w:sz w:val="28"/>
          <w:szCs w:val="28"/>
        </w:rPr>
      </w:pPr>
      <w:r>
        <w:rPr>
          <w:rFonts w:ascii="Times New Roman" w:hAnsi="Times New Roman" w:cs="Times New Roman"/>
          <w:sz w:val="28"/>
          <w:szCs w:val="28"/>
        </w:rPr>
        <w:t>Comparing plant diversity across urbanization gradients is often relied on the one-way ANOVA to test whether mean diversity indices (Shannon H′, Simpson's 1–D, evenness) differ significantly among zones (rural, peri-urban, urban), as it partitions variance among groups and evaluates if between-group variation exceeds within-group noise as perfectly outlined in this study (Soto-Navarro et al. 2021). However, the validity of ANOVA depends on key assumptions 1) normality of residuals, 2) homogeneity of variances, and 3) independence of observations which are frequently violated in ecological community data, especially for diversity indices derived from species counts (Mohammadi and Prasanna 2003). To address this, ecologists first perform diagnostic tests such as the 1) Shapiro-Wilk test for normality and 2) Levene’s test (or Bartlett’s) for equal variances; if assumptions hold, standard ANOVA followed by post-hoc comparisons (Tukey’s HSD) is appropriate (Weng et al. 2006). When these assumptions are not met, non-parametric alternatives such as the 1) Kruskal-Walli’s test (a rank-based analog to 2) one-way ANOVA) provide a robust method for comparing medians or distributions across more than two groups without assuming normality in comparative scales like the urban gradients shown in this study (Gerstner et al. 2014). This approach has been successfully applied in urban ecological studies: for example, researchers comparing spontaneous plant species richness along an urbanization gradient used Kruskal-Wallis to detect significant differences in (Fu et al. 2004). By combining 1) parametric (ANOVA) and 2) non-parametric (Kruskal-Wallis) tests in diversity analysis, the research ensures methodological rigor, which accommodates non-normal ecological data, and enhances the reliability of inferences about howvv urbanization influences plant community diversity.</w:t>
      </w:r>
    </w:p>
    <w:p w14:paraId="18FB845D">
      <w:pPr>
        <w:pStyle w:val="2"/>
        <w:jc w:val="center"/>
        <w:rPr>
          <w:rFonts w:ascii="Times New Roman" w:hAnsi="Times New Roman"/>
          <w:b/>
          <w:bCs/>
          <w:color w:val="auto"/>
        </w:rPr>
      </w:pPr>
      <w:r>
        <w:rPr>
          <w:rFonts w:ascii="Times New Roman" w:hAnsi="Times New Roman"/>
          <w:b/>
          <w:bCs/>
          <w:color w:val="auto"/>
        </w:rPr>
        <w:t>1.2.3 Ecosystem Functioning Across Urban Gradients</w:t>
      </w:r>
    </w:p>
    <w:p w14:paraId="0411A01B">
      <w:pPr>
        <w:jc w:val="both"/>
        <w:rPr>
          <w:rFonts w:ascii="Times New Roman" w:hAnsi="Times New Roman" w:cs="Times New Roman"/>
          <w:sz w:val="28"/>
          <w:szCs w:val="28"/>
        </w:rPr>
      </w:pPr>
      <w:r>
        <w:rPr>
          <w:rFonts w:ascii="Times New Roman" w:hAnsi="Times New Roman" w:cs="Times New Roman"/>
          <w:sz w:val="28"/>
          <w:szCs w:val="28"/>
        </w:rPr>
        <w:t>Urban growth significantly alters 1) ecosystem productivity by reshaping thermal environments, 2) soil properties, and 3) vegetation health. Thus, the studies along urban-rural gradients shows that plant photosynthesis and productivity, often measured via proxies like 1). GPPₘₐₓ and 2). EVIₘₐₓ, decline with increasing urban intensity, indicating that dense development suppresses vegetation functionality as proven in this study (Stohlgren, 2007). For example, in the Yangtze River Delta, urbanization was found to reduce photosynthetic capacity in forests, grasslands, and wetlands, with both direct and indirect effects constraining vegetation growth. Interestingly, the study demonstrated that indirect effects such as reduced surface area can sometimes offset or worsen the direct losses in productivity (Pinho et al. 2021).</w:t>
      </w:r>
    </w:p>
    <w:p w14:paraId="3337E7C1">
      <w:pPr>
        <w:jc w:val="both"/>
        <w:rPr>
          <w:rFonts w:ascii="Times New Roman" w:hAnsi="Times New Roman" w:cs="Times New Roman"/>
          <w:sz w:val="28"/>
          <w:szCs w:val="28"/>
        </w:rPr>
      </w:pPr>
      <w:r>
        <w:rPr>
          <w:rFonts w:ascii="Times New Roman" w:hAnsi="Times New Roman" w:cs="Times New Roman"/>
          <w:sz w:val="28"/>
          <w:szCs w:val="28"/>
        </w:rPr>
        <w:t>Soil degradation is another critical consequence. Various research works shows that urbanization lead to dractical reduction in soil organic carbon (SOC) and nitrogen along urban gradients which also leads to the disruption of nutrient cycling and soil structure as reported in this study (Samhouri et al. 2022). This deterioration undermines soil’s capacity to support plant growth, store carbon, and maintain microbial activity. In line with this, it is evidently proven in a more recent work on soil bacterial communities reveal lower total organic carbon and nitrogen in highly urbanized zones, often accompanied by increased soil pH and accumulation of heavy metals, which can further impair ecological processes (Weiskopf et al. 2024).</w:t>
      </w:r>
    </w:p>
    <w:p w14:paraId="02C29695">
      <w:pPr>
        <w:jc w:val="both"/>
        <w:rPr>
          <w:rFonts w:ascii="Times New Roman" w:hAnsi="Times New Roman" w:cs="Times New Roman"/>
          <w:sz w:val="28"/>
          <w:szCs w:val="28"/>
        </w:rPr>
      </w:pPr>
      <w:r>
        <w:rPr>
          <w:rFonts w:ascii="Times New Roman" w:hAnsi="Times New Roman" w:cs="Times New Roman"/>
          <w:sz w:val="28"/>
          <w:szCs w:val="28"/>
        </w:rPr>
        <w:t>Moreover, the urban heat island (UHI) effect exacerbates stress on vegetation in cities. Higher land surface temperatures in urban centers reduce evapotranspiration and increase plant heat stress, while lower vegetation cover and water content amplify thermal discomfort (Alberti 2010). Likely, in tropical and humid cities, vegetation’s cooling effect also reverse under certain conditions a dense, physiologically active foliage can raise humidity and heat stress at night, showing complex interactions between plant function and microclimate (Larondelle and Haase 2013).</w:t>
      </w:r>
    </w:p>
    <w:p w14:paraId="7E177FD5">
      <w:pPr>
        <w:jc w:val="both"/>
        <w:rPr>
          <w:rFonts w:ascii="Times New Roman" w:hAnsi="Times New Roman" w:cs="Times New Roman"/>
          <w:sz w:val="28"/>
          <w:szCs w:val="28"/>
        </w:rPr>
      </w:pPr>
      <w:r>
        <w:rPr>
          <w:rFonts w:ascii="Times New Roman" w:hAnsi="Times New Roman" w:cs="Times New Roman"/>
          <w:sz w:val="28"/>
          <w:szCs w:val="28"/>
        </w:rPr>
        <w:t>Lastly, some literatures suggested that warming induced by urbanization can unintentionally boost vegetation growth under specific thermal conditions (Alberti 2005). For example, in rapidly urbanizing agglomerations, rising temperatures have been connected to increased net primary productivity (NPP), driven largely by the thermal environment rather than other environmental factors (Alberti 2005). This paradox underscores the nuanced role of urban warming and also it can degrade ecosystem functioning in many contexts, under certain thermal regimes it might enhance productivity, revealing a complex, context-dependent relationship between urbanization and ecological processes.</w:t>
      </w:r>
    </w:p>
    <w:p w14:paraId="669006F0">
      <w:pPr>
        <w:pStyle w:val="2"/>
        <w:jc w:val="center"/>
        <w:rPr>
          <w:rFonts w:ascii="Times New Roman" w:hAnsi="Times New Roman"/>
          <w:b/>
          <w:bCs/>
          <w:color w:val="auto"/>
        </w:rPr>
      </w:pPr>
      <w:r>
        <w:rPr>
          <w:rFonts w:ascii="Times New Roman" w:hAnsi="Times New Roman"/>
          <w:b/>
          <w:bCs/>
          <w:color w:val="auto"/>
        </w:rPr>
        <w:t>1.2.4 Vegetation Indices in Urban Ecology Research</w:t>
      </w:r>
    </w:p>
    <w:p w14:paraId="3E671FFF">
      <w:pPr>
        <w:jc w:val="both"/>
        <w:rPr>
          <w:rFonts w:ascii="Times New Roman" w:hAnsi="Times New Roman" w:cs="Times New Roman"/>
          <w:sz w:val="28"/>
          <w:szCs w:val="28"/>
        </w:rPr>
      </w:pPr>
      <w:r>
        <w:rPr>
          <w:rFonts w:ascii="Times New Roman" w:hAnsi="Times New Roman" w:cs="Times New Roman"/>
          <w:sz w:val="28"/>
          <w:szCs w:val="28"/>
        </w:rPr>
        <w:t>Vegetation indices such as NDVI and EVI are widely used in urban ecological research to monitor greenness, productivity, and vegetation health in response to land-use changes. The NDVI is a fundamental biodiversity index derived from red and near-infrared (NIR) reflectance; where the high NDVI values typically indicate dense, photosynthetically active vegetation, while low NDVI values point to sparser or stressed vegetation cover (Sun et al. 2021). However, in a typical densely vegetated or built-up urban settings, Enhanced Vegetation Index often outperforms NDVI because it includes a blue-band correction to reduce atmospheric and soil background noise, making it more reliable for measuring vegetation in complex or high-biomass areas as typical highlighted in the study by (Davis et al. 2023). Many researchers over the years have employed both indices to detect vegetation loss over long and short period of time, map “green space” dynamics, and assess the impact of urban expansion: for example, NDVI declines have been correlated with increasing impervious surfaces in tropical and temperate cities, signaling ecological degradation (Kumar 2015; Halder and Bose 2024). In addition, some studies have connected the long-term trends in NDVI and EVI with land-use transformation, showing that urban greening or degradation can be quantified and spatially mapped to guide city planning and sustainability efforts (Jiao et al. 2021; Rumora et al. 2021). Collectively, when used together, these indices provide robust and scalable measures for assessing ecosystem health in urban environments, particularly when field measurements are impractical or limited as studied by Rumora et al. 2021.</w:t>
      </w:r>
    </w:p>
    <w:p w14:paraId="15434850">
      <w:pPr>
        <w:pStyle w:val="2"/>
        <w:jc w:val="center"/>
        <w:rPr>
          <w:rFonts w:ascii="Times New Roman" w:hAnsi="Times New Roman"/>
          <w:b/>
          <w:bCs/>
          <w:color w:val="auto"/>
        </w:rPr>
      </w:pPr>
      <w:r>
        <w:rPr>
          <w:rFonts w:ascii="Times New Roman" w:hAnsi="Times New Roman"/>
          <w:b/>
          <w:bCs/>
          <w:color w:val="auto"/>
        </w:rPr>
        <w:t>1.2.5 Soil Quality and Urbanization</w:t>
      </w:r>
    </w:p>
    <w:p w14:paraId="5139F443">
      <w:pPr>
        <w:jc w:val="both"/>
        <w:rPr>
          <w:rFonts w:ascii="Times New Roman" w:hAnsi="Times New Roman" w:cs="Times New Roman"/>
          <w:sz w:val="28"/>
          <w:szCs w:val="28"/>
        </w:rPr>
      </w:pPr>
      <w:r>
        <w:rPr>
          <w:rFonts w:ascii="Times New Roman" w:hAnsi="Times New Roman" w:cs="Times New Roman"/>
          <w:sz w:val="28"/>
          <w:szCs w:val="28"/>
        </w:rPr>
        <w:t>Urban growth in it real form exerts strong pressure on soil quality through construction activities, land conversion, and the proliferation of impervious surfaces, all of which alter the physical and biochemical properties of soils and diminish their ecological function. The replacement of natural vegetation with buildings, roads, and compacted surfaces (human activities) have significant influence on organic matter inputs, disrupts soil aggregation, and accelerates erosion, thereby lowering soil organic carbon (SOC) and total nitrogen two core indicators of soil fertility and ecosystem functioning (Sathish et al. 2024; Chen 2007). Various and past studies, in both tropical and subtropical cities have revealed that SOC and nitrogen significantly reduced along urbanization gradients as vegetation cover decreases and soil disturbance intensifies as well outlined in this study (Durdu et al. 2023). In addition, the urban soils frequently exhibit higher bulk density due to the compaction from heavy machinery for construction purposes, foot traffic, and infrastructure loading; this in turn reduces porosity, infiltration rate, and root penetration, ultimately impairing water retention and nutrient cycling as well indicated and pointed out by this study (Ahn et al. 2024; Xiao et al. 2013) .The cumulative effects of these processes shape plant ecosystem structure by favoring disturbance-tolerant, shallow-rooted, or invasive species and suppressing native or specialist species that require stable, nutrient-rich, and well-aerated soils (Zhiyanski et al. 2017; Salvati et al. 2014) . Consequently, soil degradation becomes a major driver of biodiversity loss and diminished ecosystem resilience in rapidly expanding tropical urban environments all over the world.</w:t>
      </w:r>
    </w:p>
    <w:p w14:paraId="375C87F4">
      <w:pPr>
        <w:pStyle w:val="2"/>
        <w:jc w:val="center"/>
        <w:rPr>
          <w:rFonts w:ascii="Times New Roman" w:hAnsi="Times New Roman"/>
          <w:b/>
          <w:bCs/>
          <w:color w:val="auto"/>
        </w:rPr>
      </w:pPr>
      <w:r>
        <w:rPr>
          <w:rFonts w:ascii="Times New Roman" w:hAnsi="Times New Roman"/>
          <w:b/>
          <w:bCs/>
          <w:color w:val="auto"/>
        </w:rPr>
        <w:t>1.2.6 Urbanization Indicators and Ecological Impacts</w:t>
      </w:r>
    </w:p>
    <w:p w14:paraId="73D87EC5">
      <w:pPr>
        <w:jc w:val="both"/>
        <w:rPr>
          <w:rFonts w:ascii="Times New Roman" w:hAnsi="Times New Roman" w:cs="Times New Roman"/>
          <w:sz w:val="28"/>
          <w:szCs w:val="28"/>
        </w:rPr>
      </w:pPr>
      <w:r>
        <w:rPr>
          <w:rFonts w:ascii="Times New Roman" w:hAnsi="Times New Roman" w:cs="Times New Roman"/>
          <w:sz w:val="28"/>
          <w:szCs w:val="28"/>
        </w:rPr>
        <w:t>Urban growth indicators such as built-up density, night-time lights, and population density among others provide powerful quantitative indicators for assessing the intensity of human activities and their ecological consequences in rapidly changing landscapes across the globe (Lin et al. 2021). Built-up density or percentage which is derived from land-cover classification or impervious surface mapping captures the spatial extent of construction and infrastructure expansion, which often correlates with habitat loss, vegetation decline, and soil (Lin et al. 2021). Night-time lights (NTL), particularly derived from VIIRS-DNB and similar sensors, serve as reliable proxies for 1) anthropogenic intensity, 2( urban energy consumption, and 3) socio-economic activity, which have been widely used to model ecological stress, biodiversity loss, and surface temperature dynamics in urban ecosystems as outlined and stressed out by (McDaniel and O’Donnell 2019; Zhang et al. 2022) . Population density, on the other hand, remains one of the most widely used measures of human pressure, as the rising in human population concentrations intensify land demand, increase pollution, and amplify disturbances that reduce ecological integrity (Reid et al. 2024). Studies in global, and some part Asia, some part in South America, and Europe have demonstrated stronger associations between the high urbanization indicators values and reduced vegetation cover, altered ecosystem functioning, and fragmentation of green spaces (Marlow and Griffen 2025; Moll et al. 2019). African case studies including those in Nigeria, Ghana, Kenya, and South Africa consistently show and have also proven beyond doubt that increasing built-up density and night-time luminosity correspond with diminished NDVI/EVI values, rising land surface temperatures, declining soil fertility, and reduced species richness, emphasizing the vulnerability of tropical and sub-Saharan ecosystems to rapid urban expansion (Zhang et al. 2018; Moll et al. 2019).</w:t>
      </w:r>
    </w:p>
    <w:p w14:paraId="53843151">
      <w:pPr>
        <w:pStyle w:val="2"/>
        <w:jc w:val="center"/>
        <w:rPr>
          <w:rFonts w:ascii="Times New Roman" w:hAnsi="Times New Roman"/>
          <w:b/>
          <w:bCs/>
          <w:color w:val="auto"/>
        </w:rPr>
      </w:pPr>
      <w:r>
        <w:rPr>
          <w:rFonts w:ascii="Times New Roman" w:hAnsi="Times New Roman"/>
          <w:b/>
          <w:bCs/>
          <w:color w:val="auto"/>
        </w:rPr>
        <w:t>1.2.7 Statistical and Modelling Approaches in Urban Ecology</w:t>
      </w:r>
    </w:p>
    <w:p w14:paraId="3724FDFF">
      <w:pPr>
        <w:jc w:val="both"/>
        <w:rPr>
          <w:rFonts w:ascii="Times New Roman" w:hAnsi="Times New Roman" w:cs="Times New Roman"/>
          <w:sz w:val="28"/>
          <w:szCs w:val="28"/>
        </w:rPr>
      </w:pPr>
      <w:r>
        <w:rPr>
          <w:rFonts w:ascii="Times New Roman" w:hAnsi="Times New Roman" w:cs="Times New Roman"/>
          <w:sz w:val="28"/>
          <w:szCs w:val="28"/>
        </w:rPr>
        <w:t>Statistical modelling plays a central and crital role in the urban ecology studies by enabling researchers to quantify relationships between ecological indicators and urbanization metrics (indicators). one out of many of these statistical models is the Multiple linear regression which remains one of the most widely used tools for examining how environmental variables respond to anthropogenic pressures also known as (human activities), allowing ecological studies to interpret the direction and magnitude of predictor effects through model coefficients while controlling for collinearity and confounding (Taheri Shahraiyni and Sodoudi 2016). In most and recent vegetation studies, regression models were frequently employed to connect NDVI with the urban predictors to provide effective and reliable insights into how urban intensity and expansion have drived the most changes in vegetation productivity and ecosystem functioning (Wang et al. 2022; King 2014). Beyond classical statistics, machine learning innovations particularly the Random Forest (RF) has become a preferred technique for most remote sensing-based land-use/land-cover (LULC) classification due to its non-parametric nature, ability to handle complex nonlinear relationships, and robustness in the presence of noisy, high-dimensional (Garamszegi 2011). RF classifiers have routinely outperform traditional well known and used supervised classification approach such as maximum likelihood or minimum-distance algorithms by generating 1) higher accuracy, 2) reducing overfitting through ensemble averaging, and efficiently ranking variable importance during classification as highlighted by the studies concted by (Xu et al. 2024; Song et al. 2025). Lastly in a most recent study conducted in the tropical and sub-Saharan African cities have demonstrated that RF provides superior performance for mapping built-up areas, vegetation classes, and peri-urban mosaics, making it especially valuable for analyzing urban expansion and its ecological impacts (Urban 2005).</w:t>
      </w:r>
    </w:p>
    <w:p w14:paraId="0BB8AA98">
      <w:pPr>
        <w:pStyle w:val="2"/>
        <w:jc w:val="center"/>
        <w:rPr>
          <w:rFonts w:ascii="Times New Roman" w:hAnsi="Times New Roman"/>
          <w:b/>
          <w:bCs/>
          <w:color w:val="auto"/>
        </w:rPr>
      </w:pPr>
      <w:bookmarkStart w:id="16" w:name="_Toc215220458"/>
      <w:r>
        <w:rPr>
          <w:rFonts w:ascii="Times New Roman" w:hAnsi="Times New Roman"/>
          <w:b/>
          <w:bCs/>
          <w:color w:val="auto"/>
        </w:rPr>
        <w:t>1.3 Theoretical Framework</w:t>
      </w:r>
      <w:bookmarkEnd w:id="16"/>
    </w:p>
    <w:p w14:paraId="46754623">
      <w:pPr>
        <w:pStyle w:val="2"/>
        <w:jc w:val="center"/>
        <w:rPr>
          <w:rFonts w:ascii="Times New Roman" w:hAnsi="Times New Roman"/>
          <w:b/>
          <w:bCs/>
          <w:color w:val="auto"/>
        </w:rPr>
      </w:pPr>
      <w:bookmarkStart w:id="17" w:name="_Toc215220459"/>
      <w:r>
        <w:rPr>
          <w:rFonts w:ascii="Times New Roman" w:hAnsi="Times New Roman"/>
          <w:b/>
          <w:bCs/>
          <w:color w:val="auto"/>
        </w:rPr>
        <w:t>1.3.1 Landscape Ecology Theory</w:t>
      </w:r>
      <w:bookmarkEnd w:id="17"/>
    </w:p>
    <w:p w14:paraId="0B5ED7E7">
      <w:pPr>
        <w:pStyle w:val="2"/>
        <w:jc w:val="center"/>
        <w:rPr>
          <w:rFonts w:ascii="Times New Roman" w:hAnsi="Times New Roman"/>
          <w:b/>
          <w:bCs/>
          <w:color w:val="auto"/>
        </w:rPr>
      </w:pPr>
      <w:r>
        <w:rPr>
          <w:rFonts w:ascii="Times New Roman" w:hAnsi="Times New Roman"/>
          <w:b/>
          <w:bCs/>
          <w:color w:val="auto"/>
        </w:rPr>
        <w:t>1.3.1 Landscape Ecology Theory</w:t>
      </w:r>
    </w:p>
    <w:p w14:paraId="508D6593">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Landscape Ecology Theory provides a foundational lens for understanding how the spatial patterns within a landscape has influence and impacted key ecological processes, particularly in rapidly the face of rising urbanizing environments. Most central and critical part to this theory is the patch-matrix-corridor model, which ideally conceptualized landscapes as mosaics of habitat patches embedded within a broader matrix and connected by ecological corridors, all of which shape species distribution, gene flow, and ecosystem functioning (Turner et al. 2001). Urban growth disrupts this configuration by increasing fragmentation, reducing patch size, and the absolute altering of connectivity, often creating the isolated green spaces surrounded by impermeable built-up matrices that constrain plant dispersal and diminish as documented in this study conducted by (Naveh and Lieberman 2013). The theory emphasizes spatial heterogeneity the variation in landscape elements across space which becomes more pronounced as urban growth introduces sharp ecological gradients between rural, peri-urban, and urban (Turner et al. 2001). These observable spatial changes are closely tied to the LULC dynamics that took place over time and space, where the expansion of built-up surfaces transforms 1) natural habitats, 2) reduces vegetation cover, and 3) modifies microclimates, ultimately influencing the composition, diversity, and resilience of plant communities (Kirchhoff, et al. 2013). In this way, the Landscape Ecology Theory provides a robust framework for the interpretation of how spatial restructuring that is driven by urbanization (urban expansion) shapes ecological patterns observed in Makurdi and Otukpo.</w:t>
      </w:r>
    </w:p>
    <w:p w14:paraId="5B7E9C21">
      <w:pPr>
        <w:pStyle w:val="2"/>
        <w:jc w:val="center"/>
        <w:rPr>
          <w:rFonts w:ascii="Times New Roman" w:hAnsi="Times New Roman"/>
          <w:b/>
          <w:bCs/>
          <w:color w:val="auto"/>
        </w:rPr>
      </w:pPr>
      <w:r>
        <w:rPr>
          <w:rFonts w:ascii="Times New Roman" w:hAnsi="Times New Roman"/>
          <w:b/>
          <w:bCs/>
          <w:color w:val="auto"/>
        </w:rPr>
        <w:t>1.3.2 Species Area Relationship (SAR) Theory</w:t>
      </w:r>
    </w:p>
    <w:p w14:paraId="23389520">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SAR theory, on the other hand, posits that species richness increases with habitat area and, conversely, declines as the habitat size is reduced, this is a principle that is highly relevant to urban ecological studies where land conversion and fragmentation are prevalent and evident. According to Pan 2013, in the urban environments scenario, the progressive reduction of natural habitats through construction, the infrastructure expansion, and other landscape modifications often leads to measurable declines in species richness, as smaller and isolated patches can support fewer species and are more vulnerable to ecological disturbances (Pan 2013). SAR as a reliable theory provides a predictive framework for estimating biodiversity loss along rural-urban gradient scale which is achieve by quantifying how decreasing vegetated area and increasing impervious surfaces alter the capacity of landscapes to sustain diverse plant communities (Franzén et al. 2012). The application of this theory in the urban ecology has proven valuable for 1) anticipating threshold effects, 2) identifying patches at risk of local extinction, and 3) guiding green-space planning to maintain minimum habitat sizes necessary for ecological stability (Turner et al. 2001). In the context of the tropical and African cities, recent studies have confirmed that SAR-based predictions align closely with observed declines in native plants, highlighting the close sensitivity of plant diversity to the spatial reduction and also the importance of conserving the continuous or connected green areas within expanding urban matrices (Drakare et al. 2006).</w:t>
      </w:r>
    </w:p>
    <w:p w14:paraId="4CBDBF1F">
      <w:pPr>
        <w:pStyle w:val="2"/>
        <w:jc w:val="center"/>
        <w:rPr>
          <w:rFonts w:ascii="Times New Roman" w:hAnsi="Times New Roman"/>
          <w:b/>
          <w:bCs/>
          <w:color w:val="auto"/>
        </w:rPr>
      </w:pPr>
      <w:r>
        <w:rPr>
          <w:rFonts w:ascii="Times New Roman" w:hAnsi="Times New Roman"/>
          <w:b/>
          <w:bCs/>
          <w:color w:val="auto"/>
        </w:rPr>
        <w:t>1.3.3 Intermediate Disturbance Hypothesis (IDH)</w:t>
      </w:r>
    </w:p>
    <w:p w14:paraId="2659E194">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third theory, (IDH) proposes that species diversity is maximized at moderate levels of disturbance, whereas very low or very high disturbance results in reduced diversity due to competitive exclusion or severe habitat alteration, respectively. This concept is highly relevant to urban ecological studies, where disturbance intensity typically increases from rural to peri-urban to urban zones. Moi et al., 2020 in their study, stated that the Peri-urban areas often exhibit the highest plant diversity because they experience intermediate disturbance levels enough to prevent dominance by a few competitive species, yet not so intense as to eliminate habitat structure or resource availability.  In contrast, Fox 2013 in his study, also deduced that, rural areas with minimal disturbance may favor competitive exclusion leading to lower functional redundancy, while heavily built-up urban cores often show simplified plant communities dominated by disturbance-tolerant or invasive species.In their study also, Sheil and Burslem 2013, suggested that applying IDH to urban gradients provides a theoretical explanation for observed patterns of species richness, especially in tropical cities where land-use change creates heterogeneous mosaics of agricultural fields, fallow lands, remnant vegetation patches, and built-up. A recent empirical study on urban landscapes confirm that theb intermediate disturbance conditions typical of peri-urban zones frequently support the highest levels of herbaceous and woody plant diversity, validating IDH as a useful framework for interpreting biodiversity responses to urbanization (Gao and Carmel 2020).</w:t>
      </w:r>
    </w:p>
    <w:p w14:paraId="612FB205">
      <w:pPr>
        <w:pStyle w:val="2"/>
        <w:jc w:val="center"/>
        <w:rPr>
          <w:rFonts w:ascii="Times New Roman" w:hAnsi="Times New Roman"/>
          <w:b/>
          <w:bCs/>
          <w:color w:val="auto"/>
        </w:rPr>
      </w:pPr>
      <w:r>
        <w:rPr>
          <w:rFonts w:ascii="Times New Roman" w:hAnsi="Times New Roman"/>
          <w:b/>
          <w:bCs/>
          <w:color w:val="auto"/>
        </w:rPr>
        <w:t>1.3.4 Urban Scaling Theory</w:t>
      </w:r>
    </w:p>
    <w:p w14:paraId="7DCD600D">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Burger et al. 2022 posit Urban Scaling Theory (UST) provides a quantitative framework for understanding how different characteristics of cities such as population size, built-up density, infrastructure demand, and resource consumption scale in predictable, nonlinear ways with urban growth (). According to UST, many urban indicators follow power-law relationships, where biological, economic, and infrastructural variables do not increase proportionally but instead exhibit superlinear or sublinear scaling depending on the nature of the process involved (Bettencourt et al. 2020; Bettencourt and Lobo 2016). For ecological studies, this theory is especially relevant because rapid increases in population density and anthropogenic activity often produce disproportionately large environmental impacts, including intensified land conversion, highly heat island effects, and accelerated resource depletion as cities tend to grow beyond certain limit acording to the study by (Pumain et al. 2006). Urban scaling therefore provides a conceptual lens for interpreting why ecological pressures such as vegetation loss, soil degradation, and biodiversity decline tend to escalate more rapidly in larger cities than in smaller settlements (Thompson and Kao‐Kniffin 2017) . Similarly, in the context of urban gradients, UST helps to explain how increases in population density/growth and built-up density can lead to nonlinear ecological responses, highlighting the importance of quantifying both demographic and spatial indicators when assessing ecosystem quality in urbanizing landscapes with the visible urban gradients.</w:t>
      </w:r>
    </w:p>
    <w:p w14:paraId="4AEAC4B0">
      <w:pPr>
        <w:pStyle w:val="2"/>
        <w:jc w:val="center"/>
        <w:rPr>
          <w:rFonts w:ascii="Times New Roman" w:hAnsi="Times New Roman"/>
          <w:b/>
          <w:bCs/>
          <w:color w:val="auto"/>
        </w:rPr>
      </w:pPr>
      <w:r>
        <w:rPr>
          <w:rFonts w:ascii="Times New Roman" w:hAnsi="Times New Roman"/>
          <w:b/>
          <w:bCs/>
          <w:color w:val="auto"/>
        </w:rPr>
        <w:t>1.3.5 Ecosystem Function Theory</w:t>
      </w:r>
    </w:p>
    <w:p w14:paraId="2B88786B">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Ecosystem Function Theory explains how biological communities regulate key ecological processes such as the elementary productivity, nutrient cycling, decomposition, soil formation, and energy (Srivastava and Vellend 2005; Reynolds 2002). Central to the theory is the idea that biodiversity particularly plant diversity plays a fundamental role in stabilizing and enhancing these ecosystem functions just like Loreau 2000 highlighted in his study. In accordance to Daily and Matson 2008, the theoretical foundation is vital for understanding the how of the vegetation patterns shift along visible urbanization gradients, where biodiversity loss often translates into reduced ecosystem functioning, poorer soil conditions, and diminished ecological resilience.</w:t>
      </w:r>
    </w:p>
    <w:p w14:paraId="2D806A9A">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theory also provides the conceptual basis for linking remote sensing indices such as NDVI and the EVI to ecological processes. Since NDVI and EVI capture differences in chlorophyll abundance, canopy density, and vegetation vigor, they serve as proxies for photosynthetic activity and aboveground productivity key aspects of ecosystem functioning. Daily and Matson 2008 state that, in areas with higher plant diversity, productivity tends to be more stable and robust, which is often detectable as consistently higher (NDVI/EVI). Conversely, in highly urbanized areas where vegetation is sparse or stressed, these indices typically decline, reflecting impaired ecosystem (Turnbull et al. 2016). By integrating biodiversity assessments with spectral indicators, researchers can now assess how these urban growth and expansion have modifies the ecological processes across spatial gradients, making Ecosystem Function Theory a critical foundation for studies linking plant diversity, soil conditions, and remote-sensing-based vegetation indicators (Turnbull et al. 2016).</w:t>
      </w:r>
    </w:p>
    <w:p w14:paraId="603A112D">
      <w:pPr>
        <w:pStyle w:val="2"/>
        <w:jc w:val="center"/>
        <w:rPr>
          <w:rFonts w:ascii="Times New Roman" w:hAnsi="Times New Roman"/>
          <w:b/>
          <w:bCs/>
          <w:color w:val="auto"/>
        </w:rPr>
      </w:pPr>
      <w:r>
        <w:rPr>
          <w:rFonts w:ascii="Times New Roman" w:hAnsi="Times New Roman"/>
          <w:b/>
          <w:bCs/>
          <w:color w:val="auto"/>
        </w:rPr>
        <w:t>1.4 Empirical Review</w:t>
      </w:r>
    </w:p>
    <w:p w14:paraId="0BACD9AE">
      <w:pPr>
        <w:pStyle w:val="2"/>
        <w:jc w:val="center"/>
        <w:rPr>
          <w:rFonts w:ascii="Times New Roman" w:hAnsi="Times New Roman"/>
          <w:b/>
          <w:bCs/>
          <w:color w:val="auto"/>
        </w:rPr>
      </w:pPr>
      <w:r>
        <w:rPr>
          <w:rFonts w:ascii="Times New Roman" w:hAnsi="Times New Roman"/>
          <w:b/>
          <w:bCs/>
          <w:color w:val="auto"/>
        </w:rPr>
        <w:t>1.4.1 Global Studies</w:t>
      </w:r>
    </w:p>
    <w:p w14:paraId="629542E6">
      <w:pPr>
        <w:jc w:val="both"/>
        <w:rPr>
          <w:rFonts w:ascii="Times New Roman" w:hAnsi="Times New Roman" w:cs="Times New Roman"/>
          <w:sz w:val="28"/>
          <w:szCs w:val="28"/>
        </w:rPr>
      </w:pPr>
      <w:r>
        <w:rPr>
          <w:rFonts w:ascii="Times New Roman" w:hAnsi="Times New Roman" w:cs="Times New Roman"/>
          <w:sz w:val="28"/>
          <w:szCs w:val="28"/>
        </w:rPr>
        <w:t>LULC change driven by urban rising population density is a major global force reshaping the habitats and driving biodiversity lossat local, regional and global scale; multi-temporal remote sensing studies consistently show that expansion of built-up and impervious surfaces replaces vegetation and fragments formerly continuous habitats, with measurable declines in native species richness and habitat heterogeneity(Ren et al. 2023; Elmqvist et al. 2015),https://ssrn.com/abstract=4579821. In most recent studies by (Urban et al. 2024; Gu 2019) it was observed that Large-scale analyses using decades of satellite data demonstrate that urban growth alters landscape composition both directly (conversion of natural land to built surfaces) and indirectly (changes in hydrology, microclimate, and disturbance regimes), producing “from–to” transitions—forest → agriculture → built-up or cropland → built-up that can be quantified with post-classification change matrices to reveal the magnitude and pathways of habitat loss. Previous studies by (Alberti 2015; Elmqvist et al. 2021) observed and stated that the global syntheses further indicate that the ecological consequences of these transitions are not uniform: tropical regions often experience especially rapid LULC change and steeper biodiversity declines because baseline species pools tend to be richer and more sensitive to habitat area reduction and fragmentation.</w:t>
      </w:r>
    </w:p>
    <w:p w14:paraId="133451C4">
      <w:pPr>
        <w:jc w:val="both"/>
        <w:rPr>
          <w:rFonts w:ascii="Times New Roman" w:hAnsi="Times New Roman" w:cs="Times New Roman"/>
          <w:sz w:val="28"/>
          <w:szCs w:val="28"/>
        </w:rPr>
      </w:pPr>
      <w:r>
        <w:rPr>
          <w:rFonts w:ascii="Times New Roman" w:hAnsi="Times New Roman" w:cs="Times New Roman"/>
          <w:sz w:val="28"/>
          <w:szCs w:val="28"/>
        </w:rPr>
        <w:t>Urbanization’s effects on vegetation productivity are complex but increasingly well documented through vegetation indices (NDVI, EVI) and gross primary productivity proxies. Large-sample remote sensing studies spanning hundreds of cities which among them these belongs (Alberti et al. 2020), have found out that systematic reductions in vegetation greenness and seasonal productivity within urban cores relative to surrounding rural areas, although responses can be regionally variable and influenced by climate, greening efforts, and temporal trends in land management. Notably, recent works by (Alberti et al. 2020; Prakash and Verma 2022) after separating the direct effects (loss of vegetated area) from indirect effects (altered microclimate, edge effects) discovered and pointed out that both pathways contribute to observed drops in productivity; in many cities the net effect is a measurable decline in NDVI/EVI associated with increasing impervious cover and anthropogenic disturbance . At the same time, study by (Alberti et al. 2020) strictly caution that urban vegetation dynamics are heterogenous where active greening or irrigation regimes exist, NDVI trends may locally increase despite overall habitat loss so interpretation requires integrating spectral data with ground-truth biodiversity and land-use information .</w:t>
      </w:r>
    </w:p>
    <w:p w14:paraId="0DAD8BED">
      <w:pPr>
        <w:jc w:val="both"/>
        <w:rPr>
          <w:rFonts w:ascii="Times New Roman" w:hAnsi="Times New Roman" w:cs="Times New Roman"/>
          <w:sz w:val="28"/>
          <w:szCs w:val="28"/>
        </w:rPr>
      </w:pPr>
      <w:r>
        <w:rPr>
          <w:rFonts w:ascii="Times New Roman" w:hAnsi="Times New Roman" w:cs="Times New Roman"/>
          <w:sz w:val="28"/>
          <w:szCs w:val="28"/>
        </w:rPr>
        <w:t>Soil degradation under urban pressure is another global pattern with clear implications for ecosystem functioning. Empirical studies and meta analyses from the following researchers (Seress et al. 2014; Çelikgil et al. 2025) have documented that the declines in soil organic carbon (SOC) and total nitrogen, increases in bulk density (compaction), and that altered pH and salinity in urban cores compared with less disturbed peri-urban and rural soils changes which reduces soil fertility, water infiltration, and microbial activity. Taken together, as opined by Çelikgil et al. 2025, in their study therefore emphasize that LULC change, declines in vegetation productivity (NDVI/EVI), and progressive soil degradation form an interlinked suite of processes through which urbanization undermines biodiversity and ecosystem functioning highlighting the need for integrated, multi-scale analyses that combine remote sensing, field ecology, and soil science.</w:t>
      </w:r>
    </w:p>
    <w:p w14:paraId="273D069D">
      <w:pPr>
        <w:pStyle w:val="2"/>
        <w:jc w:val="center"/>
        <w:rPr>
          <w:rFonts w:ascii="Times New Roman" w:hAnsi="Times New Roman"/>
          <w:b/>
          <w:bCs/>
          <w:color w:val="auto"/>
        </w:rPr>
      </w:pPr>
      <w:r>
        <w:rPr>
          <w:rFonts w:ascii="Times New Roman" w:hAnsi="Times New Roman"/>
          <w:b/>
          <w:bCs/>
          <w:color w:val="auto"/>
        </w:rPr>
        <w:t>1.4.2 African Studies</w:t>
      </w:r>
    </w:p>
    <w:p w14:paraId="6B338E4F">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In their work (Lima et al. 2025), suggested that the African cities are increasingly the focus of empirical urban ecology research, revealing the recurring patterns in biodiversity, remote-sensing applications, vegetation-index trends, and soil change driven by rapid urban expansion. Also (Lima et al. 2025) study have synthesized urban biodiversity patterns across the continent and reported consistent outcomes: 1) that the urban cores and highly built-up neighborhoods tend to be dominated by disturbance-tolerant and 2) that the non native species, the peri-urban mosaics often retain higher species richness which support the intermediate-disturbance expectation, and 3) that the fragmentation and the loss of contiguous natural habitat drive declines in specialist taxa and functional diversity. In (Nero, 2017) systematic review, it was highlighted that the strong geographic biases in African urban ecology (many studies concentrated in southern and western African capitals) while confirming common patterns of homogenization and reduced native species representation in city centers which was also supported by  (Lima et al. 2025). Acording to the (Nero 2017), Field studies in West African secondary cities similarly document shifts toward generalist floras and loss of native understory species as built cover increases.</w:t>
      </w:r>
    </w:p>
    <w:p w14:paraId="33E76A05">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Remote sensing has become indispensable for scaling and filling data gaps in African urban studies. Multi-temporal Landsat and Sentinel time series, often classified with Random Forest or other ensemble methods, have been used to map built-up expansion, quantify impervious-surface growth, and generate transition matrices that reveal pathways of vegetation → urban conversion across West and Sub-Saharan Africa whic have been heavily documented in these studies by the researchers (Forget et al. 2021; Odhiambo, 2022) and by extension they have also in their works produced standardized multi-temporal built-up maps for dozens of Sub-Saharan cities, by demonstrating how fused satellite products can robustly document two decades of urban growth even where ground data are sparse. Weldegebriel et al., 2021, in their work opined that these remote-sensing products are frequently combined with population rasters (WorldPop) and night-time lights to derive multi-indicator urbanization layers that inform ecological analyses and planning in rapidly changing African contexts. </w:t>
      </w:r>
    </w:p>
    <w:p w14:paraId="4FDB00AE">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Time-series NDVI/EVI analyses in African cities provide spatially explicit evidence of vegetation loss, recovery, and heterogeneity. A regional based study conducted by (Phiri 2020) shows that systematic NDVI declines within dense urban cores (expanded cities) compared with the surrounding rural areas, although localized greening initiatives (parks, managed gardens, irrigated crops) can produce positive NDVI anomalies that complicate simple urban vs rural contrasts in the study region or anywhere else. a couple of research by these authorss (Abidi 2024; Phiri 2020), opined for example, that NDVI analysis paired with field validation in several West African cities identified peri-urban “refugia” where vegetation remains relatively intact and could be prioritized for conservation or green-infrastructure intervention. Such combined remote-sensing and field approaches strengthen inferences about the ecological consequences of urban expansion and help target areas for restoration.</w:t>
      </w:r>
    </w:p>
    <w:p w14:paraId="1FB5FC43">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Likewise these reseachers in their work (Gad 2020; Wentz et al. 2014), carried out soil studies across African urban gradients though fewer in number than remote sensing papers consistently document degradation trends associated with urbanization: declines in soil organic carbon (SOC) and total nitrogen, increased bulk density indicative of compaction, and altered pH/EC profiles that can impede plant growth and microbial. Also, the below-ground changes are frequently linked to above-ground vegetation loss and imperviousness as observed by (Wentz et al. 2014) in their work; for instance, a study in the Central and Southern Africa report lower SOC and poorer physical soil quality in highly urbanized zones versus peri-urban and rural sites, with management history (irrigation, organic amendments) modulating local patterns (Wentz et al. 2014).</w:t>
      </w:r>
    </w:p>
    <w:p w14:paraId="239B6325">
      <w:pPr>
        <w:pStyle w:val="2"/>
        <w:jc w:val="center"/>
        <w:rPr>
          <w:rFonts w:ascii="Times New Roman" w:hAnsi="Times New Roman"/>
          <w:b/>
          <w:bCs/>
          <w:color w:val="auto"/>
        </w:rPr>
      </w:pPr>
      <w:r>
        <w:rPr>
          <w:rFonts w:ascii="Times New Roman" w:hAnsi="Times New Roman"/>
          <w:b/>
          <w:bCs/>
          <w:color w:val="auto"/>
        </w:rPr>
        <w:t>1.4.3 Nigerian Studies</w:t>
      </w:r>
    </w:p>
    <w:p w14:paraId="1B373CE3">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In Nigeria context, the urban landscape has experienced sustained and rapid human population increase and it related characteristics over recent decades, with major metropolitan areas and numerous secondary cities undergoing lots of spatial growth that often outpaces planning capacity. Davis et al. 2023 in their most recent work documented from the findings of their work a pervasive conversion of agricultural and vegetated land to built-up uses, increasing impervious surfaces and fragmenting natural habitats trends that have important implications for biodiversity and ecosystem services in the Nigerian landscape in the year 2023.  Also, previous literatures in the National and regional assessments (Oladunmoye 2024; Barau et al. 2015), illustrate that the urban growth patterns in Nigeria are mostly heterogeneous (the coastal megacities vs. the inland secondary cities), but the common outcome is accelerated landscape transformation that reduces contiguous green areas and intensifies land-use competition, particularly around fast-growing administrative and transport hubs.</w:t>
      </w:r>
    </w:p>
    <w:p w14:paraId="31279E04">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Empirical studies within Nigeria reveal consistent signals of biodiversity loss and community homogenization in urban cores. Field and plot based surveys that was recently conducted by  (Ayeni et al. 2023), indicate in their findings that the urban centers frequently host lower native species richness and higher proportions of disturbance-tolerant, opportunistic, or exotic taxa compared with peri-urban and rural sites; peri-urban mosaics often retain the highest local richness consistent with intermediate disturbance dynamics. Several Nigerian case studies viz (Ayeni et al. 2023; Awoyemi et al. 2024; Nababa, 2023), have combined plot inventories with the LULC mapping to discoverd the declines in understory and specialist flora as built cover increases, underlining the urgent need for targeted conservation of remnant patches and peri-urban refugia seen in the Nigerian landscape.</w:t>
      </w:r>
    </w:p>
    <w:p w14:paraId="57E5D937">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Soil studies and ecosystem assessments from Nigerian contexts corroborate patterns of below-ground degradation associated with urbanization. A research conducted across urban gradients and in converted peri-urban lands have a report clearly stating the reductions in soil organic carbon and alterations in nitrogen pools, together with increased bulk density and disrupted infiltration changes that undermine soil fertility and the ability of urban soils to support diverse plant communities and sustain ecosystem services such as water regulation and carbon storage (SANI 2022),https://emergingsociety.org/index.php/efltajssei/article/view/413. NDVI/EVI-based investigations in Nigeria have been increasingly used to track vegetation trends and to identify hotspots of greenness loss or localized greening initiatives. Lemenkova and Debeir, 2023 stated that the declining greenness in the urban cores that are  related to peri-urban and rural areas, while targeted urban greening projects (parks, institutional gardens, riparian buffers) produce detectable positive anomalies that are useful for conservation planning. Integrating spectral indices with field plots and LULC change matrices has proven especially informative for secondary cities (the kinds of places studied here), enabling identification of priority areas where green-space protection or restoration would most effectively conserve biodiversity and improve ecosystem functioning (Agbelade et al. 2017).</w:t>
      </w:r>
    </w:p>
    <w:p w14:paraId="27CB040D">
      <w:pPr>
        <w:pStyle w:val="2"/>
        <w:jc w:val="center"/>
        <w:rPr>
          <w:rFonts w:ascii="Times New Roman" w:hAnsi="Times New Roman"/>
          <w:b/>
          <w:bCs/>
          <w:color w:val="auto"/>
        </w:rPr>
      </w:pPr>
      <w:r>
        <w:rPr>
          <w:rFonts w:ascii="Times New Roman" w:hAnsi="Times New Roman"/>
          <w:b/>
          <w:bCs/>
          <w:color w:val="auto"/>
        </w:rPr>
        <w:t>1.5 Summary of Research Gaps</w:t>
      </w:r>
    </w:p>
    <w:p w14:paraId="32671DDF">
      <w:pPr>
        <w:spacing w:line="360" w:lineRule="auto"/>
        <w:jc w:val="both"/>
        <w:rPr>
          <w:rStyle w:val="12"/>
          <w:rFonts w:ascii="Times New Roman" w:hAnsi="Times New Roman"/>
          <w:color w:val="auto"/>
          <w:sz w:val="28"/>
          <w:szCs w:val="28"/>
        </w:rPr>
      </w:pPr>
      <w:r>
        <w:rPr>
          <w:rFonts w:ascii="Times New Roman" w:hAnsi="Times New Roman" w:cs="Times New Roman"/>
          <w:sz w:val="28"/>
          <w:szCs w:val="28"/>
        </w:rPr>
        <w:t xml:space="preserve">Despite increasing interest in urban ecological research, several gaps remain evident in the Nigerian context, particularly within Benue State. First, on the list is that, only a limited number of studies connected remote sensing datasets with field-measured plant diversity indicators and soil ecosystem properties, leaving an incomplete understanding of how urbanization simultaneously alters vegetation structure (the whole plant ecosytem) and soil function. The Second on the list, is that there is a notable scarcity of studies applying NDVI and EVI regression models combined with urbanization metrics such as built-up density, population density, or night-time lights, although these tools are essential for quantifying ecological responses along urban gradients. Third on the list, is the fact that fine-scale vegetation plot data are largely unavailable for Benue State, and past studies in Makurdi, Otukpo, and surrounding areas have mostly relied on coarse land-cover maps or rapid assessments, offering little insight into species richness, evenness, or community composition. Fourth on this list, is also that, there is limited research that evaluates soil organic carbon, nitrogen, bulk density, pH, and EC together as ecosystem indicators across urban-rural transitions, resulting in weak empirical connections between soil quality and vegetation patterns. And finally on this list, is a very observable fact that very few studies in Nigeria explicitly test the biodiversity-ecosystem functioning relationship, leaving a major gap in understanding how plant diversity translates into productivity, vegetation health, and overall ecological resilience under rapid urban expansion. The current study tackled and addressed these gaps by combining remote sensing, field biodiversity surveys, soil analyses, and statistical modelling to generate comprehensive evidence for urban ecological </w:t>
      </w:r>
      <w:r>
        <w:rPr>
          <w:rStyle w:val="12"/>
          <w:rFonts w:ascii="Times New Roman" w:hAnsi="Times New Roman"/>
          <w:color w:val="auto"/>
          <w:sz w:val="28"/>
          <w:szCs w:val="28"/>
        </w:rPr>
        <w:t>change in Benue State.</w:t>
      </w:r>
    </w:p>
    <w:p w14:paraId="38F1C1DD">
      <w:pPr>
        <w:pStyle w:val="2"/>
        <w:jc w:val="center"/>
        <w:rPr>
          <w:rFonts w:ascii="Times New Roman" w:hAnsi="Times New Roman"/>
          <w:b/>
          <w:bCs/>
          <w:color w:val="auto"/>
        </w:rPr>
      </w:pPr>
      <w:r>
        <w:rPr>
          <w:rFonts w:ascii="Times New Roman" w:hAnsi="Times New Roman"/>
          <w:b/>
          <w:bCs/>
          <w:color w:val="auto"/>
        </w:rPr>
        <w:t>1.6 Conceptual Framework</w:t>
      </w:r>
    </w:p>
    <w:p w14:paraId="789BB57C">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conceptual framework behind this study as seen in Figure 1 illustrates how urbanization initiates a chain of ecological transformations that ultimately influence ecosystem functioning across urban–peri-urban–rural gradients.</w:t>
      </w:r>
    </w:p>
    <w:p w14:paraId="573B25D0">
      <w:pPr>
        <w:spacing w:before="100" w:beforeAutospacing="1" w:line="273" w:lineRule="auto"/>
        <w:jc w:val="both"/>
        <w:rPr>
          <w:rFonts w:ascii="Times New Roman" w:hAnsi="Times New Roman" w:eastAsia="Calibri" w:cs="Times New Roman"/>
          <w:sz w:val="28"/>
          <w:szCs w:val="28"/>
          <w14:ligatures w14:val="none"/>
        </w:rPr>
      </w:pPr>
      <w:r>
        <w:rPr>
          <w:rFonts w:ascii="Calibri" w:hAnsi="Calibri" w:eastAsia="Times New Roman" w:cs="Times New Roman"/>
          <w14:ligatures w14:val="none"/>
        </w:rPr>
        <w:drawing>
          <wp:inline distT="0" distB="0" distL="0" distR="0">
            <wp:extent cx="5943600" cy="36480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3648075"/>
                    </a:xfrm>
                    <a:prstGeom prst="rect">
                      <a:avLst/>
                    </a:prstGeom>
                    <a:noFill/>
                    <a:ln>
                      <a:noFill/>
                    </a:ln>
                  </pic:spPr>
                </pic:pic>
              </a:graphicData>
            </a:graphic>
          </wp:inline>
        </w:drawing>
      </w:r>
      <w:r>
        <w:rPr>
          <w:rFonts w:ascii="Times New Roman" w:hAnsi="Times New Roman" w:eastAsia="Calibri" w:cs="Times New Roman"/>
          <w:sz w:val="28"/>
          <w:szCs w:val="28"/>
          <w14:ligatures w14:val="none"/>
        </w:rPr>
        <w:t xml:space="preserve"> </w:t>
      </w:r>
    </w:p>
    <w:p w14:paraId="13268910">
      <w:pPr>
        <w:spacing w:before="240" w:line="240" w:lineRule="auto"/>
        <w:jc w:val="center"/>
        <w:rPr>
          <w:rFonts w:ascii="Times New Roman" w:hAnsi="Times New Roman" w:eastAsia="Calibri" w:cs="Times New Roman"/>
          <w:sz w:val="24"/>
          <w:szCs w:val="24"/>
          <w14:ligatures w14:val="none"/>
        </w:rPr>
      </w:pPr>
      <w:r>
        <w:rPr>
          <w:rFonts w:ascii="Times New Roman" w:hAnsi="Times New Roman" w:eastAsia="Calibri" w:cs="Times New Roman"/>
          <w:b/>
          <w:bCs/>
          <w:sz w:val="28"/>
          <w:szCs w:val="28"/>
          <w14:ligatures w14:val="none"/>
        </w:rPr>
        <w:t>Figure 1.1:</w:t>
      </w:r>
      <w:r>
        <w:rPr>
          <w:rFonts w:ascii="Times New Roman" w:hAnsi="Times New Roman" w:eastAsia="Calibri" w:cs="Times New Roman"/>
          <w:sz w:val="28"/>
          <w:szCs w:val="28"/>
          <w14:ligatures w14:val="none"/>
        </w:rPr>
        <w:t xml:space="preserve"> Flowchart of Conceptual Framework:</w:t>
      </w:r>
      <w:r>
        <w:rPr>
          <w:rFonts w:ascii="Times New Roman" w:hAnsi="Times New Roman" w:eastAsia="Calibri" w:cs="Times New Roman"/>
          <w:sz w:val="24"/>
          <w:szCs w:val="24"/>
          <w14:ligatures w14:val="none"/>
        </w:rPr>
        <w:t xml:space="preserve"> Author source</w:t>
      </w:r>
    </w:p>
    <w:p w14:paraId="60C78D85">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18" w:name="_Toc215220470"/>
      <w:r>
        <w:rPr>
          <w:rFonts w:ascii="Times New Roman" w:hAnsi="Times New Roman" w:eastAsia="DengXian Light" w:cs="Times New Roman"/>
          <w:b/>
          <w:bCs/>
          <w:sz w:val="32"/>
          <w:szCs w:val="32"/>
          <w14:ligatures w14:val="none"/>
        </w:rPr>
        <w:t>CHAPTER TWO</w:t>
      </w:r>
      <w:bookmarkEnd w:id="18"/>
    </w:p>
    <w:p w14:paraId="628D0619">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19" w:name="_Toc215220471"/>
      <w:r>
        <w:rPr>
          <w:rFonts w:ascii="Times New Roman" w:hAnsi="Times New Roman" w:eastAsia="DengXian Light" w:cs="Times New Roman"/>
          <w:b/>
          <w:bCs/>
          <w:sz w:val="32"/>
          <w:szCs w:val="32"/>
          <w14:ligatures w14:val="none"/>
        </w:rPr>
        <w:t>2.0 RESEARCH METHODOLOGY</w:t>
      </w:r>
      <w:bookmarkEnd w:id="19"/>
      <w:r>
        <w:rPr>
          <w:rFonts w:ascii="Times New Roman" w:hAnsi="Times New Roman" w:eastAsia="DengXian Light" w:cs="Times New Roman"/>
          <w:b/>
          <w:bCs/>
          <w:sz w:val="32"/>
          <w:szCs w:val="32"/>
          <w14:ligatures w14:val="none"/>
        </w:rPr>
        <w:t xml:space="preserve"> </w:t>
      </w:r>
    </w:p>
    <w:p w14:paraId="572FE4AB">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20" w:name="_Toc215220472"/>
      <w:r>
        <w:rPr>
          <w:rFonts w:ascii="Times New Roman" w:hAnsi="Times New Roman" w:eastAsia="DengXian Light" w:cs="Times New Roman"/>
          <w:b/>
          <w:bCs/>
          <w:sz w:val="32"/>
          <w:szCs w:val="32"/>
          <w14:ligatures w14:val="none"/>
        </w:rPr>
        <w:t>2.1 Research Design</w:t>
      </w:r>
      <w:bookmarkEnd w:id="20"/>
    </w:p>
    <w:p w14:paraId="11AA2F59">
      <w:pPr>
        <w:spacing w:before="100" w:beforeAutospacing="1" w:line="273" w:lineRule="auto"/>
        <w:jc w:val="both"/>
        <w:rPr>
          <w:rFonts w:ascii="Times New Roman" w:hAnsi="Times New Roman" w:eastAsia="Calibri" w:cs="Times New Roman"/>
          <w:sz w:val="28"/>
          <w:szCs w:val="28"/>
          <w14:ligatures w14:val="none"/>
        </w:rPr>
      </w:pPr>
      <w:bookmarkStart w:id="21" w:name="_Hlk215202939"/>
      <w:bookmarkStart w:id="22" w:name="ZOTERO_BREF_ZjO35KjLV8qX"/>
      <w:bookmarkStart w:id="23" w:name="_Hlk215182913"/>
      <w:r>
        <w:rPr>
          <w:rFonts w:ascii="Times New Roman" w:hAnsi="Times New Roman" w:eastAsia="Calibri" w:cs="Times New Roman"/>
          <w:sz w:val="28"/>
          <w:szCs w:val="28"/>
          <w14:ligatures w14:val="none"/>
        </w:rPr>
        <w:t>This study employed a quantitative, multi-scale ecological research design that combines geospatial analysis with field-based assessments of biodiversity, soil characteristics, and statistical modelling to investigate the influence of urbanization on ecosystem functioning in Makurdi and Otukpo, as illustrated in Figure 3.1. The research design is grounded in a systematic integration of remote sensing techniques, field-based ecological observations, and inferential statistical analyses, aligning with current approaches in urban ecological research (Wang et al., 2025; Sun et al., 2025; Xu et al., 2025).</w:t>
      </w:r>
      <w:bookmarkEnd w:id="21"/>
      <w:bookmarkEnd w:id="22"/>
      <w:bookmarkEnd w:id="23"/>
    </w:p>
    <w:p w14:paraId="7768FADF">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rPr>
        <w:drawing>
          <wp:inline distT="0" distB="0" distL="0" distR="0">
            <wp:extent cx="5943600" cy="4457700"/>
            <wp:effectExtent l="0" t="0" r="0" b="0"/>
            <wp:docPr id="1677064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64779"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38EAEA7">
      <w:pPr>
        <w:spacing w:before="240" w:line="240" w:lineRule="auto"/>
        <w:jc w:val="center"/>
        <w:rPr>
          <w:rFonts w:ascii="Times New Roman" w:hAnsi="Times New Roman" w:eastAsia="Calibri" w:cs="Times New Roman"/>
          <w:sz w:val="24"/>
          <w:szCs w:val="24"/>
          <w14:ligatures w14:val="none"/>
        </w:rPr>
      </w:pPr>
      <w:r>
        <w:rPr>
          <w:rFonts w:ascii="Times New Roman" w:hAnsi="Times New Roman" w:eastAsia="Calibri" w:cs="Times New Roman"/>
          <w:b/>
          <w:bCs/>
          <w:sz w:val="28"/>
          <w:szCs w:val="28"/>
          <w14:ligatures w14:val="none"/>
        </w:rPr>
        <w:t>Figure 2.1:</w:t>
      </w:r>
      <w:r>
        <w:rPr>
          <w:rFonts w:ascii="Times New Roman" w:hAnsi="Times New Roman" w:eastAsia="Calibri" w:cs="Times New Roman"/>
          <w:sz w:val="28"/>
          <w:szCs w:val="28"/>
          <w14:ligatures w14:val="none"/>
        </w:rPr>
        <w:t xml:space="preserve"> Flowchart of Methodological Framework:</w:t>
      </w:r>
      <w:r>
        <w:rPr>
          <w:rFonts w:ascii="Times New Roman" w:hAnsi="Times New Roman" w:eastAsia="Calibri" w:cs="Times New Roman"/>
          <w:sz w:val="24"/>
          <w:szCs w:val="24"/>
          <w14:ligatures w14:val="none"/>
        </w:rPr>
        <w:t xml:space="preserve"> Author source</w:t>
      </w:r>
    </w:p>
    <w:p w14:paraId="13CEED13">
      <w:pPr>
        <w:keepNext/>
        <w:keepLines/>
        <w:widowControl w:val="0"/>
        <w:spacing w:before="240" w:after="240" w:line="256" w:lineRule="auto"/>
        <w:outlineLvl w:val="0"/>
        <w:rPr>
          <w:rFonts w:ascii="Times New Roman" w:hAnsi="Times New Roman" w:eastAsia="DengXian Light" w:cs="Times New Roman"/>
          <w:b/>
          <w:bCs/>
          <w:sz w:val="32"/>
          <w:szCs w:val="32"/>
          <w14:ligatures w14:val="none"/>
        </w:rPr>
      </w:pPr>
      <w:bookmarkStart w:id="24" w:name="_Toc215220473"/>
      <w:r>
        <w:rPr>
          <w:rFonts w:ascii="Times New Roman" w:hAnsi="Times New Roman" w:eastAsia="DengXian Light" w:cs="Times New Roman"/>
          <w:b/>
          <w:bCs/>
          <w:sz w:val="32"/>
          <w:szCs w:val="32"/>
          <w14:ligatures w14:val="none"/>
        </w:rPr>
        <w:t>2.2 Study Area</w:t>
      </w:r>
      <w:bookmarkEnd w:id="24"/>
    </w:p>
    <w:p w14:paraId="0F839ACE">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Benue State, in the north cental of Nigeria, had a land area of 2,882 km² and a population of 4,253,641. The state was divided into twenty-three (23) local government areas. Geographically, Benue State lies within the lower River Benue, with longitude coordinates ranging from 7º 47' to 10° 0' East and latitude coordinates from 6º 25' to 8° 8' North (Figure 2.1). The state shares boundaries with five other states: Nasarawa to the north, Taraba to the east, Cross River to the south, Enugu to the southwest, and Kogi State to the west. Additionally, the state shares a common boundary with the Republic of Cameroon to the south-east (Mbah et al. 2016). Benue is characterised by a mix of urban and rural environments, with diverse ecosystems ranging from tropical forests to wetlands and agricultural areas. This study focuses on two cities, Makurdi and Otukpo. Makurdi Local Government Area is situated in the north-eastern part of the State and within the coordinates 7° 00' N to 7° 45' N latitude and 8° 00' E to 8° 32' E longitude. The area is drained by several channels, including the River Benue, which bisects the town into north and south banks, and its tributaries, such as Urudu, Demepe, Kereke, Mu, Idye, and Kpege. According to the 1991 and 2006 population censuses, the population of Makurdi was 239,889 and 297,398, respectively. Using a growth rate of 0.03%, the projected population of Makurdi in 2017 was 517,342. The area has a rapidly growing population of human, with a density of 323 persons per square kilometre. The population is predominantly Tiv-speaking, with other ethnic groups also present. The growth of Makurdi town has put pressure on natural resources within its environs, including wetlands. Makurdi's climate is characterised by wet and dry seasons. The mean duration of the rainy season is 182 days, with the highest monthly rainfall total of 221 mm recorded in August (Hemba et al. 2017) (see Figure 2.1).</w:t>
      </w:r>
    </w:p>
    <w:p w14:paraId="65EE7568">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Otukpo is a local government in the Southern Guinea Savannah Zone in north central Nigeria. Otukpo LGA lies on the North of the equator between (the longitude 7° 50' and the 8° 15' East and the latitude 7° 00' and that of 7° 40'). It has a landmass of about 1,385 square kilometres and a population of 266,411 human according to (NPC, 2006) and was projected to be 359,600 people in 2016. The map of Otukpo LGA is shown in Figure 2.2. The general relief of the study area ranges between 83m above sea level and 162 m above mean sea level. The study area is a valley given the area is undulating to gently sloping in the north-south direction. (Ancha et al., 2021) (see Figure 2.2).</w:t>
      </w:r>
    </w:p>
    <w:p w14:paraId="081AFC03">
      <w:pPr>
        <w:spacing w:before="100" w:beforeAutospacing="1" w:line="273" w:lineRule="auto"/>
        <w:jc w:val="both"/>
        <w:rPr>
          <w:rFonts w:ascii="Times New Roman" w:hAnsi="Times New Roman" w:eastAsia="Calibri" w:cs="Times New Roman"/>
          <w:sz w:val="28"/>
          <w:szCs w:val="28"/>
          <w14:ligatures w14:val="none"/>
        </w:rPr>
      </w:pPr>
      <w:r>
        <w:rPr>
          <w:rFonts w:ascii="Calibri" w:hAnsi="Calibri" w:eastAsia="Times New Roman" w:cs="Times New Roman"/>
          <w14:ligatures w14:val="none"/>
        </w:rPr>
        <w:drawing>
          <wp:inline distT="0" distB="0" distL="0" distR="0">
            <wp:extent cx="5667375" cy="31527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667375" cy="3152775"/>
                    </a:xfrm>
                    <a:prstGeom prst="rect">
                      <a:avLst/>
                    </a:prstGeom>
                    <a:noFill/>
                    <a:ln>
                      <a:noFill/>
                    </a:ln>
                  </pic:spPr>
                </pic:pic>
              </a:graphicData>
            </a:graphic>
          </wp:inline>
        </w:drawing>
      </w:r>
      <w:r>
        <w:rPr>
          <w:rFonts w:ascii="Times New Roman" w:hAnsi="Times New Roman" w:eastAsia="Calibri" w:cs="Times New Roman"/>
          <w:sz w:val="28"/>
          <w:szCs w:val="28"/>
          <w14:ligatures w14:val="none"/>
        </w:rPr>
        <w:t xml:space="preserve"> </w:t>
      </w:r>
    </w:p>
    <w:p w14:paraId="0E42C1C8">
      <w:pPr>
        <w:spacing w:before="100" w:beforeAutospacing="1" w:line="273" w:lineRule="auto"/>
        <w:jc w:val="center"/>
        <w:rPr>
          <w:rFonts w:ascii="Times New Roman" w:hAnsi="Times New Roman" w:eastAsia="Calibri" w:cs="Times New Roman"/>
          <w:sz w:val="28"/>
          <w:szCs w:val="28"/>
          <w14:ligatures w14:val="none"/>
        </w:rPr>
      </w:pPr>
      <w:r>
        <w:rPr>
          <w:rFonts w:ascii="Times New Roman" w:hAnsi="Times New Roman" w:eastAsia="Calibri" w:cs="Times New Roman"/>
          <w:b/>
          <w:bCs/>
          <w:sz w:val="28"/>
          <w:szCs w:val="28"/>
          <w14:ligatures w14:val="none"/>
        </w:rPr>
        <w:t>Figure 2.2:</w:t>
      </w:r>
      <w:r>
        <w:rPr>
          <w:rFonts w:ascii="Times New Roman" w:hAnsi="Times New Roman" w:eastAsia="Calibri" w:cs="Times New Roman"/>
          <w:sz w:val="28"/>
          <w:szCs w:val="28"/>
          <w14:ligatures w14:val="none"/>
        </w:rPr>
        <w:t xml:space="preserve">  Map of Makurdi Local Government Area</w:t>
      </w:r>
    </w:p>
    <w:p w14:paraId="3210BC18">
      <w:pPr>
        <w:spacing w:before="100" w:beforeAutospacing="1" w:after="0" w:line="256" w:lineRule="auto"/>
        <w:rPr>
          <w:rFonts w:ascii="Times New Roman" w:hAnsi="Times New Roman" w:eastAsia="Calibri" w:cs="Times New Roman"/>
          <w:sz w:val="28"/>
          <w:szCs w:val="28"/>
          <w14:ligatures w14:val="none"/>
        </w:rPr>
      </w:pPr>
      <w:bookmarkStart w:id="25" w:name="ZOTERO_BREF_TI3wctQaT4B1"/>
      <w:r>
        <w:rPr>
          <w:rFonts w:ascii="Times New Roman" w:hAnsi="Times New Roman" w:eastAsia="Calibri" w:cs="Times New Roman"/>
          <w:sz w:val="28"/>
          <w:szCs w:val="28"/>
          <w14:ligatures w14:val="none"/>
        </w:rPr>
        <w:t>Source</w:t>
      </w:r>
      <w:r>
        <w:rPr>
          <w:rFonts w:ascii="Calibri" w:hAnsi="Calibri" w:eastAsia="Calibri" w:cs="Times New Roman"/>
          <w14:ligatures w14:val="none"/>
        </w:rPr>
        <w:t xml:space="preserve"> (YAGER, et al. 2024)</w:t>
      </w:r>
      <w:bookmarkEnd w:id="25"/>
      <w:r>
        <w:rPr>
          <w:rFonts w:ascii="Times New Roman" w:hAnsi="Times New Roman" w:eastAsia="Calibri" w:cs="Times New Roman"/>
          <w:sz w:val="28"/>
          <w:szCs w:val="28"/>
          <w14:ligatures w14:val="none"/>
        </w:rPr>
        <w:t xml:space="preserve"> &amp; Benue State Ministry for Lands and Survey</w:t>
      </w:r>
    </w:p>
    <w:p w14:paraId="470CC587">
      <w:pPr>
        <w:spacing w:before="100" w:beforeAutospacing="1" w:line="273" w:lineRule="auto"/>
        <w:jc w:val="both"/>
        <w:rPr>
          <w:rFonts w:ascii="Times New Roman" w:hAnsi="Times New Roman" w:eastAsia="Calibri" w:cs="Times New Roman"/>
          <w:sz w:val="28"/>
          <w:szCs w:val="28"/>
          <w14:ligatures w14:val="none"/>
        </w:rPr>
      </w:pPr>
      <w:r>
        <w:rPr>
          <w:rFonts w:ascii="Calibri" w:hAnsi="Calibri" w:eastAsia="Times New Roman" w:cs="Times New Roman"/>
          <w14:ligatures w14:val="none"/>
        </w:rPr>
        <w:drawing>
          <wp:inline distT="0" distB="0" distL="0" distR="0">
            <wp:extent cx="5943600" cy="55530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5553075"/>
                    </a:xfrm>
                    <a:prstGeom prst="rect">
                      <a:avLst/>
                    </a:prstGeom>
                    <a:noFill/>
                    <a:ln>
                      <a:noFill/>
                    </a:ln>
                  </pic:spPr>
                </pic:pic>
              </a:graphicData>
            </a:graphic>
          </wp:inline>
        </w:drawing>
      </w:r>
      <w:r>
        <w:rPr>
          <w:rFonts w:ascii="Times New Roman" w:hAnsi="Times New Roman" w:eastAsia="Calibri" w:cs="Times New Roman"/>
          <w:sz w:val="28"/>
          <w:szCs w:val="28"/>
          <w14:ligatures w14:val="none"/>
        </w:rPr>
        <w:t xml:space="preserve"> </w:t>
      </w:r>
    </w:p>
    <w:p w14:paraId="50029998">
      <w:pPr>
        <w:spacing w:before="100" w:beforeAutospacing="1" w:line="273" w:lineRule="auto"/>
        <w:jc w:val="center"/>
        <w:rPr>
          <w:rFonts w:ascii="Times New Roman" w:hAnsi="Times New Roman" w:eastAsia="Calibri" w:cs="Times New Roman"/>
          <w:sz w:val="28"/>
          <w:szCs w:val="28"/>
          <w14:ligatures w14:val="none"/>
        </w:rPr>
      </w:pPr>
      <w:r>
        <w:rPr>
          <w:rFonts w:ascii="Times New Roman" w:hAnsi="Times New Roman" w:eastAsia="Calibri" w:cs="Times New Roman"/>
          <w:b/>
          <w:bCs/>
          <w:sz w:val="28"/>
          <w:szCs w:val="28"/>
          <w14:ligatures w14:val="none"/>
        </w:rPr>
        <w:t>Figure 2.3:</w:t>
      </w:r>
      <w:r>
        <w:rPr>
          <w:rFonts w:ascii="Times New Roman" w:hAnsi="Times New Roman" w:eastAsia="Calibri" w:cs="Times New Roman"/>
          <w:sz w:val="28"/>
          <w:szCs w:val="28"/>
          <w14:ligatures w14:val="none"/>
        </w:rPr>
        <w:t xml:space="preserve"> Map of Otukpo Local Government source:</w:t>
      </w:r>
      <w:bookmarkStart w:id="26" w:name="ZOTERO_BREF_ivTKuJ8zy8FV"/>
      <w:r>
        <w:rPr>
          <w:rFonts w:ascii="Times New Roman" w:hAnsi="Times New Roman" w:eastAsia="Calibri" w:cs="Times New Roman"/>
          <w:sz w:val="28"/>
          <w14:ligatures w14:val="none"/>
        </w:rPr>
        <w:t>(Ancha et al., 2021)</w:t>
      </w:r>
      <w:bookmarkEnd w:id="26"/>
      <w:r>
        <w:rPr>
          <w:rFonts w:ascii="Times New Roman" w:hAnsi="Times New Roman" w:eastAsia="Calibri" w:cs="Times New Roman"/>
          <w:sz w:val="28"/>
          <w:szCs w:val="28"/>
          <w14:ligatures w14:val="none"/>
        </w:rPr>
        <w:t xml:space="preserve"> </w:t>
      </w:r>
    </w:p>
    <w:p w14:paraId="0ECB35FC">
      <w:pPr>
        <w:pStyle w:val="2"/>
        <w:jc w:val="center"/>
        <w:rPr>
          <w:rFonts w:ascii="Times New Roman" w:hAnsi="Times New Roman"/>
          <w:b/>
          <w:bCs/>
          <w:color w:val="auto"/>
        </w:rPr>
      </w:pPr>
      <w:bookmarkStart w:id="27" w:name="_Toc215220474"/>
      <w:r>
        <w:rPr>
          <w:rFonts w:ascii="Times New Roman" w:hAnsi="Times New Roman"/>
          <w:b/>
          <w:bCs/>
          <w:color w:val="auto"/>
        </w:rPr>
        <w:t>2.3 Data Requirements and Sources</w:t>
      </w:r>
      <w:bookmarkEnd w:id="27"/>
    </w:p>
    <w:p w14:paraId="24E2CF41">
      <w:pPr>
        <w:pStyle w:val="2"/>
        <w:jc w:val="center"/>
        <w:rPr>
          <w:rFonts w:ascii="Times New Roman" w:hAnsi="Times New Roman"/>
          <w:b/>
          <w:bCs/>
          <w:color w:val="auto"/>
        </w:rPr>
      </w:pPr>
      <w:bookmarkStart w:id="28" w:name="_Toc215220475"/>
      <w:r>
        <w:rPr>
          <w:rFonts w:ascii="Times New Roman" w:hAnsi="Times New Roman"/>
          <w:b/>
          <w:bCs/>
          <w:color w:val="auto"/>
        </w:rPr>
        <w:t>2.3.1 Remote Sensing Data</w:t>
      </w:r>
      <w:bookmarkEnd w:id="28"/>
    </w:p>
    <w:p w14:paraId="184D62B2">
      <w:pPr>
        <w:spacing w:before="100" w:beforeAutospacing="1" w:line="256" w:lineRule="auto"/>
        <w:jc w:val="both"/>
        <w:rPr>
          <w:rFonts w:ascii="Times New Roman" w:hAnsi="Times New Roman" w:eastAsia="Calibri" w:cs="Times New Roman"/>
          <w:sz w:val="28"/>
          <w:szCs w:val="28"/>
          <w14:ligatures w14:val="none"/>
        </w:rPr>
      </w:pPr>
      <w:bookmarkStart w:id="29" w:name="_Hlk215207780"/>
      <w:r>
        <w:rPr>
          <w:rFonts w:ascii="Times New Roman" w:hAnsi="Times New Roman" w:eastAsia="Calibri" w:cs="Times New Roman"/>
          <w:sz w:val="28"/>
          <w:szCs w:val="28"/>
          <w14:ligatures w14:val="none"/>
        </w:rPr>
        <w:t>The study employed temporal satellite imagery and ancillary geospatial datasets necessary for detecting LULC transformations and transitions over time and space, quantifying vegetation condition, and assessing urbanization intensity across the two study locations Makurdi and Otukpo. Landsat TM for the (1990) period, ETM+ for the (2010) period, and the OLI (2024) scenes were obtained for change detection, NDVI, and EVI derivation due to their 30 m spatial resolution and long-term continuity, which makes them suitable for landscape-scale ecological studies. VIIRS Day/Night Band night-time lights imagery was used to represent anthropogenic intensity and built-up expansion through illumination patterns, while WorldPop population density rasters provided high-resolution demographic information to quantify population-driven urbanization pressures these were extracted at the ward level using Appendix 1. In addition, the administrative boundary datasets for wards and LGAs were incorporated to enable spatial disaggregation of results and zonal analyses. All remote sensing derived layers were clipped, standardized, and extracted at both ward level (point sampling) and zonal level (rural, peri-urban, urban) to match the scales of ecological assessment.</w:t>
      </w:r>
    </w:p>
    <w:p w14:paraId="6BCFFEDC">
      <w:pPr>
        <w:pStyle w:val="2"/>
        <w:jc w:val="center"/>
        <w:rPr>
          <w:rFonts w:ascii="Times New Roman" w:hAnsi="Times New Roman"/>
          <w:b/>
          <w:bCs/>
          <w:color w:val="auto"/>
        </w:rPr>
      </w:pPr>
      <w:r>
        <w:rPr>
          <w:rFonts w:ascii="Times New Roman" w:hAnsi="Times New Roman"/>
          <w:b/>
          <w:bCs/>
          <w:color w:val="auto"/>
        </w:rPr>
        <w:t>2.3.2 Field Plant Data</w:t>
      </w:r>
    </w:p>
    <w:p w14:paraId="2571209B">
      <w:pPr>
        <w:spacing w:before="100" w:beforeAutospacing="1" w:line="256"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Plant data were obtained through a systematic field sampling conducted across the 33 stratified plots samples, resulting in a detailed dataset comprising species inventories, abundance records, and structural attributes for each sampling location within both study regions. To adequately represent the vertical complexity characteristic of tropical ecosystems, vegetation layers—trees, shrubs, and herbs—were documented separately based on site conditions. For every plot, my team of experts observed and documented the geographic coordinates, its elevation, the surrounding land-use characteristics, and other relevant metadata suitable for the study were recorded to ensure precise spatial referencing and seamless integration with remotely sensed datasets. These collected and documented field observations for both locations formed the basis for calculating biodiversity indices, including Shannon, Simpson, and Evenness, and facilitated comparative analysis of species composition along the rural–peri-urban–urban gradient.</w:t>
      </w:r>
    </w:p>
    <w:p w14:paraId="6FA04AAB">
      <w:pPr>
        <w:spacing w:before="100" w:beforeAutospacing="1" w:line="256" w:lineRule="auto"/>
        <w:jc w:val="center"/>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drawing>
          <wp:inline distT="0" distB="0" distL="0" distR="0">
            <wp:extent cx="5095875" cy="4914900"/>
            <wp:effectExtent l="0" t="0" r="9525" b="0"/>
            <wp:docPr id="557790958" name="Picture 55779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90958" name="Picture 5577909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095875" cy="4914900"/>
                    </a:xfrm>
                    <a:prstGeom prst="rect">
                      <a:avLst/>
                    </a:prstGeom>
                    <a:noFill/>
                  </pic:spPr>
                </pic:pic>
              </a:graphicData>
            </a:graphic>
          </wp:inline>
        </w:drawing>
      </w:r>
    </w:p>
    <w:p w14:paraId="54ECEF65">
      <w:pPr>
        <w:spacing w:before="100" w:beforeAutospacing="1" w:line="256" w:lineRule="auto"/>
        <w:jc w:val="center"/>
        <w:rPr>
          <w:rFonts w:ascii="Times New Roman" w:hAnsi="Times New Roman" w:eastAsia="Calibri" w:cs="Times New Roman"/>
          <w:sz w:val="28"/>
          <w:szCs w:val="28"/>
          <w14:ligatures w14:val="none"/>
        </w:rPr>
      </w:pPr>
      <w:r>
        <w:rPr>
          <w:rFonts w:ascii="Times New Roman" w:hAnsi="Times New Roman" w:eastAsia="Calibri" w:cs="Times New Roman"/>
          <w:b/>
          <w:bCs/>
          <w:sz w:val="28"/>
          <w:szCs w:val="28"/>
          <w14:ligatures w14:val="none"/>
        </w:rPr>
        <w:t>FIG 2.4:</w:t>
      </w:r>
      <w:r>
        <w:rPr>
          <w:rFonts w:ascii="Times New Roman" w:hAnsi="Times New Roman" w:eastAsia="Calibri" w:cs="Times New Roman"/>
          <w:sz w:val="28"/>
          <w:szCs w:val="28"/>
          <w14:ligatures w14:val="none"/>
        </w:rPr>
        <w:t xml:space="preserve"> Ground Truth Data Collected During Field Visits on LULC:</w:t>
      </w:r>
    </w:p>
    <w:p w14:paraId="21C035C6">
      <w:pPr>
        <w:spacing w:before="100" w:beforeAutospacing="1" w:line="256" w:lineRule="auto"/>
        <w:jc w:val="center"/>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Author source</w:t>
      </w:r>
    </w:p>
    <w:p w14:paraId="7FFC9653">
      <w:pPr>
        <w:pStyle w:val="2"/>
        <w:jc w:val="center"/>
        <w:rPr>
          <w:rFonts w:ascii="Times New Roman" w:hAnsi="Times New Roman"/>
          <w:b/>
          <w:bCs/>
          <w:color w:val="auto"/>
        </w:rPr>
      </w:pPr>
      <w:r>
        <w:rPr>
          <w:rFonts w:ascii="Times New Roman" w:hAnsi="Times New Roman"/>
          <w:b/>
          <w:bCs/>
          <w:color w:val="auto"/>
        </w:rPr>
        <w:t>2.3.3 Soil Data</w:t>
      </w:r>
    </w:p>
    <w:p w14:paraId="181FDAF3">
      <w:pPr>
        <w:spacing w:before="100" w:beforeAutospacing="1" w:line="256"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Soil data were obtained using the GEE a cloud computing platform to assess the ecosystem functioning through the following key soil biophysical properties; 1) soil organic carbon (SOC), 2) total nitrogen, 3) bulk density, 4) soil pH, and 5) the cation exchange capacity (CEC), which together provide insight into soil fertility, compaction levels, and overall chemical balance. These soil variables were extracted from globally validated soil datasets suitable for sub-Saharan Africa and spatially matched to the vegetation sampling plots. The soil information was then integrated with field-based vegetation data and remotely sensed variables to evaluate how urbanization influences soil quality and related ecological processes along the rural–peri-urban–urban gradient. The GEE workflow used for extracting the soil variables is provided in Appendix 1.</w:t>
      </w:r>
    </w:p>
    <w:p w14:paraId="191F6C3B">
      <w:pPr>
        <w:pStyle w:val="2"/>
        <w:jc w:val="center"/>
        <w:rPr>
          <w:rFonts w:ascii="Times New Roman" w:hAnsi="Times New Roman"/>
          <w:b/>
          <w:bCs/>
          <w:color w:val="auto"/>
        </w:rPr>
      </w:pPr>
      <w:r>
        <w:rPr>
          <w:rFonts w:ascii="Times New Roman" w:hAnsi="Times New Roman"/>
          <w:b/>
          <w:bCs/>
          <w:color w:val="auto"/>
        </w:rPr>
        <w:t>2.4 Land-Use and Land-Cover (LULC) Analysis</w:t>
      </w:r>
    </w:p>
    <w:p w14:paraId="6587BFA4">
      <w:pPr>
        <w:pStyle w:val="2"/>
        <w:jc w:val="center"/>
        <w:rPr>
          <w:rFonts w:ascii="Times New Roman" w:hAnsi="Times New Roman"/>
          <w:b/>
          <w:bCs/>
          <w:color w:val="auto"/>
        </w:rPr>
      </w:pPr>
      <w:r>
        <w:rPr>
          <w:rFonts w:ascii="Times New Roman" w:hAnsi="Times New Roman"/>
          <w:b/>
          <w:bCs/>
          <w:color w:val="auto"/>
        </w:rPr>
        <w:t>2.4.1 Image Pre-Processing</w:t>
      </w:r>
    </w:p>
    <w:p w14:paraId="23CFD6DD">
      <w:pPr>
        <w:spacing w:before="100" w:beforeAutospacing="1" w:line="256"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All satellite images were pre-processed to ensure radiometric consistency and spatial comparability across the three temporal periods (1990, 2010, 2024). Landsat Surface Reflectance (SR) products generated using LEDAPS for TM/ETM+ and LaSRC for OLI were used, as these datasets provide atmospherically corrected spectral bands suitable for quantitative analysis. Cloud and cloud-shadow contamination were removed using the pixel-level quality assurance (QA) masks embedded in the SR products. After performing the cloud removal on the imageries, the individual spectral bands were combined to form multi-band images for each study year. These images were then clipped to the administrative boundaries of Makurdi and Otukpo Local Government Areas using official shapefiles, ensuring that the analysis was restricted to the study areas only. And to ensure consistency across time and datasets, all imagery were resampled to a uniform 30m spatial resolution, this is to allow a more reliable comparison between years and seamless integration with NDVI, EVI, and land-use classification outputs.</w:t>
      </w:r>
    </w:p>
    <w:p w14:paraId="77729F6B">
      <w:pPr>
        <w:pStyle w:val="2"/>
        <w:jc w:val="center"/>
        <w:rPr>
          <w:rFonts w:ascii="Times New Roman" w:hAnsi="Times New Roman"/>
          <w:b/>
          <w:bCs/>
          <w:color w:val="auto"/>
        </w:rPr>
      </w:pPr>
      <w:r>
        <w:rPr>
          <w:rFonts w:ascii="Times New Roman" w:hAnsi="Times New Roman"/>
          <w:b/>
          <w:bCs/>
          <w:color w:val="auto"/>
        </w:rPr>
        <w:t>2.4.2 LULC Classification Using Random Forest</w:t>
      </w:r>
    </w:p>
    <w:p w14:paraId="035AC27D">
      <w:pPr>
        <w:spacing w:before="100" w:beforeAutospacing="1" w:line="256"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LULC mapping was carried out using a supervised classification approach (Random Forest) machine-learning algorithm. This method was selected because of its reliability, strong performance in handling complex, non-linear relationships, and its suitability for heterogeneous tropical environments. The training samples for the classification purpose were compiled from field-collected GPS points, high-resolution Google Earth imagery, and expert visual interpretation of distinct land-cover features across the study areas.</w:t>
      </w:r>
    </w:p>
    <w:p w14:paraId="4BE3D734">
      <w:pPr>
        <w:spacing w:before="100" w:beforeAutospacing="1" w:line="256"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Random Forest model was implemented using 500 decision trees, with tuning parameters adjusted to achieve a balance between model accuracy and stability. Five major land-cover classes were defined for the purpose of the classification: 1) the vegetation, 2) the built-up areas, 3) the agricultural land, 4) the bare surfaces, and 5) the water bodies. Following classification, a simple post-classification filtering procedure was applied to reduce the salt-and-pepper effect commonly associated with pixel-based classifications. The final land-use and land-cover maps produced for each study year were then visually examined to confirm spatial consistency and ensure that the classification results reasonably reflected ground conditions.</w:t>
      </w:r>
    </w:p>
    <w:p w14:paraId="7EC3BCA7">
      <w:pPr>
        <w:pStyle w:val="2"/>
        <w:jc w:val="center"/>
        <w:rPr>
          <w:rFonts w:ascii="Times New Roman" w:hAnsi="Times New Roman"/>
          <w:b/>
          <w:bCs/>
          <w:color w:val="auto"/>
        </w:rPr>
      </w:pPr>
      <w:r>
        <w:rPr>
          <w:rFonts w:ascii="Times New Roman" w:hAnsi="Times New Roman"/>
          <w:b/>
          <w:bCs/>
          <w:color w:val="auto"/>
        </w:rPr>
        <w:t>2.4.3 Accuracy Assessment</w:t>
      </w:r>
    </w:p>
    <w:p w14:paraId="57CC7BFF">
      <w:pPr>
        <w:spacing w:before="100" w:beforeAutospacing="1" w:line="256"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accuracy of each LULC map was evaluated through the independent set of validation points versus the classified outputs were compared against reference data (see Appendix 2). Each map was evaluated to acertain the classification performance using Confusion metric. And the overall accuracy, that reflects the proportion of the correctly classified pixels; the Producer’s Accuracy, that measured how effectively real-world LULC types were captured by the classification; the User’s Accuracy, which indicated the reliability of each mapped class; and the Kappa coefficient, which accounts for agreement beyond random chance were all performed to all the temporal classifications done.</w:t>
      </w:r>
    </w:p>
    <w:p w14:paraId="6C513041">
      <w:pPr>
        <w:spacing w:before="100" w:beforeAutospacing="1" w:line="256"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In all, the accuracy measures provided a robust and effective basis for the evaluating of the classifier performance and confirmed the suitability of the Random Forest approach for land-use and land-cover mapping in complex tropical landscapes.</w:t>
      </w:r>
    </w:p>
    <w:p w14:paraId="01B519D0">
      <w:pPr>
        <w:pStyle w:val="2"/>
        <w:jc w:val="center"/>
        <w:rPr>
          <w:rFonts w:ascii="Times New Roman" w:hAnsi="Times New Roman"/>
          <w:b/>
          <w:bCs/>
          <w:color w:val="auto"/>
        </w:rPr>
      </w:pPr>
      <w:r>
        <w:rPr>
          <w:rFonts w:ascii="Times New Roman" w:hAnsi="Times New Roman"/>
          <w:b/>
          <w:bCs/>
          <w:color w:val="auto"/>
        </w:rPr>
        <w:t>2.4.4 LULC Change Detection</w:t>
      </w:r>
    </w:p>
    <w:p w14:paraId="1BABFF21">
      <w:pPr>
        <w:spacing w:before="100" w:beforeAutospacing="1" w:line="256"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LULC change was analysed by comparing the classified maps for 1990, 2010, and 2024. A transition matrix was used to track how land-cover classes changed over the 34-year period, allowing gains, losses, and areas of persistence to be clearly quantified. From the change detection analysis also known as post classification, key indicators were derived, including the rate of urban expansion reflected by increases in built-up areas, the extent of vegetation loss indicating reductions in natural and semi-natural cover, and shifts in the distribution of agricultural land and bare surfaces.</w:t>
      </w:r>
    </w:p>
    <w:p w14:paraId="3067622B">
      <w:pPr>
        <w:pStyle w:val="2"/>
        <w:jc w:val="center"/>
        <w:rPr>
          <w:rFonts w:ascii="Times New Roman" w:hAnsi="Times New Roman"/>
          <w:b/>
          <w:bCs/>
          <w:color w:val="auto"/>
        </w:rPr>
      </w:pPr>
      <w:r>
        <w:rPr>
          <w:rFonts w:ascii="Times New Roman" w:hAnsi="Times New Roman"/>
          <w:b/>
          <w:bCs/>
          <w:color w:val="auto"/>
        </w:rPr>
        <w:t>2.5 Plant Diversity Assessment</w:t>
      </w:r>
    </w:p>
    <w:p w14:paraId="092DD98D">
      <w:pPr>
        <w:pStyle w:val="2"/>
        <w:jc w:val="center"/>
        <w:rPr>
          <w:rFonts w:ascii="Times New Roman" w:hAnsi="Times New Roman"/>
          <w:b/>
          <w:bCs/>
          <w:color w:val="auto"/>
        </w:rPr>
      </w:pPr>
      <w:r>
        <w:rPr>
          <w:rFonts w:ascii="Times New Roman" w:hAnsi="Times New Roman"/>
          <w:b/>
          <w:bCs/>
          <w:color w:val="auto"/>
        </w:rPr>
        <w:t>2.5.1 Sampling Design</w:t>
      </w:r>
    </w:p>
    <w:p w14:paraId="3EFFA61A">
      <w:pPr>
        <w:spacing w:before="100" w:beforeAutospacing="1" w:line="256"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A stratified field sampling approach was employed and this is to effectively capture plant diversity across the urbanization zone (rural–peri-urban–urban gradient) in Makurdi and Otukpo LGAs. Stratification was based on administrative wards, by enabling a fine-scale ecological assessment that reflects actual settlement patterns and varying levels of urbanization. In the Makurdi LGA, six wards were sampled out of the 11 wards, wherein each ward three plots were sampled, this resulted to a total of 18 plots. Similarly, in Otukpo, five wards were sampled with three plots each, giving 15 plots. In total, 33 field plots (see Appendix 3, 3P1–3P33) were established across the two LGAs to ensure comprehensive and representative vegetation data.</w:t>
      </w:r>
    </w:p>
    <w:p w14:paraId="7B3316A9">
      <w:pPr>
        <w:spacing w:before="100" w:beforeAutospacing="1" w:line="256"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A nested hierarchical plot design was used to capture plant diversity across different vegetation layers. For trees, a 10 m × 10 m quadrat was set up at each plot. Within each tree plot, a 5 m × 5 m subplot was designated for shrubs, and a 1 m × 1 m subplot placed centrally for herbaceous species for consistency purposed. The choosen layout allowed for simultaneous measurement of species composition, density, and abundance across vertical strata. All plant species within the plots were identified in the field using standard botanical guides, and voucher specimens were collected for species that required further verification. Species abundance was recorded for each stratum, and GPS coordinates were logged to support spatial referencing and integration with remote sensing and regression analyses. This sampling framework produced a detailed vegetation dataset suitable for calculating species richness, Shannon-Wiener diversity, Simpson diversity, and species evenness across the urbanization gradient.</w:t>
      </w:r>
    </w:p>
    <w:bookmarkEnd w:id="29"/>
    <w:p w14:paraId="261C7441">
      <w:pPr>
        <w:spacing w:before="100" w:beforeAutospacing="1" w:line="273" w:lineRule="auto"/>
        <w:jc w:val="right"/>
        <w:rPr>
          <w:rFonts w:ascii="Times New Roman" w:hAnsi="Times New Roman" w:eastAsia="Times New Roman" w:cs="Times New Roman"/>
          <w:kern w:val="0"/>
          <w:sz w:val="28"/>
          <w:szCs w:val="28"/>
          <w14:ligatures w14:val="none"/>
        </w:rPr>
      </w:pPr>
      <w:r>
        <w:rPr>
          <w:rFonts w:ascii="Calibri" w:hAnsi="Calibri" w:eastAsia="Times New Roman" w:cs="Times New Roman"/>
          <w14:ligatures w14:val="none"/>
        </w:rPr>
        <w:drawing>
          <wp:inline distT="0" distB="0" distL="0" distR="0">
            <wp:extent cx="2552700" cy="2552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552700" cy="2552700"/>
                    </a:xfrm>
                    <a:prstGeom prst="rect">
                      <a:avLst/>
                    </a:prstGeom>
                    <a:noFill/>
                    <a:ln>
                      <a:noFill/>
                    </a:ln>
                  </pic:spPr>
                </pic:pic>
              </a:graphicData>
            </a:graphic>
          </wp:inline>
        </w:drawing>
      </w:r>
      <w:r>
        <w:rPr>
          <w:rFonts w:ascii="Times New Roman" w:hAnsi="Times New Roman" w:eastAsia="Times New Roman" w:cs="Times New Roman"/>
          <w:sz w:val="28"/>
          <w:szCs w:val="28"/>
          <w14:ligatures w14:val="none"/>
        </w:rPr>
        <w:t xml:space="preserve">        </w:t>
      </w:r>
      <w:r>
        <w:rPr>
          <w:rFonts w:ascii="Calibri" w:hAnsi="Calibri" w:eastAsia="Times New Roman" w:cs="Times New Roman"/>
          <w14:ligatures w14:val="none"/>
        </w:rPr>
        <w:drawing>
          <wp:inline distT="0" distB="0" distL="0" distR="0">
            <wp:extent cx="2400300" cy="25717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400300" cy="2571750"/>
                    </a:xfrm>
                    <a:prstGeom prst="rect">
                      <a:avLst/>
                    </a:prstGeom>
                    <a:noFill/>
                    <a:ln>
                      <a:noFill/>
                    </a:ln>
                  </pic:spPr>
                </pic:pic>
              </a:graphicData>
            </a:graphic>
          </wp:inline>
        </w:drawing>
      </w:r>
      <w:r>
        <w:rPr>
          <w:rFonts w:ascii="Times New Roman" w:hAnsi="Times New Roman" w:eastAsia="Times New Roman" w:cs="Times New Roman"/>
          <w:sz w:val="28"/>
          <w:szCs w:val="28"/>
          <w14:ligatures w14:val="none"/>
        </w:rPr>
        <w:t xml:space="preserve">         </w:t>
      </w:r>
    </w:p>
    <w:p w14:paraId="2CA4A593">
      <w:pPr>
        <w:spacing w:before="100" w:beforeAutospacing="1" w:line="273" w:lineRule="auto"/>
        <w:ind w:left="720" w:firstLine="720"/>
        <w:rPr>
          <w:rFonts w:ascii="Times New Roman" w:hAnsi="Times New Roman" w:eastAsia="Times New Roman" w:cs="Times New Roman"/>
          <w:sz w:val="28"/>
          <w:szCs w:val="28"/>
          <w14:ligatures w14:val="none"/>
        </w:rPr>
      </w:pPr>
      <w:r>
        <w:rPr>
          <w:rFonts w:ascii="Arial" w:hAnsi="Arial" w:eastAsia="Times New Roman" w:cs="Arial"/>
          <w:b/>
          <w:color w:val="222222"/>
          <w:shd w:val="clear" w:color="auto" w:fill="F5F5F5"/>
          <w14:ligatures w14:val="none"/>
        </w:rPr>
        <w:t>Mango tree</w:t>
      </w:r>
      <w:r>
        <w:rPr>
          <w:rFonts w:ascii="Arial" w:hAnsi="Arial" w:eastAsia="Times New Roman" w:cs="Arial"/>
          <w:i/>
          <w:color w:val="222222"/>
          <w:shd w:val="clear" w:color="auto" w:fill="F5F5F5"/>
          <w14:ligatures w14:val="none"/>
        </w:rPr>
        <w:t xml:space="preserve"> </w:t>
      </w:r>
      <w:r>
        <w:rPr>
          <w:rFonts w:ascii="Arial" w:hAnsi="Arial" w:eastAsia="Times New Roman" w:cs="Arial"/>
          <w:b/>
          <w:i/>
          <w:color w:val="222222"/>
          <w:shd w:val="clear" w:color="auto" w:fill="F5F5F5"/>
          <w14:ligatures w14:val="none"/>
        </w:rPr>
        <w:t>(Mangifera indica)</w:t>
      </w:r>
      <w:r>
        <w:rPr>
          <w:rFonts w:ascii="Arial" w:hAnsi="Arial" w:eastAsia="Times New Roman" w:cs="Arial"/>
          <w:i/>
          <w:color w:val="222222"/>
          <w:shd w:val="clear" w:color="auto" w:fill="F5F5F5"/>
          <w14:ligatures w14:val="none"/>
        </w:rPr>
        <w:tab/>
      </w:r>
      <w:r>
        <w:rPr>
          <w:rFonts w:ascii="Arial" w:hAnsi="Arial" w:eastAsia="Times New Roman" w:cs="Arial"/>
          <w:i/>
          <w:color w:val="222222"/>
          <w:shd w:val="clear" w:color="auto" w:fill="F5F5F5"/>
          <w14:ligatures w14:val="none"/>
        </w:rPr>
        <w:tab/>
      </w:r>
      <w:r>
        <w:rPr>
          <w:rFonts w:ascii="Arial" w:hAnsi="Arial" w:eastAsia="Times New Roman" w:cs="Arial"/>
          <w:b/>
          <w:color w:val="222222"/>
          <w:shd w:val="clear" w:color="auto" w:fill="F5F5F5"/>
          <w14:ligatures w14:val="none"/>
        </w:rPr>
        <w:t>Coffee senna</w:t>
      </w:r>
      <w:r>
        <w:rPr>
          <w:rFonts w:ascii="Arial" w:hAnsi="Arial" w:eastAsia="Times New Roman" w:cs="Arial"/>
          <w:b/>
          <w:i/>
          <w:color w:val="222222"/>
          <w:shd w:val="clear" w:color="auto" w:fill="F5F5F5"/>
          <w14:ligatures w14:val="none"/>
        </w:rPr>
        <w:t xml:space="preserve"> (Senna occidentalis)</w:t>
      </w:r>
    </w:p>
    <w:p w14:paraId="4370D414">
      <w:pPr>
        <w:spacing w:before="240" w:line="240" w:lineRule="auto"/>
        <w:rPr>
          <w:rFonts w:ascii="Times New Roman" w:hAnsi="Times New Roman" w:eastAsia="Calibri" w:cs="Times New Roman"/>
          <w:sz w:val="24"/>
          <w:szCs w:val="24"/>
          <w14:ligatures w14:val="none"/>
        </w:rPr>
      </w:pPr>
      <w:r>
        <w:rPr>
          <w:rFonts w:ascii="Times New Roman" w:hAnsi="Times New Roman" w:eastAsia="Times New Roman" w:cs="Times New Roman"/>
          <w:b/>
          <w:sz w:val="28"/>
          <w:szCs w:val="28"/>
          <w14:ligatures w14:val="none"/>
        </w:rPr>
        <w:t>FIG 2.5: Field Work on Plants Species Diversity Data Collection:</w:t>
      </w:r>
      <w:r>
        <w:rPr>
          <w:rFonts w:ascii="Times New Roman" w:hAnsi="Times New Roman" w:eastAsia="Calibri" w:cs="Times New Roman"/>
          <w:sz w:val="24"/>
          <w:szCs w:val="24"/>
          <w14:ligatures w14:val="none"/>
        </w:rPr>
        <w:t xml:space="preserve"> Author source</w:t>
      </w:r>
    </w:p>
    <w:p w14:paraId="244EB6CE">
      <w:pPr>
        <w:pStyle w:val="2"/>
        <w:jc w:val="center"/>
        <w:rPr>
          <w:rFonts w:ascii="Times New Roman" w:hAnsi="Times New Roman"/>
          <w:b/>
          <w:bCs/>
          <w:color w:val="auto"/>
        </w:rPr>
      </w:pPr>
      <w:bookmarkStart w:id="30" w:name="_Toc215220485"/>
      <w:r>
        <w:rPr>
          <w:rFonts w:ascii="Times New Roman" w:hAnsi="Times New Roman"/>
          <w:b/>
          <w:bCs/>
          <w:color w:val="auto"/>
        </w:rPr>
        <w:t>2.5.2 Biodiversity Indices Computation</w:t>
      </w:r>
      <w:bookmarkEnd w:id="30"/>
    </w:p>
    <w:p w14:paraId="220D923B">
      <w:pPr>
        <w:spacing w:line="276" w:lineRule="auto"/>
        <w:jc w:val="both"/>
        <w:rPr>
          <w:rFonts w:ascii="Times New Roman" w:hAnsi="Times New Roman" w:cs="Times New Roman"/>
          <w:sz w:val="28"/>
          <w:szCs w:val="28"/>
        </w:rPr>
      </w:pPr>
      <w:r>
        <w:rPr>
          <w:rFonts w:ascii="Times New Roman" w:hAnsi="Times New Roman" w:cs="Times New Roman"/>
          <w:sz w:val="28"/>
          <w:szCs w:val="28"/>
        </w:rPr>
        <w:t>Plant diversity was quantified for each of the 33 plots using three widely applied ecological diversity metrics. These indices provide complementary information on species richness, abundance distribution, and community structure, enabling robust comparison across the urbanization gradient.</w:t>
      </w:r>
    </w:p>
    <w:p w14:paraId="7DAFAA1C">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Shannon-Wiener Diversity Index (H′)</w:t>
      </w:r>
    </w:p>
    <w:p w14:paraId="571DFBB7">
      <w:pPr>
        <w:spacing w:line="276" w:lineRule="auto"/>
        <w:jc w:val="both"/>
        <w:rPr>
          <w:rFonts w:ascii="Times New Roman" w:hAnsi="Times New Roman" w:cs="Times New Roman"/>
          <w:sz w:val="28"/>
          <w:szCs w:val="28"/>
        </w:rPr>
      </w:pPr>
      <m:oMathPara>
        <m:oMath>
          <m:sSup>
            <m:sSupPr>
              <m:ctrlPr>
                <w:rPr>
                  <w:rFonts w:ascii="Cambria Math" w:hAnsi="Cambria Math" w:cs="Times New Roman"/>
                  <w:i/>
                  <w:sz w:val="28"/>
                  <w:szCs w:val="28"/>
                </w:rPr>
              </m:ctrlPr>
            </m:sSupPr>
            <m:e>
              <m:r>
                <m:rPr/>
                <w:rPr>
                  <w:rFonts w:ascii="Cambria Math" w:hAnsi="Cambria Math" w:cs="Times New Roman"/>
                  <w:sz w:val="28"/>
                  <w:szCs w:val="28"/>
                </w:rPr>
                <m:t>H</m:t>
              </m:r>
              <m:ctrlPr>
                <w:rPr>
                  <w:rFonts w:ascii="Cambria Math" w:hAnsi="Cambria Math" w:cs="Times New Roman"/>
                  <w:i/>
                  <w:sz w:val="28"/>
                  <w:szCs w:val="28"/>
                </w:rPr>
              </m:ctrlPr>
            </m:e>
            <m:sup>
              <m:r>
                <m:rPr/>
                <w:rPr>
                  <w:rFonts w:ascii="Cambria Math" w:hAnsi="Cambria Math" w:cs="Times New Roman"/>
                  <w:sz w:val="28"/>
                  <w:szCs w:val="28"/>
                </w:rPr>
                <m:t>'</m:t>
              </m:r>
              <m:ctrlPr>
                <w:rPr>
                  <w:rFonts w:ascii="Cambria Math" w:hAnsi="Cambria Math" w:cs="Times New Roman"/>
                  <w:i/>
                  <w:sz w:val="28"/>
                  <w:szCs w:val="28"/>
                </w:rPr>
              </m:ctrlPr>
            </m:sup>
          </m:sSup>
          <m:r>
            <m:rPr/>
            <w:rPr>
              <w:rFonts w:ascii="Cambria Math" w:hAnsi="Cambria Math" w:cs="Times New Roman"/>
              <w:sz w:val="28"/>
              <w:szCs w:val="28"/>
            </w:rPr>
            <m:t>=−</m:t>
          </m:r>
          <m:nary>
            <m:naryPr>
              <m:chr m:val="∑"/>
              <m:limLoc m:val="undOvr"/>
              <m:subHide m:val="1"/>
              <m:supHide m:val="1"/>
              <m:ctrlPr>
                <w:rPr>
                  <w:rFonts w:ascii="Cambria Math" w:hAnsi="Cambria Math" w:cs="Times New Roman"/>
                  <w:i/>
                  <w:sz w:val="28"/>
                  <w:szCs w:val="28"/>
                </w:rPr>
              </m:ctrlPr>
            </m:naryPr>
            <m:sub>
              <m:ctrlPr>
                <w:rPr>
                  <w:rFonts w:ascii="Cambria Math" w:hAnsi="Cambria Math" w:cs="Times New Roman"/>
                  <w:i/>
                  <w:sz w:val="28"/>
                  <w:szCs w:val="28"/>
                </w:rPr>
              </m:ctrlPr>
            </m:sub>
            <m:sup>
              <m:ctrlPr>
                <w:rPr>
                  <w:rFonts w:ascii="Cambria Math" w:hAnsi="Cambria Math" w:cs="Times New Roman"/>
                  <w:i/>
                  <w:sz w:val="28"/>
                  <w:szCs w:val="28"/>
                </w:rPr>
              </m:ctrlPr>
            </m:sup>
            <m:e>
              <m:sSub>
                <w:bookmarkStart w:id="31" w:name="_Hlk214685933"/>
                <m:sSubPr>
                  <m:ctrlPr>
                    <w:rPr>
                      <w:rFonts w:ascii="Cambria Math" w:hAnsi="Cambria Math" w:cs="Times New Roman"/>
                      <w:i/>
                      <w:sz w:val="28"/>
                      <w:szCs w:val="28"/>
                    </w:rPr>
                  </m:ctrlPr>
                </m:sSubPr>
                <m:e>
                  <m:r>
                    <m:rPr>
                      <m:sty m:val="p"/>
                    </m:rPr>
                    <w:rPr>
                      <w:rFonts w:ascii="Cambria Math" w:hAnsi="Cambria Math"/>
                    </w:rPr>
                    <m:t>p</m:t>
                  </m:r>
                  <m:ctrlPr>
                    <w:rPr>
                      <w:rFonts w:ascii="Cambria Math" w:hAnsi="Cambria Math" w:cs="Times New Roman"/>
                      <w:i/>
                      <w:sz w:val="28"/>
                      <w:szCs w:val="28"/>
                    </w:rPr>
                  </m:ctrlPr>
                </m:e>
                <m:sub>
                  <m:r>
                    <m:rPr/>
                    <w:rPr>
                      <w:rFonts w:ascii="Cambria Math" w:hAnsi="Cambria Math" w:cs="Times New Roman"/>
                      <w:sz w:val="28"/>
                      <w:szCs w:val="28"/>
                    </w:rPr>
                    <m:t>i</m:t>
                  </m:r>
                  <m:ctrlPr>
                    <w:rPr>
                      <w:rFonts w:ascii="Cambria Math" w:hAnsi="Cambria Math" w:cs="Times New Roman"/>
                      <w:i/>
                      <w:sz w:val="28"/>
                      <w:szCs w:val="28"/>
                    </w:rPr>
                  </m:ctrlPr>
                </m:sub>
              </m:sSub>
              <w:bookmarkEnd w:id="31"/>
              <m:func>
                <m:funcPr>
                  <m:ctrlPr>
                    <w:rPr>
                      <w:rFonts w:ascii="Cambria Math" w:hAnsi="Cambria Math" w:cs="Times New Roman"/>
                      <w:i/>
                      <w:sz w:val="28"/>
                      <w:szCs w:val="28"/>
                    </w:rPr>
                  </m:ctrlPr>
                </m:funcPr>
                <m:fName>
                  <m:r>
                    <m:rPr>
                      <m:sty m:val="p"/>
                    </m:rPr>
                    <w:rPr>
                      <w:rFonts w:ascii="Cambria Math" w:hAnsi="Cambria Math" w:cs="Times New Roman"/>
                      <w:sz w:val="28"/>
                      <w:szCs w:val="28"/>
                    </w:rPr>
                    <m:t>ln</m:t>
                  </m:r>
                  <m:ctrlPr>
                    <w:rPr>
                      <w:rFonts w:ascii="Cambria Math" w:hAnsi="Cambria Math" w:cs="Times New Roman"/>
                      <w:i/>
                      <w:sz w:val="28"/>
                      <w:szCs w:val="28"/>
                    </w:rPr>
                  </m:ctrlPr>
                </m:fName>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m:rPr>
                              <m:sty m:val="p"/>
                            </m:rPr>
                            <w:rPr>
                              <w:rFonts w:ascii="Cambria Math" w:hAnsi="Cambria Math"/>
                            </w:rPr>
                            <m:t>p</m:t>
                          </m:r>
                          <m:ctrlPr>
                            <w:rPr>
                              <w:rFonts w:ascii="Cambria Math" w:hAnsi="Cambria Math" w:cs="Times New Roman"/>
                              <w:i/>
                              <w:sz w:val="28"/>
                              <w:szCs w:val="28"/>
                            </w:rPr>
                          </m:ctrlPr>
                        </m:e>
                        <m:sub>
                          <m:r>
                            <m:rPr/>
                            <w:rPr>
                              <w:rFonts w:ascii="Cambria Math" w:hAnsi="Cambria Math" w:cs="Times New Roman"/>
                              <w:sz w:val="28"/>
                              <w:szCs w:val="28"/>
                            </w:rPr>
                            <m:t>i</m:t>
                          </m:r>
                          <m:ctrlPr>
                            <w:rPr>
                              <w:rFonts w:ascii="Cambria Math" w:hAnsi="Cambria Math" w:cs="Times New Roman"/>
                              <w:i/>
                              <w:sz w:val="28"/>
                              <w:szCs w:val="28"/>
                            </w:rPr>
                          </m:ctrlPr>
                        </m:sub>
                      </m:sSub>
                      <m:ctrlPr>
                        <w:rPr>
                          <w:rFonts w:ascii="Cambria Math" w:hAnsi="Cambria Math" w:cs="Times New Roman"/>
                          <w:i/>
                          <w:sz w:val="28"/>
                          <w:szCs w:val="28"/>
                        </w:rPr>
                      </m:ctrlPr>
                    </m:e>
                  </m:d>
                  <m:ctrlPr>
                    <w:rPr>
                      <w:rFonts w:ascii="Cambria Math" w:hAnsi="Cambria Math" w:cs="Times New Roman"/>
                      <w:i/>
                      <w:sz w:val="28"/>
                      <w:szCs w:val="28"/>
                    </w:rPr>
                  </m:ctrlPr>
                </m:e>
              </m:func>
              <m:ctrlPr>
                <w:rPr>
                  <w:rFonts w:ascii="Cambria Math" w:hAnsi="Cambria Math" w:cs="Times New Roman"/>
                  <w:i/>
                  <w:sz w:val="28"/>
                  <w:szCs w:val="28"/>
                </w:rPr>
              </m:ctrlPr>
            </m:e>
          </m:nary>
        </m:oMath>
      </m:oMathPara>
    </w:p>
    <w:p w14:paraId="344E8BF3">
      <w:pPr>
        <w:spacing w:line="276" w:lineRule="auto"/>
        <w:jc w:val="both"/>
        <w:rPr>
          <w:rFonts w:ascii="Times New Roman" w:hAnsi="Times New Roman" w:cs="Times New Roman"/>
          <w:sz w:val="28"/>
          <w:szCs w:val="28"/>
        </w:rPr>
      </w:pPr>
      <w:r>
        <w:rPr>
          <w:rFonts w:ascii="Times New Roman" w:hAnsi="Times New Roman" w:cs="Times New Roman"/>
          <w:sz w:val="28"/>
          <w:szCs w:val="28"/>
        </w:rPr>
        <w:t>Where:</w:t>
      </w:r>
    </w:p>
    <w:p w14:paraId="445BB568">
      <w:pPr>
        <w:numPr>
          <w:ilvl w:val="0"/>
          <w:numId w:val="3"/>
        </w:numPr>
        <w:spacing w:line="276" w:lineRule="auto"/>
        <w:contextualSpacing/>
        <w:jc w:val="both"/>
        <w:rPr>
          <w:rFonts w:ascii="Times New Roman" w:hAnsi="Times New Roman" w:cs="Times New Roman"/>
          <w:sz w:val="28"/>
          <w:szCs w:val="28"/>
        </w:rPr>
      </w:pPr>
      <m:oMath>
        <m:sSub>
          <m:sSubPr>
            <m:ctrlPr>
              <w:rPr>
                <w:rFonts w:ascii="Cambria Math" w:hAnsi="Cambria Math" w:cs="Times New Roman"/>
                <w:i/>
                <w:sz w:val="28"/>
                <w:szCs w:val="28"/>
              </w:rPr>
            </m:ctrlPr>
          </m:sSubPr>
          <m:e>
            <m:r>
              <m:rPr>
                <m:sty m:val="p"/>
              </m:rPr>
              <w:rPr>
                <w:rFonts w:ascii="Cambria Math" w:hAnsi="Cambria Math"/>
              </w:rPr>
              <m:t>p</m:t>
            </m:r>
            <m:ctrlPr>
              <w:rPr>
                <w:rFonts w:ascii="Cambria Math" w:hAnsi="Cambria Math" w:cs="Times New Roman"/>
                <w:i/>
                <w:sz w:val="28"/>
                <w:szCs w:val="28"/>
              </w:rPr>
            </m:ctrlPr>
          </m:e>
          <m:sub>
            <m:r>
              <m:rPr/>
              <w:rPr>
                <w:rFonts w:ascii="Cambria Math" w:hAnsi="Cambria Math" w:cs="Times New Roman"/>
                <w:sz w:val="28"/>
                <w:szCs w:val="28"/>
              </w:rPr>
              <m:t>i</m:t>
            </m:r>
            <m:ctrlPr>
              <w:rPr>
                <w:rFonts w:ascii="Cambria Math" w:hAnsi="Cambria Math" w:cs="Times New Roman"/>
                <w:i/>
                <w:sz w:val="28"/>
                <w:szCs w:val="28"/>
              </w:rPr>
            </m:ctrlPr>
          </m:sub>
        </m:sSub>
      </m:oMath>
      <w:r>
        <w:rPr>
          <w:rFonts w:ascii="Times New Roman" w:hAnsi="Times New Roman" w:cs="Times New Roman" w:eastAsiaTheme="minorEastAsia"/>
          <w:sz w:val="28"/>
          <w:szCs w:val="28"/>
        </w:rPr>
        <w:t>=</w:t>
      </w:r>
      <m:oMath>
        <m:f>
          <m:fPr>
            <m:ctrlPr>
              <w:rPr>
                <w:rFonts w:ascii="Cambria Math" w:hAnsi="Cambria Math" w:cs="Times New Roman" w:eastAsiaTheme="minorEastAsia"/>
                <w:i/>
                <w:sz w:val="28"/>
                <w:szCs w:val="28"/>
              </w:rPr>
            </m:ctrlPr>
          </m:fPr>
          <m:num>
            <m:sSub>
              <m:sSubPr>
                <m:ctrlPr>
                  <w:rPr>
                    <w:rFonts w:ascii="Cambria Math" w:hAnsi="Cambria Math" w:cs="Times New Roman" w:eastAsiaTheme="minorEastAsia"/>
                    <w:i/>
                    <w:sz w:val="28"/>
                    <w:szCs w:val="28"/>
                  </w:rPr>
                </m:ctrlPr>
              </m:sSubPr>
              <m:e>
                <m:r>
                  <m:rPr/>
                  <w:rPr>
                    <w:rFonts w:ascii="Cambria Math" w:hAnsi="Cambria Math" w:cs="Times New Roman" w:eastAsiaTheme="minorEastAsia"/>
                    <w:sz w:val="28"/>
                    <w:szCs w:val="28"/>
                  </w:rPr>
                  <m:t>n</m:t>
                </m:r>
                <m:ctrlPr>
                  <w:rPr>
                    <w:rFonts w:ascii="Cambria Math" w:hAnsi="Cambria Math" w:cs="Times New Roman" w:eastAsiaTheme="minorEastAsia"/>
                    <w:i/>
                    <w:sz w:val="28"/>
                    <w:szCs w:val="28"/>
                  </w:rPr>
                </m:ctrlPr>
              </m:e>
              <m:sub>
                <m:r>
                  <m:rPr/>
                  <w:rPr>
                    <w:rFonts w:ascii="Cambria Math" w:hAnsi="Cambria Math" w:cs="Times New Roman" w:eastAsiaTheme="minorEastAsia"/>
                    <w:sz w:val="28"/>
                    <w:szCs w:val="28"/>
                  </w:rPr>
                  <m:t>i</m:t>
                </m:r>
                <m:ctrlPr>
                  <w:rPr>
                    <w:rFonts w:ascii="Cambria Math" w:hAnsi="Cambria Math" w:cs="Times New Roman" w:eastAsiaTheme="minorEastAsia"/>
                    <w:i/>
                    <w:sz w:val="28"/>
                    <w:szCs w:val="28"/>
                  </w:rPr>
                </m:ctrlPr>
              </m:sub>
            </m:sSub>
            <m:ctrlPr>
              <w:rPr>
                <w:rFonts w:ascii="Cambria Math" w:hAnsi="Cambria Math" w:cs="Times New Roman" w:eastAsiaTheme="minorEastAsia"/>
                <w:i/>
                <w:sz w:val="28"/>
                <w:szCs w:val="28"/>
              </w:rPr>
            </m:ctrlPr>
          </m:num>
          <m:den>
            <m:r>
              <m:rPr/>
              <w:rPr>
                <w:rFonts w:ascii="Cambria Math" w:hAnsi="Cambria Math" w:cs="Times New Roman" w:eastAsiaTheme="minorEastAsia"/>
                <w:sz w:val="28"/>
                <w:szCs w:val="28"/>
              </w:rPr>
              <m:t>N</m:t>
            </m:r>
            <m:ctrlPr>
              <w:rPr>
                <w:rFonts w:ascii="Cambria Math" w:hAnsi="Cambria Math" w:cs="Times New Roman" w:eastAsiaTheme="minorEastAsia"/>
                <w:i/>
                <w:sz w:val="28"/>
                <w:szCs w:val="28"/>
              </w:rPr>
            </m:ctrlPr>
          </m:den>
        </m:f>
      </m:oMath>
    </w:p>
    <w:p w14:paraId="0D4B1F3E">
      <w:pPr>
        <w:numPr>
          <w:ilvl w:val="0"/>
          <w:numId w:val="3"/>
        </w:numPr>
        <w:spacing w:line="276" w:lineRule="auto"/>
        <w:contextualSpacing/>
        <w:jc w:val="both"/>
        <w:rPr>
          <w:rFonts w:ascii="Times New Roman" w:hAnsi="Times New Roman" w:cs="Times New Roman"/>
          <w:sz w:val="28"/>
          <w:szCs w:val="28"/>
        </w:rPr>
      </w:pPr>
      <m:oMath>
        <m:sSub>
          <m:sSubPr>
            <m:ctrlPr>
              <w:rPr>
                <w:rFonts w:ascii="Cambria Math" w:hAnsi="Cambria Math" w:cs="Times New Roman" w:eastAsiaTheme="minorEastAsia"/>
                <w:i/>
                <w:sz w:val="28"/>
                <w:szCs w:val="28"/>
              </w:rPr>
            </m:ctrlPr>
          </m:sSubPr>
          <m:e>
            <m:r>
              <m:rPr/>
              <w:rPr>
                <w:rFonts w:ascii="Cambria Math" w:hAnsi="Cambria Math" w:cs="Times New Roman" w:eastAsiaTheme="minorEastAsia"/>
                <w:sz w:val="28"/>
                <w:szCs w:val="28"/>
              </w:rPr>
              <m:t>n</m:t>
            </m:r>
            <m:ctrlPr>
              <w:rPr>
                <w:rFonts w:ascii="Cambria Math" w:hAnsi="Cambria Math" w:cs="Times New Roman" w:eastAsiaTheme="minorEastAsia"/>
                <w:i/>
                <w:sz w:val="28"/>
                <w:szCs w:val="28"/>
              </w:rPr>
            </m:ctrlPr>
          </m:e>
          <m:sub>
            <m:r>
              <m:rPr/>
              <w:rPr>
                <w:rFonts w:ascii="Cambria Math" w:hAnsi="Cambria Math" w:cs="Times New Roman" w:eastAsiaTheme="minorEastAsia"/>
                <w:sz w:val="28"/>
                <w:szCs w:val="28"/>
              </w:rPr>
              <m:t>i</m:t>
            </m:r>
            <m:ctrlPr>
              <w:rPr>
                <w:rFonts w:ascii="Cambria Math" w:hAnsi="Cambria Math" w:cs="Times New Roman" w:eastAsiaTheme="minorEastAsia"/>
                <w:i/>
                <w:sz w:val="28"/>
                <w:szCs w:val="28"/>
              </w:rPr>
            </m:ctrlPr>
          </m:sub>
        </m:sSub>
      </m:oMath>
      <w:r>
        <w:rPr>
          <w:rFonts w:ascii="Times New Roman" w:hAnsi="Times New Roman" w:cs="Times New Roman"/>
          <w:sz w:val="28"/>
          <w:szCs w:val="28"/>
        </w:rPr>
        <w:t xml:space="preserve"> = number of individuals of species i</w:t>
      </w:r>
    </w:p>
    <w:p w14:paraId="15FA3371">
      <w:pPr>
        <w:numPr>
          <w:ilvl w:val="0"/>
          <w:numId w:val="3"/>
        </w:num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N = total number of individuals in the plot</w:t>
      </w:r>
    </w:p>
    <w:p w14:paraId="3A942615">
      <w:pPr>
        <w:spacing w:line="276" w:lineRule="auto"/>
        <w:jc w:val="both"/>
        <w:rPr>
          <w:rFonts w:ascii="Times New Roman" w:hAnsi="Times New Roman" w:cs="Times New Roman"/>
          <w:sz w:val="28"/>
          <w:szCs w:val="28"/>
        </w:rPr>
      </w:pPr>
      <w:r>
        <w:rPr>
          <w:rFonts w:ascii="Times New Roman" w:hAnsi="Times New Roman" w:cs="Times New Roman"/>
          <w:sz w:val="28"/>
          <w:szCs w:val="28"/>
        </w:rPr>
        <w:t>This index captures both species richness and evenness, with higher values indicating greater diversity and ecological complexity.</w:t>
      </w:r>
    </w:p>
    <w:p w14:paraId="6085B7AA">
      <w:pPr>
        <w:spacing w:before="240" w:line="276" w:lineRule="auto"/>
        <w:jc w:val="both"/>
        <w:rPr>
          <w:rFonts w:ascii="Times New Roman" w:hAnsi="Times New Roman" w:cs="Times New Roman"/>
          <w:b/>
          <w:bCs/>
          <w:sz w:val="28"/>
          <w:szCs w:val="28"/>
        </w:rPr>
      </w:pPr>
      <w:r>
        <w:rPr>
          <w:rFonts w:ascii="Times New Roman" w:hAnsi="Times New Roman" w:cs="Times New Roman"/>
          <w:b/>
          <w:bCs/>
          <w:sz w:val="28"/>
          <w:szCs w:val="28"/>
        </w:rPr>
        <w:t>Simpson’s Diversity Index (1 − D)</w:t>
      </w:r>
    </w:p>
    <w:p w14:paraId="04E3CBE7">
      <w:pPr>
        <w:spacing w:line="276" w:lineRule="auto"/>
        <w:jc w:val="both"/>
        <w:rPr>
          <w:rFonts w:ascii="Times New Roman" w:hAnsi="Times New Roman" w:cs="Times New Roman"/>
          <w:sz w:val="28"/>
          <w:szCs w:val="28"/>
        </w:rPr>
      </w:pPr>
      <m:oMathPara>
        <m:oMath>
          <m:r>
            <m:rPr/>
            <w:rPr>
              <w:rFonts w:ascii="Cambria Math" w:hAnsi="Cambria Math" w:cs="Times New Roman"/>
              <w:sz w:val="28"/>
              <w:szCs w:val="28"/>
            </w:rPr>
            <m:t>1−D=1−</m:t>
          </m:r>
          <m:nary>
            <m:naryPr>
              <m:chr m:val="∑"/>
              <m:limLoc m:val="undOvr"/>
              <m:subHide m:val="1"/>
              <m:supHide m:val="1"/>
              <m:ctrlPr>
                <w:rPr>
                  <w:rFonts w:ascii="Cambria Math" w:hAnsi="Cambria Math" w:cs="Times New Roman"/>
                  <w:i/>
                  <w:sz w:val="28"/>
                  <w:szCs w:val="28"/>
                </w:rPr>
              </m:ctrlPr>
            </m:naryPr>
            <m:sub>
              <m:ctrlPr>
                <w:rPr>
                  <w:rFonts w:ascii="Cambria Math" w:hAnsi="Cambria Math" w:cs="Times New Roman"/>
                  <w:i/>
                  <w:sz w:val="28"/>
                  <w:szCs w:val="28"/>
                </w:rPr>
              </m:ctrlPr>
            </m:sub>
            <m:sup>
              <m:ctrlPr>
                <w:rPr>
                  <w:rFonts w:ascii="Cambria Math" w:hAnsi="Cambria Math" w:cs="Times New Roman"/>
                  <w:i/>
                  <w:sz w:val="28"/>
                  <w:szCs w:val="28"/>
                </w:rPr>
              </m:ctrlPr>
            </m:sup>
            <m:e>
              <m:sSubSup>
                <m:sSubSupPr>
                  <m:ctrlPr>
                    <w:rPr>
                      <w:rFonts w:ascii="Cambria Math" w:hAnsi="Cambria Math" w:cs="Times New Roman"/>
                      <w:i/>
                      <w:sz w:val="28"/>
                      <w:szCs w:val="28"/>
                    </w:rPr>
                  </m:ctrlPr>
                </m:sSubSupPr>
                <m:e>
                  <m:r>
                    <m:rPr/>
                    <w:rPr>
                      <w:rFonts w:ascii="Cambria Math" w:hAnsi="Cambria Math" w:cs="Times New Roman"/>
                      <w:sz w:val="28"/>
                      <w:szCs w:val="28"/>
                    </w:rPr>
                    <m:t>p</m:t>
                  </m:r>
                  <m:ctrlPr>
                    <w:rPr>
                      <w:rFonts w:ascii="Cambria Math" w:hAnsi="Cambria Math" w:cs="Times New Roman"/>
                      <w:i/>
                      <w:sz w:val="28"/>
                      <w:szCs w:val="28"/>
                    </w:rPr>
                  </m:ctrlPr>
                </m:e>
                <m:sub>
                  <m:r>
                    <m:rPr/>
                    <w:rPr>
                      <w:rFonts w:ascii="Cambria Math" w:hAnsi="Cambria Math" w:cs="Times New Roman"/>
                      <w:sz w:val="28"/>
                      <w:szCs w:val="28"/>
                    </w:rPr>
                    <m:t>i</m:t>
                  </m:r>
                  <m:ctrlPr>
                    <w:rPr>
                      <w:rFonts w:ascii="Cambria Math" w:hAnsi="Cambria Math" w:cs="Times New Roman"/>
                      <w:i/>
                      <w:sz w:val="28"/>
                      <w:szCs w:val="28"/>
                    </w:rPr>
                  </m:ctrlPr>
                </m:sub>
                <m:sup>
                  <m:r>
                    <m:rPr/>
                    <w:rPr>
                      <w:rFonts w:ascii="Cambria Math" w:hAnsi="Cambria Math" w:cs="Times New Roman"/>
                      <w:sz w:val="28"/>
                      <w:szCs w:val="28"/>
                    </w:rPr>
                    <m:t>2</m:t>
                  </m:r>
                  <m:ctrlPr>
                    <w:rPr>
                      <w:rFonts w:ascii="Cambria Math" w:hAnsi="Cambria Math" w:cs="Times New Roman"/>
                      <w:i/>
                      <w:sz w:val="28"/>
                      <w:szCs w:val="28"/>
                    </w:rPr>
                  </m:ctrlPr>
                </m:sup>
              </m:sSubSup>
              <m:ctrlPr>
                <w:rPr>
                  <w:rFonts w:ascii="Cambria Math" w:hAnsi="Cambria Math" w:cs="Times New Roman"/>
                  <w:i/>
                  <w:sz w:val="28"/>
                  <w:szCs w:val="28"/>
                </w:rPr>
              </m:ctrlPr>
            </m:e>
          </m:nary>
        </m:oMath>
      </m:oMathPara>
    </w:p>
    <w:p w14:paraId="321219E9">
      <w:pPr>
        <w:spacing w:line="276" w:lineRule="auto"/>
        <w:jc w:val="both"/>
        <w:rPr>
          <w:rFonts w:ascii="Times New Roman" w:hAnsi="Times New Roman" w:cs="Times New Roman"/>
          <w:sz w:val="28"/>
          <w:szCs w:val="28"/>
        </w:rPr>
      </w:pPr>
      <w:r>
        <w:rPr>
          <w:rFonts w:ascii="Times New Roman" w:hAnsi="Times New Roman" w:cs="Times New Roman"/>
          <w:sz w:val="28"/>
          <w:szCs w:val="28"/>
        </w:rPr>
        <w:t>This index emphasizes species dominance and community balance. Values closer to 1 signify more diverse and less dominated plant communities.</w:t>
      </w:r>
    </w:p>
    <w:p w14:paraId="7B78D3F0">
      <w:pPr>
        <w:spacing w:before="240" w:line="276" w:lineRule="auto"/>
        <w:jc w:val="both"/>
        <w:rPr>
          <w:rFonts w:ascii="Times New Roman" w:hAnsi="Times New Roman" w:cs="Times New Roman"/>
          <w:b/>
          <w:bCs/>
          <w:sz w:val="28"/>
          <w:szCs w:val="28"/>
        </w:rPr>
      </w:pPr>
      <w:r>
        <w:rPr>
          <w:rFonts w:ascii="Times New Roman" w:hAnsi="Times New Roman" w:cs="Times New Roman"/>
          <w:b/>
          <w:bCs/>
          <w:sz w:val="28"/>
          <w:szCs w:val="28"/>
        </w:rPr>
        <w:t>Pielou’s Evenness (E)</w:t>
      </w:r>
    </w:p>
    <w:p w14:paraId="65678549">
      <w:pPr>
        <w:spacing w:line="276" w:lineRule="auto"/>
        <w:jc w:val="both"/>
        <w:rPr>
          <w:rFonts w:ascii="Times New Roman" w:hAnsi="Times New Roman" w:cs="Times New Roman"/>
          <w:sz w:val="28"/>
          <w:szCs w:val="28"/>
        </w:rPr>
      </w:pPr>
      <m:oMathPara>
        <m:oMath>
          <m:r>
            <m:rPr/>
            <w:rPr>
              <w:rFonts w:ascii="Cambria Math" w:hAnsi="Cambria Math" w:cs="Times New Roman"/>
              <w:sz w:val="28"/>
              <w:szCs w:val="28"/>
            </w:rPr>
            <m:t>E=</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m:rPr/>
                    <w:rPr>
                      <w:rFonts w:ascii="Cambria Math" w:hAnsi="Cambria Math" w:cs="Times New Roman"/>
                      <w:sz w:val="28"/>
                      <w:szCs w:val="28"/>
                    </w:rPr>
                    <m:t>H</m:t>
                  </m:r>
                  <m:ctrlPr>
                    <w:rPr>
                      <w:rFonts w:ascii="Cambria Math" w:hAnsi="Cambria Math" w:cs="Times New Roman"/>
                      <w:i/>
                      <w:sz w:val="28"/>
                      <w:szCs w:val="28"/>
                    </w:rPr>
                  </m:ctrlPr>
                </m:e>
                <m:sup>
                  <m:r>
                    <m:rPr/>
                    <w:rPr>
                      <w:rFonts w:ascii="Cambria Math" w:hAnsi="Cambria Math" w:cs="Times New Roman"/>
                      <w:sz w:val="28"/>
                      <w:szCs w:val="28"/>
                    </w:rPr>
                    <m:t>'</m:t>
                  </m:r>
                  <m:ctrlPr>
                    <w:rPr>
                      <w:rFonts w:ascii="Cambria Math" w:hAnsi="Cambria Math" w:cs="Times New Roman"/>
                      <w:i/>
                      <w:sz w:val="28"/>
                      <w:szCs w:val="28"/>
                    </w:rPr>
                  </m:ctrlPr>
                </m:sup>
              </m:sSup>
              <m:ctrlPr>
                <w:rPr>
                  <w:rFonts w:ascii="Cambria Math" w:hAnsi="Cambria Math" w:cs="Times New Roman"/>
                  <w:i/>
                  <w:sz w:val="28"/>
                  <w:szCs w:val="28"/>
                </w:rPr>
              </m:ctrlPr>
            </m:num>
            <m:den>
              <m:func>
                <m:funcPr>
                  <m:ctrlPr>
                    <w:rPr>
                      <w:rFonts w:ascii="Cambria Math" w:hAnsi="Cambria Math" w:cs="Times New Roman"/>
                      <w:i/>
                      <w:sz w:val="28"/>
                      <w:szCs w:val="28"/>
                    </w:rPr>
                  </m:ctrlPr>
                </m:funcPr>
                <m:fName>
                  <m:r>
                    <m:rPr>
                      <m:sty m:val="p"/>
                    </m:rPr>
                    <w:rPr>
                      <w:rFonts w:ascii="Cambria Math" w:hAnsi="Cambria Math" w:cs="Times New Roman"/>
                      <w:sz w:val="28"/>
                      <w:szCs w:val="28"/>
                    </w:rPr>
                    <m:t>ln</m:t>
                  </m:r>
                  <m:ctrlPr>
                    <w:rPr>
                      <w:rFonts w:ascii="Cambria Math" w:hAnsi="Cambria Math" w:cs="Times New Roman"/>
                      <w:i/>
                      <w:sz w:val="28"/>
                      <w:szCs w:val="28"/>
                    </w:rPr>
                  </m:ctrlPr>
                </m:fName>
                <m:e>
                  <m:r>
                    <m:rPr/>
                    <w:rPr>
                      <w:rFonts w:ascii="Cambria Math" w:hAnsi="Cambria Math" w:cs="Times New Roman"/>
                      <w:sz w:val="28"/>
                      <w:szCs w:val="28"/>
                    </w:rPr>
                    <m:t>S</m:t>
                  </m:r>
                  <m:ctrlPr>
                    <w:rPr>
                      <w:rFonts w:ascii="Cambria Math" w:hAnsi="Cambria Math" w:cs="Times New Roman"/>
                      <w:i/>
                      <w:sz w:val="28"/>
                      <w:szCs w:val="28"/>
                    </w:rPr>
                  </m:ctrlPr>
                </m:e>
              </m:func>
              <m:ctrlPr>
                <w:rPr>
                  <w:rFonts w:ascii="Cambria Math" w:hAnsi="Cambria Math" w:cs="Times New Roman"/>
                  <w:i/>
                  <w:sz w:val="28"/>
                  <w:szCs w:val="28"/>
                </w:rPr>
              </m:ctrlPr>
            </m:den>
          </m:f>
        </m:oMath>
      </m:oMathPara>
    </w:p>
    <w:p w14:paraId="4F713F53">
      <w:pPr>
        <w:spacing w:line="276" w:lineRule="auto"/>
        <w:jc w:val="both"/>
        <w:rPr>
          <w:rFonts w:ascii="Times New Roman" w:hAnsi="Times New Roman" w:cs="Times New Roman"/>
          <w:sz w:val="28"/>
          <w:szCs w:val="28"/>
        </w:rPr>
      </w:pPr>
      <w:r>
        <w:rPr>
          <w:rFonts w:ascii="Times New Roman" w:hAnsi="Times New Roman" w:cs="Times New Roman"/>
          <w:sz w:val="28"/>
          <w:szCs w:val="28"/>
        </w:rPr>
        <w:t>Where:</w:t>
      </w:r>
    </w:p>
    <w:p w14:paraId="46972C04">
      <w:pPr>
        <w:numPr>
          <w:ilvl w:val="0"/>
          <w:numId w:val="4"/>
        </w:num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S = total number of species recorded in the plot</w:t>
      </w:r>
    </w:p>
    <w:p w14:paraId="30807FA1">
      <w:pPr>
        <w:spacing w:line="276" w:lineRule="auto"/>
        <w:jc w:val="both"/>
        <w:rPr>
          <w:rFonts w:ascii="Times New Roman" w:hAnsi="Times New Roman" w:cs="Times New Roman"/>
          <w:sz w:val="28"/>
          <w:szCs w:val="28"/>
        </w:rPr>
      </w:pPr>
      <w:r>
        <w:rPr>
          <w:rFonts w:ascii="Times New Roman" w:hAnsi="Times New Roman" w:cs="Times New Roman"/>
          <w:sz w:val="28"/>
          <w:szCs w:val="28"/>
        </w:rPr>
        <w:t>Evenness values close to 1 indicate equitable distribution of individuals across species, reflecting stable and undisturbed vegetation communities.</w:t>
      </w:r>
    </w:p>
    <w:p w14:paraId="4CAD05B9">
      <w:pPr>
        <w:spacing w:line="276" w:lineRule="auto"/>
        <w:jc w:val="both"/>
        <w:rPr>
          <w:rFonts w:ascii="Times New Roman" w:hAnsi="Times New Roman" w:cs="Times New Roman"/>
          <w:sz w:val="28"/>
          <w:szCs w:val="28"/>
        </w:rPr>
      </w:pPr>
      <w:r>
        <w:rPr>
          <w:rFonts w:ascii="Times New Roman" w:hAnsi="Times New Roman" w:cs="Times New Roman"/>
          <w:sz w:val="28"/>
          <w:szCs w:val="28"/>
        </w:rPr>
        <w:t>The computation of these indices provided quantitative measures for evaluating how plant diversity structure responds to increasing levels of urbanization (Solymosi et al. 2019; Xie et al. 2020; Bai et al. 2017).</w:t>
      </w:r>
    </w:p>
    <w:p w14:paraId="7D599A8B">
      <w:pPr>
        <w:pStyle w:val="2"/>
        <w:jc w:val="center"/>
        <w:rPr>
          <w:rFonts w:ascii="Times New Roman" w:hAnsi="Times New Roman"/>
          <w:b/>
          <w:bCs/>
          <w:color w:val="auto"/>
        </w:rPr>
      </w:pPr>
      <w:bookmarkStart w:id="32" w:name="_Toc215220486"/>
      <w:r>
        <w:rPr>
          <w:rFonts w:ascii="Times New Roman" w:hAnsi="Times New Roman"/>
          <w:b/>
          <w:bCs/>
          <w:color w:val="auto"/>
        </w:rPr>
        <w:t>2.5.3 Statistical Analysis of Diversity</w:t>
      </w:r>
      <w:bookmarkEnd w:id="32"/>
    </w:p>
    <w:p w14:paraId="718AB098">
      <w:pPr>
        <w:pStyle w:val="2"/>
        <w:jc w:val="center"/>
        <w:rPr>
          <w:rFonts w:ascii="Times New Roman" w:hAnsi="Times New Roman"/>
          <w:b/>
          <w:bCs/>
          <w:color w:val="auto"/>
        </w:rPr>
      </w:pPr>
      <w:bookmarkStart w:id="33" w:name="_Toc215220487"/>
      <w:r>
        <w:rPr>
          <w:rFonts w:ascii="Times New Roman" w:hAnsi="Times New Roman"/>
          <w:b/>
          <w:bCs/>
          <w:color w:val="auto"/>
        </w:rPr>
        <w:t>2.5.3.1 One-Way ANOVA</w:t>
      </w:r>
      <w:bookmarkEnd w:id="33"/>
    </w:p>
    <w:p w14:paraId="70A598D9">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A one-way Analysis of Variance (ANOVA) was applied to test whether plant diversity metrics differed significantly across the three urbanization zones urban, peri-urban, and rural </w:t>
      </w:r>
      <w:bookmarkStart w:id="34" w:name="ZOTERO_BREF_nRa8nyNm9nMU"/>
      <w:r>
        <w:rPr>
          <w:rFonts w:ascii="Times New Roman" w:hAnsi="Times New Roman" w:eastAsia="Calibri" w:cs="Times New Roman"/>
          <w:sz w:val="28"/>
          <w14:ligatures w14:val="none"/>
        </w:rPr>
        <w:t>(Ross and Willson 2017)</w:t>
      </w:r>
      <w:bookmarkEnd w:id="34"/>
      <w:r>
        <w:rPr>
          <w:rFonts w:ascii="Times New Roman" w:hAnsi="Times New Roman" w:eastAsia="Calibri" w:cs="Times New Roman"/>
          <w:sz w:val="28"/>
          <w:szCs w:val="28"/>
          <w14:ligatures w14:val="none"/>
        </w:rPr>
        <w:t>. The dependent variables included:</w:t>
      </w:r>
    </w:p>
    <w:p w14:paraId="1BE5B0C0">
      <w:pPr>
        <w:numPr>
          <w:ilvl w:val="0"/>
          <w:numId w:val="5"/>
        </w:numPr>
        <w:spacing w:before="10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Shannon-Wiener Diversity Index (H′)</w:t>
      </w:r>
    </w:p>
    <w:p w14:paraId="55BA693A">
      <w:pPr>
        <w:numPr>
          <w:ilvl w:val="0"/>
          <w:numId w:val="5"/>
        </w:numPr>
        <w:spacing w:before="10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Simpson’s Diversity Index (1 − D)</w:t>
      </w:r>
    </w:p>
    <w:p w14:paraId="6B63A7BD">
      <w:pPr>
        <w:numPr>
          <w:ilvl w:val="0"/>
          <w:numId w:val="5"/>
        </w:numPr>
        <w:spacing w:before="10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Pielou’s Evenness (E)</w:t>
      </w:r>
    </w:p>
    <w:p w14:paraId="17D499D0">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Prior to the analysis, the ANOVA assumptions (normality and homogeneity of variances) were verified using Shapiro-Wilk and Levene’s tests. Where the assumptions were met, ANOVA was used to determine whether mean diversity values differed among the zones. In the case where the assumptions are violated, the analysis were supported by visual inspection and potential reporting of ANOVA results as supplementary information. A Post-hoc comparisons (Tukey HSD) were conducted where ANOVA yielded significant differences, and this helped in identify specific zone-level contrasts. This statistical approach enabled rigorous assessment of how urbanization intensity influences species diversity and community structure across Makurdi and Otukpo.</w:t>
      </w:r>
    </w:p>
    <w:p w14:paraId="521D6CEB">
      <w:pPr>
        <w:pStyle w:val="2"/>
        <w:jc w:val="center"/>
        <w:rPr>
          <w:rFonts w:ascii="Times New Roman" w:hAnsi="Times New Roman"/>
          <w:b/>
          <w:bCs/>
          <w:color w:val="auto"/>
        </w:rPr>
      </w:pPr>
      <w:bookmarkStart w:id="35" w:name="_Toc215220488"/>
      <w:r>
        <w:rPr>
          <w:rFonts w:ascii="Times New Roman" w:hAnsi="Times New Roman"/>
          <w:b/>
          <w:bCs/>
          <w:color w:val="auto"/>
        </w:rPr>
        <w:t>2.5.3.2 Post-hoc Tests</w:t>
      </w:r>
      <w:bookmarkEnd w:id="35"/>
    </w:p>
    <w:p w14:paraId="4DE86197">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Where the one-way ANOVA indicated significant differences among the urban, peri-urban, and rural zones, Tukey’s Honestly Significant Difference (HSD) test was employed for pairwise comparisons. Tukey HSD identifies which specific pairs of zones differ significantly in terms of:</w:t>
      </w:r>
    </w:p>
    <w:p w14:paraId="66F4BF1C">
      <w:pPr>
        <w:numPr>
          <w:ilvl w:val="0"/>
          <w:numId w:val="6"/>
        </w:numPr>
        <w:spacing w:before="10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Shannon–Wiener Diversity Index (H′)</w:t>
      </w:r>
    </w:p>
    <w:p w14:paraId="56548C88">
      <w:pPr>
        <w:numPr>
          <w:ilvl w:val="0"/>
          <w:numId w:val="6"/>
        </w:numPr>
        <w:spacing w:before="10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Simpson’s Diversity Index (1 − D)</w:t>
      </w:r>
    </w:p>
    <w:p w14:paraId="04A024D0">
      <w:pPr>
        <w:numPr>
          <w:ilvl w:val="0"/>
          <w:numId w:val="6"/>
        </w:numPr>
        <w:spacing w:before="10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Pielou’s Evenness (E)</w:t>
      </w:r>
    </w:p>
    <w:p w14:paraId="0EB0E627">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This post-hoc procedure controls for Type I error across multiple comparisons and provides robust inference on the specific effects of urbanization intensity on plant diversity patterns.</w:t>
      </w:r>
    </w:p>
    <w:p w14:paraId="337A2E8D">
      <w:pPr>
        <w:pStyle w:val="2"/>
        <w:jc w:val="center"/>
        <w:rPr>
          <w:rFonts w:ascii="Times New Roman" w:hAnsi="Times New Roman"/>
          <w:b/>
          <w:bCs/>
          <w:color w:val="auto"/>
        </w:rPr>
      </w:pPr>
      <w:bookmarkStart w:id="36" w:name="_Toc215220489"/>
      <w:r>
        <w:rPr>
          <w:rFonts w:ascii="Times New Roman" w:hAnsi="Times New Roman"/>
          <w:b/>
          <w:bCs/>
          <w:color w:val="auto"/>
        </w:rPr>
        <w:t>2.6 Ecosystem Functioning and Urbanization Impact Modelling</w:t>
      </w:r>
      <w:bookmarkEnd w:id="36"/>
    </w:p>
    <w:p w14:paraId="71589C87">
      <w:pPr>
        <w:pStyle w:val="2"/>
        <w:jc w:val="center"/>
        <w:rPr>
          <w:rFonts w:ascii="Times New Roman" w:hAnsi="Times New Roman"/>
          <w:b/>
          <w:bCs/>
          <w:color w:val="auto"/>
        </w:rPr>
      </w:pPr>
      <w:bookmarkStart w:id="37" w:name="_Toc215220490"/>
      <w:r>
        <w:rPr>
          <w:rFonts w:ascii="Times New Roman" w:hAnsi="Times New Roman"/>
          <w:b/>
          <w:bCs/>
          <w:color w:val="auto"/>
        </w:rPr>
        <w:t>2.6.1 Urbanization Metrics Extraction</w:t>
      </w:r>
      <w:bookmarkEnd w:id="37"/>
    </w:p>
    <w:p w14:paraId="6F79E7EB">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Urbanization intensity for each sampled ward was quantified using the 500 m buffer polygons created around field-validated ward centroids (Appendix 4). These buffers were stored as a single asset (WARD_ZONES_BUFFER) and served as spatial units for zonal statistics extraction in GEE using Appendix 1. Three primary urbanization metrics were computed for each buffer:</w:t>
      </w:r>
    </w:p>
    <w:p w14:paraId="32C30C65">
      <w:pPr>
        <w:numPr>
          <w:ilvl w:val="0"/>
          <w:numId w:val="7"/>
        </w:numPr>
        <w:spacing w:before="100" w:beforeAutospacing="1" w:after="100" w:afterAutospacing="1"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Built-up Percentage (% Built-up)</w:t>
      </w:r>
    </w:p>
    <w:p w14:paraId="7FBF596D">
      <w:pPr>
        <w:spacing w:before="10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Derived from the ESA WorldCover 2021 land-use map. Pixels classified as “Built-up (50)” were extracted and expressed as the mean proportion of built-up area within each buffer.</w:t>
      </w:r>
    </w:p>
    <w:p w14:paraId="6AD6A986">
      <w:pPr>
        <w:numPr>
          <w:ilvl w:val="0"/>
          <w:numId w:val="7"/>
        </w:numPr>
        <w:spacing w:before="100" w:beforeAutospacing="1" w:after="100" w:afterAutospacing="1"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Night-time Light Intensity (NTL)</w:t>
      </w:r>
    </w:p>
    <w:p w14:paraId="48326E7E">
      <w:pPr>
        <w:spacing w:before="10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Obtained from VIIRS 2024 monthly composites. Mean radiance within each buffer served as a proxy for anthropogenic activity and infrastructure intensity.</w:t>
      </w:r>
    </w:p>
    <w:p w14:paraId="51C5B881">
      <w:pPr>
        <w:numPr>
          <w:ilvl w:val="0"/>
          <w:numId w:val="7"/>
        </w:numPr>
        <w:spacing w:before="100" w:beforeAutospacing="1" w:after="100" w:afterAutospacing="1"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Population Density</w:t>
      </w:r>
    </w:p>
    <w:p w14:paraId="294419D0">
      <w:pPr>
        <w:spacing w:before="10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Extracted from the WorldPop 2020 gridded population dataset. Mean population density within each buffer was used to represent human pressure.</w:t>
      </w:r>
    </w:p>
    <w:p w14:paraId="349EF816">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All extracted metrics were exported from GEE into a unified CSV file and standardized using z-scores before regression modelling to ensure comparability and reduce scale effects.</w:t>
      </w:r>
    </w:p>
    <w:p w14:paraId="51A02E52">
      <w:pPr>
        <w:pStyle w:val="2"/>
        <w:jc w:val="center"/>
        <w:rPr>
          <w:rFonts w:ascii="Times New Roman" w:hAnsi="Times New Roman"/>
          <w:b/>
          <w:bCs/>
          <w:color w:val="auto"/>
        </w:rPr>
      </w:pPr>
      <w:bookmarkStart w:id="38" w:name="_Toc215220491"/>
      <w:r>
        <w:rPr>
          <w:rFonts w:ascii="Times New Roman" w:hAnsi="Times New Roman"/>
          <w:b/>
          <w:bCs/>
          <w:color w:val="auto"/>
        </w:rPr>
        <w:t>2.6.2 Ecosystem Function Indicators</w:t>
      </w:r>
      <w:bookmarkEnd w:id="38"/>
    </w:p>
    <w:p w14:paraId="40BE23E6">
      <w:pPr>
        <w:spacing w:line="276" w:lineRule="auto"/>
        <w:jc w:val="both"/>
        <w:rPr>
          <w:rFonts w:ascii="Times New Roman" w:hAnsi="Times New Roman" w:cs="Times New Roman"/>
          <w:sz w:val="28"/>
          <w:szCs w:val="28"/>
        </w:rPr>
      </w:pPr>
      <w:r>
        <w:rPr>
          <w:rFonts w:ascii="Times New Roman" w:hAnsi="Times New Roman" w:cs="Times New Roman"/>
          <w:sz w:val="28"/>
          <w:szCs w:val="28"/>
        </w:rPr>
        <w:t>Ecosystem functioning indicators were derived for each ward buffer using harmonized remote-sensing and soil datasets (Appendix 1). Indicators were computed as buffer-level means and exported as attributes for each ward:</w:t>
      </w:r>
    </w:p>
    <w:p w14:paraId="59740013">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Vegetation Function Indicators</w:t>
      </w:r>
    </w:p>
    <w:p w14:paraId="5233CAB8">
      <w:pPr>
        <w:numPr>
          <w:ilvl w:val="0"/>
          <w:numId w:val="8"/>
        </w:numPr>
        <w:spacing w:line="276"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NDVI (Normalized Difference Vegetation Index)</w:t>
      </w:r>
    </w:p>
    <w:p w14:paraId="27F4CB50">
      <w:pPr>
        <w:spacing w:line="276" w:lineRule="auto"/>
        <w:ind w:left="720"/>
        <w:contextualSpacing/>
        <w:jc w:val="both"/>
        <w:rPr>
          <w:rFonts w:ascii="Times New Roman" w:hAnsi="Times New Roman" w:cs="Times New Roman"/>
          <w:sz w:val="28"/>
          <w:szCs w:val="28"/>
        </w:rPr>
      </w:pPr>
      <w:r>
        <w:rPr>
          <w:rFonts w:ascii="Times New Roman" w:hAnsi="Times New Roman" w:cs="Times New Roman"/>
          <w:sz w:val="28"/>
          <w:szCs w:val="28"/>
        </w:rPr>
        <w:t>Derived from the surface reflectance Landsat 8 (2024) composite using:</w:t>
      </w:r>
    </w:p>
    <w:p w14:paraId="75288710">
      <w:pPr>
        <w:spacing w:line="276" w:lineRule="auto"/>
        <w:ind w:left="720"/>
        <w:contextualSpacing/>
        <w:jc w:val="both"/>
        <w:rPr>
          <w:rFonts w:ascii="Times New Roman" w:hAnsi="Times New Roman" w:cs="Times New Roman"/>
          <w:sz w:val="28"/>
          <w:szCs w:val="28"/>
        </w:rPr>
      </w:pPr>
      <m:oMathPara>
        <m:oMath>
          <m:r>
            <m:rPr/>
            <w:rPr>
              <w:rFonts w:ascii="Cambria Math" w:hAnsi="Cambria Math" w:cs="Times New Roman"/>
              <w:sz w:val="28"/>
              <w:szCs w:val="28"/>
            </w:rPr>
            <m:t>NDVI=</m:t>
          </m:r>
          <m:f>
            <m:fPr>
              <m:ctrlPr>
                <w:rPr>
                  <w:rFonts w:ascii="Cambria Math" w:hAnsi="Cambria Math" w:cs="Times New Roman"/>
                  <w:i/>
                  <w:sz w:val="28"/>
                  <w:szCs w:val="28"/>
                </w:rPr>
              </m:ctrlPr>
            </m:fPr>
            <m:num>
              <m:r>
                <m:rPr/>
                <w:rPr>
                  <w:rFonts w:ascii="Cambria Math" w:hAnsi="Cambria Math" w:cs="Times New Roman"/>
                  <w:sz w:val="28"/>
                  <w:szCs w:val="28"/>
                </w:rPr>
                <m:t>NIR−RED</m:t>
              </m:r>
              <m:ctrlPr>
                <w:rPr>
                  <w:rFonts w:ascii="Cambria Math" w:hAnsi="Cambria Math" w:cs="Times New Roman"/>
                  <w:i/>
                  <w:sz w:val="28"/>
                  <w:szCs w:val="28"/>
                </w:rPr>
              </m:ctrlPr>
            </m:num>
            <m:den>
              <m:r>
                <m:rPr/>
                <w:rPr>
                  <w:rFonts w:ascii="Cambria Math" w:hAnsi="Cambria Math" w:cs="Times New Roman"/>
                  <w:sz w:val="28"/>
                  <w:szCs w:val="28"/>
                </w:rPr>
                <m:t>NIR+RED</m:t>
              </m:r>
              <m:ctrlPr>
                <w:rPr>
                  <w:rFonts w:ascii="Cambria Math" w:hAnsi="Cambria Math" w:cs="Times New Roman"/>
                  <w:i/>
                  <w:sz w:val="28"/>
                  <w:szCs w:val="28"/>
                </w:rPr>
              </m:ctrlPr>
            </m:den>
          </m:f>
        </m:oMath>
      </m:oMathPara>
    </w:p>
    <w:p w14:paraId="2ED26A33">
      <w:pPr>
        <w:numPr>
          <w:ilvl w:val="0"/>
          <w:numId w:val="8"/>
        </w:numPr>
        <w:spacing w:line="276"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EVI (Enhanced Vegetation Index)</w:t>
      </w:r>
    </w:p>
    <w:p w14:paraId="5940E3E4">
      <w:pPr>
        <w:spacing w:line="276" w:lineRule="auto"/>
        <w:ind w:left="720"/>
        <w:contextualSpacing/>
        <w:jc w:val="both"/>
        <w:rPr>
          <w:rFonts w:ascii="Times New Roman" w:hAnsi="Times New Roman" w:cs="Times New Roman"/>
          <w:sz w:val="28"/>
          <w:szCs w:val="28"/>
        </w:rPr>
      </w:pPr>
      <w:r>
        <w:rPr>
          <w:rFonts w:ascii="Times New Roman" w:hAnsi="Times New Roman" w:cs="Times New Roman"/>
          <w:sz w:val="28"/>
          <w:szCs w:val="28"/>
        </w:rPr>
        <w:t>Computed using:</w:t>
      </w:r>
    </w:p>
    <w:p w14:paraId="297398F7">
      <w:pPr>
        <w:spacing w:line="276" w:lineRule="auto"/>
        <w:ind w:left="720"/>
        <w:contextualSpacing/>
        <w:jc w:val="both"/>
        <w:rPr>
          <w:rFonts w:ascii="Times New Roman" w:hAnsi="Times New Roman" w:cs="Times New Roman"/>
          <w:sz w:val="28"/>
          <w:szCs w:val="28"/>
        </w:rPr>
      </w:pPr>
      <m:oMathPara>
        <m:oMath>
          <m:r>
            <m:rPr/>
            <w:rPr>
              <w:rFonts w:ascii="Cambria Math" w:hAnsi="Cambria Math" w:cs="Times New Roman"/>
              <w:sz w:val="28"/>
              <w:szCs w:val="28"/>
            </w:rPr>
            <m:t>EVI=2.5×</m:t>
          </m:r>
          <m:f>
            <m:fPr>
              <m:ctrlPr>
                <w:rPr>
                  <w:rFonts w:ascii="Cambria Math" w:hAnsi="Cambria Math" w:cs="Times New Roman"/>
                  <w:i/>
                  <w:sz w:val="28"/>
                  <w:szCs w:val="28"/>
                </w:rPr>
              </m:ctrlPr>
            </m:fPr>
            <m:num>
              <m:r>
                <m:rPr/>
                <w:rPr>
                  <w:rFonts w:ascii="Cambria Math" w:hAnsi="Cambria Math" w:cs="Times New Roman"/>
                  <w:sz w:val="28"/>
                  <w:szCs w:val="28"/>
                </w:rPr>
                <m:t>NIR−RED</m:t>
              </m:r>
              <m:ctrlPr>
                <w:rPr>
                  <w:rFonts w:ascii="Cambria Math" w:hAnsi="Cambria Math" w:cs="Times New Roman"/>
                  <w:i/>
                  <w:sz w:val="28"/>
                  <w:szCs w:val="28"/>
                </w:rPr>
              </m:ctrlPr>
            </m:num>
            <m:den>
              <m:r>
                <m:rPr/>
                <w:rPr>
                  <w:rFonts w:ascii="Cambria Math" w:hAnsi="Cambria Math" w:cs="Times New Roman"/>
                  <w:sz w:val="28"/>
                  <w:szCs w:val="28"/>
                </w:rPr>
                <m:t>NIR+6.RED−7.5.BLUE+1</m:t>
              </m:r>
              <m:ctrlPr>
                <w:rPr>
                  <w:rFonts w:ascii="Cambria Math" w:hAnsi="Cambria Math" w:cs="Times New Roman"/>
                  <w:i/>
                  <w:sz w:val="28"/>
                  <w:szCs w:val="28"/>
                </w:rPr>
              </m:ctrlPr>
            </m:den>
          </m:f>
        </m:oMath>
      </m:oMathPara>
    </w:p>
    <w:p w14:paraId="52C00E3A">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Soil Ecosystem Indicators (from SoilGrids)</w:t>
      </w:r>
    </w:p>
    <w:p w14:paraId="2CEEA063">
      <w:pPr>
        <w:numPr>
          <w:ilvl w:val="0"/>
          <w:numId w:val="9"/>
        </w:num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Soil Organic Carbon (SOC)</w:t>
      </w:r>
    </w:p>
    <w:p w14:paraId="598BBD38">
      <w:pPr>
        <w:numPr>
          <w:ilvl w:val="0"/>
          <w:numId w:val="9"/>
        </w:num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Total Nitrogen (N)</w:t>
      </w:r>
    </w:p>
    <w:p w14:paraId="60E70394">
      <w:pPr>
        <w:numPr>
          <w:ilvl w:val="0"/>
          <w:numId w:val="9"/>
        </w:num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Bulk Density (BD)</w:t>
      </w:r>
    </w:p>
    <w:p w14:paraId="198136BC">
      <w:pPr>
        <w:numPr>
          <w:ilvl w:val="0"/>
          <w:numId w:val="9"/>
        </w:num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Cation Exchange Capacity (CEC)</w:t>
      </w:r>
    </w:p>
    <w:p w14:paraId="0D1D8857">
      <w:pPr>
        <w:numPr>
          <w:ilvl w:val="0"/>
          <w:numId w:val="9"/>
        </w:numPr>
        <w:spacing w:line="276" w:lineRule="auto"/>
        <w:contextualSpacing/>
        <w:jc w:val="both"/>
        <w:rPr>
          <w:rFonts w:ascii="Times New Roman" w:hAnsi="Times New Roman" w:cs="Times New Roman"/>
          <w:sz w:val="28"/>
          <w:szCs w:val="28"/>
        </w:rPr>
      </w:pPr>
      <w:r>
        <w:rPr>
          <w:rFonts w:ascii="Times New Roman" w:hAnsi="Times New Roman" w:cs="Times New Roman"/>
          <w:sz w:val="28"/>
          <w:szCs w:val="28"/>
        </w:rPr>
        <w:t>Soil pH</w:t>
      </w:r>
    </w:p>
    <w:p w14:paraId="30209CE8">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cs="Times New Roman"/>
          <w:sz w:val="28"/>
          <w:szCs w:val="28"/>
        </w:rPr>
        <w:t>These variables reflect soil fertility, physical properties, and chemical status key proxies for ecosystem functioning. All indicators were extracted using GEE’s reduceRegions function and exported as a single CSV for analysis (Appendix 5).</w:t>
      </w:r>
    </w:p>
    <w:p w14:paraId="31809F3B">
      <w:pPr>
        <w:keepNext/>
        <w:keepLines/>
        <w:widowControl w:val="0"/>
        <w:spacing w:before="240" w:after="240" w:line="256" w:lineRule="auto"/>
        <w:jc w:val="center"/>
        <w:outlineLvl w:val="0"/>
        <w:rPr>
          <w:rFonts w:ascii="Times New Roman" w:hAnsi="Times New Roman" w:eastAsia="DengXian Light" w:cs="Times New Roman"/>
          <w:b/>
          <w:bCs/>
          <w:sz w:val="28"/>
          <w:szCs w:val="28"/>
          <w14:ligatures w14:val="none"/>
        </w:rPr>
      </w:pPr>
      <w:bookmarkStart w:id="39" w:name="_Toc215220492"/>
      <w:r>
        <w:rPr>
          <w:rFonts w:ascii="Times New Roman" w:hAnsi="Times New Roman" w:eastAsia="DengXian Light" w:cs="Times New Roman"/>
          <w:b/>
          <w:bCs/>
          <w:sz w:val="28"/>
          <w:szCs w:val="28"/>
          <w14:ligatures w14:val="none"/>
        </w:rPr>
        <w:t>2.6.3 Zone Comparison Statistics</w:t>
      </w:r>
      <w:bookmarkEnd w:id="39"/>
    </w:p>
    <w:p w14:paraId="2E695D7F">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To evaluate differences in ecosystem functioning across the urban–peri-urban–rural gradient, each ward was categorized into one of the three zones based on pre-field and Google Earth Pro classification (Appendix 4). The following analyses were performed:</w:t>
      </w:r>
    </w:p>
    <w:p w14:paraId="4C14C713">
      <w:pPr>
        <w:numPr>
          <w:ilvl w:val="0"/>
          <w:numId w:val="10"/>
        </w:numPr>
        <w:spacing w:before="100" w:beforeAutospacing="1" w:after="100" w:afterAutospacing="1"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One-way ANOVA</w:t>
      </w:r>
    </w:p>
    <w:p w14:paraId="5425F353">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Used to test significant differences among the three zones for:</w:t>
      </w:r>
    </w:p>
    <w:p w14:paraId="4EF4A5AC">
      <w:pPr>
        <w:numPr>
          <w:ilvl w:val="0"/>
          <w:numId w:val="11"/>
        </w:numPr>
        <w:spacing w:before="10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NDVI</w:t>
      </w:r>
    </w:p>
    <w:p w14:paraId="1A848E41">
      <w:pPr>
        <w:numPr>
          <w:ilvl w:val="0"/>
          <w:numId w:val="11"/>
        </w:numPr>
        <w:spacing w:before="10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EVI</w:t>
      </w:r>
    </w:p>
    <w:p w14:paraId="6A521420">
      <w:pPr>
        <w:numPr>
          <w:ilvl w:val="0"/>
          <w:numId w:val="11"/>
        </w:numPr>
        <w:spacing w:before="10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SOC</w:t>
      </w:r>
    </w:p>
    <w:p w14:paraId="69DAF886">
      <w:pPr>
        <w:numPr>
          <w:ilvl w:val="0"/>
          <w:numId w:val="11"/>
        </w:numPr>
        <w:spacing w:before="10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Nitrogen</w:t>
      </w:r>
    </w:p>
    <w:p w14:paraId="107D11E9">
      <w:pPr>
        <w:numPr>
          <w:ilvl w:val="0"/>
          <w:numId w:val="11"/>
        </w:numPr>
        <w:spacing w:before="10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Bulk Density</w:t>
      </w:r>
    </w:p>
    <w:p w14:paraId="2924DA55">
      <w:pPr>
        <w:numPr>
          <w:ilvl w:val="0"/>
          <w:numId w:val="11"/>
        </w:numPr>
        <w:spacing w:before="10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pH</w:t>
      </w:r>
    </w:p>
    <w:p w14:paraId="05D8BBAF">
      <w:pPr>
        <w:numPr>
          <w:ilvl w:val="0"/>
          <w:numId w:val="11"/>
        </w:numPr>
        <w:spacing w:before="24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CEC</w:t>
      </w:r>
    </w:p>
    <w:p w14:paraId="66A4E304">
      <w:pPr>
        <w:numPr>
          <w:ilvl w:val="0"/>
          <w:numId w:val="10"/>
        </w:numPr>
        <w:spacing w:before="100" w:beforeAutospacing="1" w:after="100" w:afterAutospacing="1"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Post-hoc Tests</w:t>
      </w:r>
    </w:p>
    <w:p w14:paraId="5EA6045E">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Tukey HSD was applied where ANOVA indicated significant differences.</w:t>
      </w:r>
    </w:p>
    <w:p w14:paraId="220263EA">
      <w:pPr>
        <w:numPr>
          <w:ilvl w:val="0"/>
          <w:numId w:val="10"/>
        </w:numPr>
        <w:spacing w:before="100" w:beforeAutospacing="1" w:after="100" w:afterAutospacing="1"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Effect Size (η²)</w:t>
      </w:r>
    </w:p>
    <w:p w14:paraId="50BFD2B6">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Eta squared values were computed to quantify the magnitude of zone effects on ecosystem indicators.</w:t>
      </w:r>
    </w:p>
    <w:p w14:paraId="6A036DA0">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4. Assumptions Checks</w:t>
      </w:r>
    </w:p>
    <w:p w14:paraId="20918757">
      <w:pPr>
        <w:numPr>
          <w:ilvl w:val="0"/>
          <w:numId w:val="12"/>
        </w:numPr>
        <w:spacing w:before="10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Normality (Shapiro-Wilk and Q-Q plots)</w:t>
      </w:r>
    </w:p>
    <w:p w14:paraId="0A01E3E2">
      <w:pPr>
        <w:numPr>
          <w:ilvl w:val="0"/>
          <w:numId w:val="12"/>
        </w:numPr>
        <w:spacing w:before="10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Homogeneity of variance (Levene’s test)</w:t>
      </w:r>
    </w:p>
    <w:p w14:paraId="05900F53">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This step helps establish whether ecological functioning declines systematically with increasing urbanization.</w:t>
      </w:r>
    </w:p>
    <w:p w14:paraId="02A89BCD">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40" w:name="_Toc215220493"/>
      <w:r>
        <w:rPr>
          <w:rFonts w:ascii="Times New Roman" w:hAnsi="Times New Roman" w:eastAsia="DengXian Light" w:cs="Times New Roman"/>
          <w:b/>
          <w:bCs/>
          <w:sz w:val="32"/>
          <w:szCs w:val="32"/>
          <w14:ligatures w14:val="none"/>
        </w:rPr>
        <w:t>2.6.4 Regression Modelling</w:t>
      </w:r>
      <w:bookmarkEnd w:id="40"/>
    </w:p>
    <w:p w14:paraId="1AF8FA95">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A Multiple linear regression was employed to quantify how urban expansion influences plant functioning across the sampled wards. The analysis relied on the integrated ward level dataset containing built-up density, night-time light intensity, population density, and the vegetation response variable. Also, to maintain statistical clarity and avoid model inflation, the regression was restricted to a single vegetation functioning index the NDVI. The decision was guided by the well-established reliability of NDVI as a robust proxy for vegetation productivity, canopy greenness, and photosynthetic condition in heterogeneous tropical landscapes. According to these literatures (Núñez et al. 2011; Luu et al. 2021), NDVI is less susceptible to saturation and background noise than any other greenness index when applied across mixed urban to rural mosaics, making it particularly suitable for any urban ecological evaluation.</w:t>
      </w:r>
    </w:p>
    <w:p w14:paraId="5CB1E7FD">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NDVI was therefore used as the dependent variable in a single ecological response model, while built-up density, night-time lights, and population density served as the explanatory variables representing the urbanization gradient. The regression structure is expressed as:</w:t>
      </w:r>
    </w:p>
    <w:p w14:paraId="301DC827">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w:t>
      </w:r>
      <w:r>
        <w:rPr>
          <w:rFonts w:ascii="Cambria Math" w:hAnsi="Cambria Math" w:cs="Times New Roman"/>
          <w:i/>
          <w:sz w:val="28"/>
          <w:szCs w:val="28"/>
        </w:rPr>
        <w:br w:type="textWrapping"/>
      </w:r>
      <m:oMathPara>
        <m:oMath>
          <m:r>
            <m:rPr/>
            <w:rPr>
              <w:rFonts w:ascii="Cambria Math" w:hAnsi="Cambria Math" w:cs="Times New Roman"/>
              <w:sz w:val="28"/>
              <w:szCs w:val="28"/>
            </w:rPr>
            <m:t>NDVI=</m:t>
          </m:r>
          <m:sSub>
            <m:sSubPr>
              <m:ctrlPr>
                <w:rPr>
                  <w:rFonts w:ascii="Cambria Math" w:hAnsi="Cambria Math" w:cs="Times New Roman"/>
                  <w:i/>
                  <w:sz w:val="28"/>
                  <w:szCs w:val="28"/>
                </w:rPr>
              </m:ctrlPr>
            </m:sSubPr>
            <m:e>
              <m:r>
                <m:rPr/>
                <w:rPr>
                  <w:rFonts w:ascii="Cambria Math" w:hAnsi="Cambria Math" w:cs="Times New Roman"/>
                  <w:sz w:val="28"/>
                  <w:szCs w:val="28"/>
                </w:rPr>
                <m:t>β</m:t>
              </m:r>
              <m:ctrlPr>
                <w:rPr>
                  <w:rFonts w:ascii="Cambria Math" w:hAnsi="Cambria Math" w:cs="Times New Roman"/>
                  <w:i/>
                  <w:sz w:val="28"/>
                  <w:szCs w:val="28"/>
                </w:rPr>
              </m:ctrlPr>
            </m:e>
            <m:sub>
              <m:r>
                <m:rPr/>
                <w:rPr>
                  <w:rFonts w:ascii="Cambria Math" w:hAnsi="Cambria Math" w:cs="Times New Roman"/>
                  <w:sz w:val="28"/>
                  <w:szCs w:val="28"/>
                </w:rPr>
                <m:t>0</m:t>
              </m:r>
              <m:ctrlPr>
                <w:rPr>
                  <w:rFonts w:ascii="Cambria Math" w:hAnsi="Cambria Math" w:cs="Times New Roman"/>
                  <w:i/>
                  <w:sz w:val="28"/>
                  <w:szCs w:val="28"/>
                </w:rPr>
              </m:ctrlPr>
            </m:sub>
          </m:sSub>
          <m:r>
            <m:rPr/>
            <w:rPr>
              <w:rFonts w:ascii="Cambria Math" w:hAnsi="Cambria Math" w:cs="Times New Roman"/>
              <w:sz w:val="28"/>
              <w:szCs w:val="28"/>
            </w:rPr>
            <m:t>+</m:t>
          </m:r>
          <m:sSub>
            <m:sSubPr>
              <m:ctrlPr>
                <w:rPr>
                  <w:rFonts w:ascii="Cambria Math" w:hAnsi="Cambria Math" w:cs="Times New Roman"/>
                  <w:i/>
                  <w:sz w:val="28"/>
                  <w:szCs w:val="28"/>
                </w:rPr>
              </m:ctrlPr>
            </m:sSubPr>
            <m:e>
              <m:r>
                <m:rPr/>
                <w:rPr>
                  <w:rFonts w:ascii="Cambria Math" w:hAnsi="Cambria Math" w:cs="Times New Roman"/>
                  <w:sz w:val="28"/>
                  <w:szCs w:val="28"/>
                </w:rPr>
                <m:t>β</m:t>
              </m:r>
              <m:ctrlPr>
                <w:rPr>
                  <w:rFonts w:ascii="Cambria Math" w:hAnsi="Cambria Math" w:cs="Times New Roman"/>
                  <w:i/>
                  <w:sz w:val="28"/>
                  <w:szCs w:val="28"/>
                </w:rPr>
              </m:ctrlPr>
            </m:e>
            <m:sub>
              <m:r>
                <m:rPr/>
                <w:rPr>
                  <w:rFonts w:ascii="Cambria Math" w:hAnsi="Cambria Math" w:cs="Times New Roman"/>
                  <w:sz w:val="28"/>
                  <w:szCs w:val="28"/>
                </w:rPr>
                <m:t>1</m:t>
              </m:r>
              <m:ctrlPr>
                <w:rPr>
                  <w:rFonts w:ascii="Cambria Math" w:hAnsi="Cambria Math" w:cs="Times New Roman"/>
                  <w:i/>
                  <w:sz w:val="28"/>
                  <w:szCs w:val="28"/>
                </w:rPr>
              </m:ctrlPr>
            </m:sub>
          </m:sSub>
          <m:d>
            <m:dPr>
              <m:ctrlPr>
                <w:rPr>
                  <w:rFonts w:ascii="Cambria Math" w:hAnsi="Cambria Math" w:cs="Times New Roman"/>
                  <w:i/>
                  <w:sz w:val="28"/>
                  <w:szCs w:val="28"/>
                </w:rPr>
              </m:ctrlPr>
            </m:dPr>
            <m:e>
              <m:r>
                <m:rPr/>
                <w:rPr>
                  <w:rFonts w:ascii="Cambria Math" w:hAnsi="Cambria Math" w:cs="Times New Roman"/>
                  <w:sz w:val="28"/>
                  <w:szCs w:val="28"/>
                </w:rPr>
                <m:t>Built−up</m:t>
              </m:r>
              <m:ctrlPr>
                <w:rPr>
                  <w:rFonts w:ascii="Cambria Math" w:hAnsi="Cambria Math" w:cs="Times New Roman"/>
                  <w:i/>
                  <w:sz w:val="28"/>
                  <w:szCs w:val="28"/>
                </w:rPr>
              </m:ctrlPr>
            </m:e>
          </m:d>
          <m:r>
            <m:rPr/>
            <w:rPr>
              <w:rFonts w:ascii="Cambria Math" w:hAnsi="Cambria Math" w:cs="Times New Roman"/>
              <w:sz w:val="28"/>
              <w:szCs w:val="28"/>
            </w:rPr>
            <m:t>+</m:t>
          </m:r>
          <m:sSub>
            <m:sSubPr>
              <m:ctrlPr>
                <w:rPr>
                  <w:rFonts w:ascii="Cambria Math" w:hAnsi="Cambria Math" w:cs="Times New Roman"/>
                  <w:i/>
                  <w:sz w:val="28"/>
                  <w:szCs w:val="28"/>
                </w:rPr>
              </m:ctrlPr>
            </m:sSubPr>
            <m:e>
              <m:r>
                <m:rPr/>
                <w:rPr>
                  <w:rFonts w:ascii="Cambria Math" w:hAnsi="Cambria Math" w:cs="Times New Roman"/>
                  <w:sz w:val="28"/>
                  <w:szCs w:val="28"/>
                </w:rPr>
                <m:t>β</m:t>
              </m:r>
              <m:ctrlPr>
                <w:rPr>
                  <w:rFonts w:ascii="Cambria Math" w:hAnsi="Cambria Math" w:cs="Times New Roman"/>
                  <w:i/>
                  <w:sz w:val="28"/>
                  <w:szCs w:val="28"/>
                </w:rPr>
              </m:ctrlPr>
            </m:e>
            <m:sub>
              <m:r>
                <m:rPr/>
                <w:rPr>
                  <w:rFonts w:ascii="Cambria Math" w:hAnsi="Cambria Math" w:cs="Times New Roman"/>
                  <w:sz w:val="28"/>
                  <w:szCs w:val="28"/>
                </w:rPr>
                <m:t>2</m:t>
              </m:r>
              <m:ctrlPr>
                <w:rPr>
                  <w:rFonts w:ascii="Cambria Math" w:hAnsi="Cambria Math" w:cs="Times New Roman"/>
                  <w:i/>
                  <w:sz w:val="28"/>
                  <w:szCs w:val="28"/>
                </w:rPr>
              </m:ctrlPr>
            </m:sub>
          </m:sSub>
          <m:d>
            <m:dPr>
              <m:ctrlPr>
                <w:rPr>
                  <w:rFonts w:ascii="Cambria Math" w:hAnsi="Cambria Math" w:cs="Times New Roman"/>
                  <w:i/>
                  <w:sz w:val="28"/>
                  <w:szCs w:val="28"/>
                </w:rPr>
              </m:ctrlPr>
            </m:dPr>
            <m:e>
              <m:r>
                <m:rPr/>
                <w:rPr>
                  <w:rFonts w:ascii="Cambria Math" w:hAnsi="Cambria Math" w:cs="Times New Roman"/>
                  <w:sz w:val="28"/>
                  <w:szCs w:val="28"/>
                </w:rPr>
                <m:t>Lights</m:t>
              </m:r>
              <m:ctrlPr>
                <w:rPr>
                  <w:rFonts w:ascii="Cambria Math" w:hAnsi="Cambria Math" w:cs="Times New Roman"/>
                  <w:i/>
                  <w:sz w:val="28"/>
                  <w:szCs w:val="28"/>
                </w:rPr>
              </m:ctrlPr>
            </m:e>
          </m:d>
          <m:r>
            <m:rPr/>
            <w:rPr>
              <w:rFonts w:ascii="Cambria Math" w:hAnsi="Cambria Math" w:cs="Times New Roman"/>
              <w:sz w:val="28"/>
              <w:szCs w:val="28"/>
            </w:rPr>
            <m:t>+</m:t>
          </m:r>
          <m:sSub>
            <m:sSubPr>
              <m:ctrlPr>
                <w:rPr>
                  <w:rFonts w:ascii="Cambria Math" w:hAnsi="Cambria Math" w:cs="Times New Roman"/>
                  <w:i/>
                  <w:sz w:val="28"/>
                  <w:szCs w:val="28"/>
                </w:rPr>
              </m:ctrlPr>
            </m:sSubPr>
            <m:e>
              <m:r>
                <m:rPr/>
                <w:rPr>
                  <w:rFonts w:ascii="Cambria Math" w:hAnsi="Cambria Math" w:cs="Times New Roman"/>
                  <w:sz w:val="28"/>
                  <w:szCs w:val="28"/>
                </w:rPr>
                <m:t>β</m:t>
              </m:r>
              <m:ctrlPr>
                <w:rPr>
                  <w:rFonts w:ascii="Cambria Math" w:hAnsi="Cambria Math" w:cs="Times New Roman"/>
                  <w:i/>
                  <w:sz w:val="28"/>
                  <w:szCs w:val="28"/>
                </w:rPr>
              </m:ctrlPr>
            </m:e>
            <m:sub>
              <m:r>
                <m:rPr/>
                <w:rPr>
                  <w:rFonts w:ascii="Cambria Math" w:hAnsi="Cambria Math" w:cs="Times New Roman"/>
                  <w:sz w:val="28"/>
                  <w:szCs w:val="28"/>
                </w:rPr>
                <m:t>3</m:t>
              </m:r>
              <m:ctrlPr>
                <w:rPr>
                  <w:rFonts w:ascii="Cambria Math" w:hAnsi="Cambria Math" w:cs="Times New Roman"/>
                  <w:i/>
                  <w:sz w:val="28"/>
                  <w:szCs w:val="28"/>
                </w:rPr>
              </m:ctrlPr>
            </m:sub>
          </m:sSub>
          <m:d>
            <m:dPr>
              <m:ctrlPr>
                <w:rPr>
                  <w:rFonts w:ascii="Cambria Math" w:hAnsi="Cambria Math" w:cs="Times New Roman"/>
                  <w:i/>
                  <w:sz w:val="28"/>
                  <w:szCs w:val="28"/>
                </w:rPr>
              </m:ctrlPr>
            </m:dPr>
            <m:e>
              <m:r>
                <m:rPr/>
                <w:rPr>
                  <w:rFonts w:ascii="Cambria Math" w:hAnsi="Cambria Math" w:cs="Times New Roman"/>
                  <w:sz w:val="28"/>
                  <w:szCs w:val="28"/>
                </w:rPr>
                <m:t>Population</m:t>
              </m:r>
              <m:ctrlPr>
                <w:rPr>
                  <w:rFonts w:ascii="Cambria Math" w:hAnsi="Cambria Math" w:cs="Times New Roman"/>
                  <w:i/>
                  <w:sz w:val="28"/>
                  <w:szCs w:val="28"/>
                </w:rPr>
              </m:ctrlPr>
            </m:e>
          </m:d>
          <m:r>
            <m:rPr/>
            <w:rPr>
              <w:rFonts w:ascii="Cambria Math" w:hAnsi="Cambria Math" w:cs="Times New Roman"/>
              <w:sz w:val="28"/>
              <w:szCs w:val="28"/>
            </w:rPr>
            <m:t>+ε</m:t>
          </m:r>
        </m:oMath>
      </m:oMathPara>
    </w:p>
    <w:p w14:paraId="2706CEAA">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By centering the analysis on a single, theoretically validated indicator, the regression results offer a clearer ecological narrative and a more statistically stable assessment of urbanization impacts.  To achieve all of these, all statistical analysis were performed in Google Colab Python environment using the following python scripts (Appendix 6, 7 and 8).</w:t>
      </w:r>
    </w:p>
    <w:p w14:paraId="5FDC1996">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41" w:name="_Toc215220494"/>
      <w:r>
        <w:rPr>
          <w:rFonts w:ascii="Times New Roman" w:hAnsi="Times New Roman" w:eastAsia="DengXian Light" w:cs="Times New Roman"/>
          <w:b/>
          <w:bCs/>
          <w:sz w:val="32"/>
          <w:szCs w:val="32"/>
          <w14:ligatures w14:val="none"/>
        </w:rPr>
        <w:t>2.7 Policy and Management Recommendations</w:t>
      </w:r>
      <w:bookmarkEnd w:id="41"/>
    </w:p>
    <w:p w14:paraId="1E006D38">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Policies and management recommendations for Makurdi and Otukpo were developed by the absolute synthesization of the major analytical outputs of the study, including LULC change trends, landscape diversity metrics, NDVI variability, soil condition indicators, and regression model relationships between urbanization intensity and ecological variables. The spatial and temporal patterns derived from the LULC analysis provided the researcher with the basis for identifying where urban expansion, vegetation loss, or agricultural conversion is most significant. These were complemented by diversity metrics, which revealed the extent of landscape fragmentation or homogenization across rural, peri-urban, and urban zones. The extraction of both soil and NDVI further highlighted areas experiencing vegetation stress, declining soil quality, or ecological degradation, while the regression models quantified the influence of urbanization on vegetation and soil conditions.</w:t>
      </w:r>
    </w:p>
    <w:p w14:paraId="1872D87D">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These multiple lines of evidence were integrated systematically to formulate targeted, data-driven policy recommendations. Each of these recommendation were anchored directly to specific findings such as areas showing rapid built-up expansion, high fragmentation, low vegetation vigor, elevated bulk density, or strong regression-based degradation signals. This adopted approach ensured that the final recommendations are not generic but rather spatially explicit, evidence-based, and tailored to the distinct characteristics of rural, peri-urban, and urban environments within both LGAs.</w:t>
      </w:r>
    </w:p>
    <w:p w14:paraId="31C8EF77">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 </w:t>
      </w:r>
    </w:p>
    <w:p w14:paraId="04977868">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42" w:name="_Toc215220495"/>
      <w:r>
        <w:rPr>
          <w:rFonts w:ascii="Times New Roman" w:hAnsi="Times New Roman" w:eastAsia="DengXian Light" w:cs="Times New Roman"/>
          <w:b/>
          <w:bCs/>
          <w:sz w:val="32"/>
          <w:szCs w:val="32"/>
          <w14:ligatures w14:val="none"/>
        </w:rPr>
        <w:t>CHAPTER THREE</w:t>
      </w:r>
      <w:bookmarkEnd w:id="42"/>
    </w:p>
    <w:p w14:paraId="41F2EEE5">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43" w:name="_Toc215220496"/>
      <w:r>
        <w:rPr>
          <w:rFonts w:ascii="Times New Roman" w:hAnsi="Times New Roman" w:eastAsia="DengXian Light" w:cs="Times New Roman"/>
          <w:b/>
          <w:bCs/>
          <w:sz w:val="32"/>
          <w:szCs w:val="32"/>
          <w14:ligatures w14:val="none"/>
        </w:rPr>
        <w:t>RESULTS AND DISCUSSION</w:t>
      </w:r>
      <w:bookmarkEnd w:id="43"/>
    </w:p>
    <w:p w14:paraId="1FC39B1D">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44" w:name="_Toc215220497"/>
      <w:r>
        <w:rPr>
          <w:rFonts w:ascii="Times New Roman" w:hAnsi="Times New Roman" w:eastAsia="DengXian Light" w:cs="Times New Roman"/>
          <w:b/>
          <w:bCs/>
          <w:sz w:val="32"/>
          <w:szCs w:val="32"/>
          <w14:ligatures w14:val="none"/>
        </w:rPr>
        <w:t>3.1 Land Use and Land Cover (LULC) Classification Results</w:t>
      </w:r>
      <w:bookmarkEnd w:id="44"/>
    </w:p>
    <w:p w14:paraId="2E226BCC">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45" w:name="_Toc215220498"/>
      <w:r>
        <w:rPr>
          <w:rFonts w:ascii="Times New Roman" w:hAnsi="Times New Roman" w:eastAsia="DengXian Light" w:cs="Times New Roman"/>
          <w:b/>
          <w:bCs/>
          <w:sz w:val="32"/>
          <w:szCs w:val="32"/>
          <w14:ligatures w14:val="none"/>
        </w:rPr>
        <w:t>3.1.1 Land Use and Land Cover Dynamics</w:t>
      </w:r>
      <w:bookmarkEnd w:id="45"/>
    </w:p>
    <w:p w14:paraId="01EAFEB5">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assessment of LULC distribution across the study area for 1990, 2010, and 2024 reveals substantial transformations driven by rapid urbanization, shifting land demands, and environmental change. Table 3.1 summarizes the extent of each land cover class and their corresponding changes across the two intervals (1990-2010 and 2010-2024), as well as the overall 34-year period while Figure 3.1 shows the graphical trend.</w:t>
      </w:r>
    </w:p>
    <w:p w14:paraId="5FD8E0BC">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b/>
          <w:bCs/>
          <w:sz w:val="28"/>
          <w:szCs w:val="28"/>
          <w14:ligatures w14:val="none"/>
        </w:rPr>
        <w:t>Table 3.1:</w:t>
      </w:r>
      <w:r>
        <w:rPr>
          <w:rFonts w:ascii="Times New Roman" w:hAnsi="Times New Roman" w:eastAsia="Calibri" w:cs="Times New Roman"/>
          <w:sz w:val="28"/>
          <w:szCs w:val="28"/>
          <w14:ligatures w14:val="none"/>
        </w:rPr>
        <w:t xml:space="preserve"> Summary of LULC Area Change in Makurdi (1990-2024) </w:t>
      </w:r>
    </w:p>
    <w:tbl>
      <w:tblPr>
        <w:tblStyle w:val="19"/>
        <w:tblW w:w="9453"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1292"/>
        <w:gridCol w:w="1035"/>
        <w:gridCol w:w="1035"/>
        <w:gridCol w:w="1035"/>
        <w:gridCol w:w="1659"/>
        <w:gridCol w:w="1659"/>
        <w:gridCol w:w="1738"/>
      </w:tblGrid>
      <w:tr w14:paraId="1A2D502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1532" w:hRule="atLeast"/>
        </w:trPr>
        <w:tc>
          <w:tcPr>
            <w:tcW w:w="0" w:type="auto"/>
            <w:tcBorders>
              <w:top w:val="single" w:color="auto" w:sz="4" w:space="0"/>
              <w:left w:val="nil"/>
              <w:bottom w:val="single" w:color="auto" w:sz="4" w:space="0"/>
              <w:right w:val="nil"/>
            </w:tcBorders>
            <w:vAlign w:val="center"/>
          </w:tcPr>
          <w:p w14:paraId="1E328828">
            <w:pPr>
              <w:spacing w:before="100" w:beforeAutospacing="1" w:after="0" w:line="256" w:lineRule="auto"/>
              <w:jc w:val="center"/>
              <w:rPr>
                <w:rFonts w:ascii="Times New Roman" w:hAnsi="Times New Roman" w:eastAsia="SimSun" w:cs="Times New Roman"/>
                <w:b/>
                <w:bCs/>
                <w:kern w:val="0"/>
                <w:sz w:val="28"/>
                <w:szCs w:val="28"/>
                <w14:ligatures w14:val="none"/>
              </w:rPr>
            </w:pPr>
            <w:r>
              <w:rPr>
                <w:rFonts w:ascii="Times New Roman" w:hAnsi="Times New Roman" w:eastAsia="Times New Roman" w:cs="Times New Roman"/>
                <w:b/>
                <w:bCs/>
                <w:kern w:val="0"/>
                <w:sz w:val="28"/>
                <w:szCs w:val="28"/>
                <w14:ligatures w14:val="none"/>
              </w:rPr>
              <w:t>LULC Class</w:t>
            </w:r>
          </w:p>
        </w:tc>
        <w:tc>
          <w:tcPr>
            <w:tcW w:w="0" w:type="auto"/>
            <w:tcBorders>
              <w:top w:val="single" w:color="auto" w:sz="4" w:space="0"/>
              <w:left w:val="nil"/>
              <w:bottom w:val="single" w:color="auto" w:sz="4" w:space="0"/>
              <w:right w:val="nil"/>
            </w:tcBorders>
            <w:vAlign w:val="center"/>
          </w:tcPr>
          <w:p w14:paraId="139E23AD">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1990 (Km</w:t>
            </w:r>
            <w:r>
              <w:rPr>
                <w:rFonts w:ascii="Times New Roman" w:hAnsi="Times New Roman" w:eastAsia="Times New Roman" w:cs="Times New Roman"/>
                <w:b/>
                <w:bCs/>
                <w:kern w:val="0"/>
                <w:sz w:val="28"/>
                <w:szCs w:val="28"/>
                <w:vertAlign w:val="superscript"/>
                <w14:ligatures w14:val="none"/>
              </w:rPr>
              <w:t>2</w:t>
            </w:r>
            <w:r>
              <w:rPr>
                <w:rFonts w:ascii="Times New Roman" w:hAnsi="Times New Roman" w:eastAsia="Times New Roman" w:cs="Times New Roman"/>
                <w:b/>
                <w:bCs/>
                <w:kern w:val="0"/>
                <w:sz w:val="28"/>
                <w:szCs w:val="28"/>
                <w14:ligatures w14:val="none"/>
              </w:rPr>
              <w:t>)</w:t>
            </w:r>
          </w:p>
        </w:tc>
        <w:tc>
          <w:tcPr>
            <w:tcW w:w="0" w:type="auto"/>
            <w:tcBorders>
              <w:top w:val="single" w:color="auto" w:sz="4" w:space="0"/>
              <w:left w:val="nil"/>
              <w:bottom w:val="single" w:color="auto" w:sz="4" w:space="0"/>
              <w:right w:val="nil"/>
            </w:tcBorders>
            <w:vAlign w:val="center"/>
          </w:tcPr>
          <w:p w14:paraId="34CB5FB7">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2010 (Km</w:t>
            </w:r>
            <w:r>
              <w:rPr>
                <w:rFonts w:ascii="Times New Roman" w:hAnsi="Times New Roman" w:eastAsia="Times New Roman" w:cs="Times New Roman"/>
                <w:b/>
                <w:bCs/>
                <w:kern w:val="0"/>
                <w:sz w:val="28"/>
                <w:szCs w:val="28"/>
                <w:vertAlign w:val="superscript"/>
                <w14:ligatures w14:val="none"/>
              </w:rPr>
              <w:t>2</w:t>
            </w:r>
            <w:r>
              <w:rPr>
                <w:rFonts w:ascii="Times New Roman" w:hAnsi="Times New Roman" w:eastAsia="Times New Roman" w:cs="Times New Roman"/>
                <w:b/>
                <w:bCs/>
                <w:kern w:val="0"/>
                <w:sz w:val="28"/>
                <w:szCs w:val="28"/>
                <w14:ligatures w14:val="none"/>
              </w:rPr>
              <w:t>)</w:t>
            </w:r>
          </w:p>
        </w:tc>
        <w:tc>
          <w:tcPr>
            <w:tcW w:w="0" w:type="auto"/>
            <w:tcBorders>
              <w:top w:val="single" w:color="auto" w:sz="4" w:space="0"/>
              <w:left w:val="nil"/>
              <w:bottom w:val="single" w:color="auto" w:sz="4" w:space="0"/>
              <w:right w:val="nil"/>
            </w:tcBorders>
            <w:vAlign w:val="center"/>
          </w:tcPr>
          <w:p w14:paraId="7923CE56">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2024 (Km</w:t>
            </w:r>
            <w:r>
              <w:rPr>
                <w:rFonts w:ascii="Times New Roman" w:hAnsi="Times New Roman" w:eastAsia="Times New Roman" w:cs="Times New Roman"/>
                <w:b/>
                <w:bCs/>
                <w:kern w:val="0"/>
                <w:sz w:val="28"/>
                <w:szCs w:val="28"/>
                <w:vertAlign w:val="superscript"/>
                <w14:ligatures w14:val="none"/>
              </w:rPr>
              <w:t>2</w:t>
            </w:r>
            <w:r>
              <w:rPr>
                <w:rFonts w:ascii="Times New Roman" w:hAnsi="Times New Roman" w:eastAsia="Times New Roman" w:cs="Times New Roman"/>
                <w:b/>
                <w:bCs/>
                <w:kern w:val="0"/>
                <w:sz w:val="28"/>
                <w:szCs w:val="28"/>
                <w14:ligatures w14:val="none"/>
              </w:rPr>
              <w:t>)</w:t>
            </w:r>
          </w:p>
        </w:tc>
        <w:tc>
          <w:tcPr>
            <w:tcW w:w="0" w:type="auto"/>
            <w:tcBorders>
              <w:top w:val="single" w:color="auto" w:sz="4" w:space="0"/>
              <w:left w:val="nil"/>
              <w:bottom w:val="single" w:color="auto" w:sz="4" w:space="0"/>
              <w:right w:val="nil"/>
            </w:tcBorders>
            <w:vAlign w:val="center"/>
          </w:tcPr>
          <w:p w14:paraId="6DAFB7CB">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Change 1990–2010 (Km</w:t>
            </w:r>
            <w:r>
              <w:rPr>
                <w:rFonts w:ascii="Times New Roman" w:hAnsi="Times New Roman" w:eastAsia="Times New Roman" w:cs="Times New Roman"/>
                <w:b/>
                <w:bCs/>
                <w:kern w:val="0"/>
                <w:sz w:val="28"/>
                <w:szCs w:val="28"/>
                <w:vertAlign w:val="superscript"/>
                <w14:ligatures w14:val="none"/>
              </w:rPr>
              <w:t>2</w:t>
            </w:r>
            <w:r>
              <w:rPr>
                <w:rFonts w:ascii="Times New Roman" w:hAnsi="Times New Roman" w:eastAsia="Times New Roman" w:cs="Times New Roman"/>
                <w:b/>
                <w:bCs/>
                <w:kern w:val="0"/>
                <w:sz w:val="28"/>
                <w:szCs w:val="28"/>
                <w14:ligatures w14:val="none"/>
              </w:rPr>
              <w:t>)</w:t>
            </w:r>
          </w:p>
        </w:tc>
        <w:tc>
          <w:tcPr>
            <w:tcW w:w="0" w:type="auto"/>
            <w:tcBorders>
              <w:top w:val="single" w:color="auto" w:sz="4" w:space="0"/>
              <w:left w:val="nil"/>
              <w:bottom w:val="single" w:color="auto" w:sz="4" w:space="0"/>
              <w:right w:val="nil"/>
            </w:tcBorders>
            <w:vAlign w:val="center"/>
          </w:tcPr>
          <w:p w14:paraId="092ADF02">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Change 2010–2024 (Km</w:t>
            </w:r>
            <w:r>
              <w:rPr>
                <w:rFonts w:ascii="Times New Roman" w:hAnsi="Times New Roman" w:eastAsia="Times New Roman" w:cs="Times New Roman"/>
                <w:b/>
                <w:bCs/>
                <w:kern w:val="0"/>
                <w:sz w:val="28"/>
                <w:szCs w:val="28"/>
                <w:vertAlign w:val="superscript"/>
                <w14:ligatures w14:val="none"/>
              </w:rPr>
              <w:t>2</w:t>
            </w:r>
            <w:r>
              <w:rPr>
                <w:rFonts w:ascii="Times New Roman" w:hAnsi="Times New Roman" w:eastAsia="Times New Roman" w:cs="Times New Roman"/>
                <w:b/>
                <w:bCs/>
                <w:kern w:val="0"/>
                <w:sz w:val="28"/>
                <w:szCs w:val="28"/>
                <w14:ligatures w14:val="none"/>
              </w:rPr>
              <w:t>)</w:t>
            </w:r>
          </w:p>
        </w:tc>
        <w:tc>
          <w:tcPr>
            <w:tcW w:w="0" w:type="auto"/>
            <w:tcBorders>
              <w:top w:val="single" w:color="auto" w:sz="4" w:space="0"/>
              <w:left w:val="nil"/>
              <w:bottom w:val="single" w:color="auto" w:sz="4" w:space="0"/>
              <w:right w:val="nil"/>
            </w:tcBorders>
            <w:vAlign w:val="center"/>
          </w:tcPr>
          <w:p w14:paraId="4CBA17BB">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Total Change 1990–2024 (Km</w:t>
            </w:r>
            <w:r>
              <w:rPr>
                <w:rFonts w:ascii="Times New Roman" w:hAnsi="Times New Roman" w:eastAsia="Times New Roman" w:cs="Times New Roman"/>
                <w:b/>
                <w:bCs/>
                <w:kern w:val="0"/>
                <w:sz w:val="28"/>
                <w:szCs w:val="28"/>
                <w:vertAlign w:val="superscript"/>
                <w14:ligatures w14:val="none"/>
              </w:rPr>
              <w:t>2</w:t>
            </w:r>
            <w:r>
              <w:rPr>
                <w:rFonts w:ascii="Times New Roman" w:hAnsi="Times New Roman" w:eastAsia="Times New Roman" w:cs="Times New Roman"/>
                <w:b/>
                <w:bCs/>
                <w:kern w:val="0"/>
                <w:sz w:val="28"/>
                <w:szCs w:val="28"/>
                <w14:ligatures w14:val="none"/>
              </w:rPr>
              <w:t>)</w:t>
            </w:r>
          </w:p>
        </w:tc>
      </w:tr>
      <w:tr w14:paraId="16559F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374" w:hRule="atLeast"/>
        </w:trPr>
        <w:tc>
          <w:tcPr>
            <w:tcW w:w="0" w:type="auto"/>
            <w:tcBorders>
              <w:top w:val="single" w:color="auto" w:sz="4" w:space="0"/>
              <w:left w:val="nil"/>
              <w:bottom w:val="nil"/>
              <w:right w:val="nil"/>
            </w:tcBorders>
            <w:vAlign w:val="center"/>
          </w:tcPr>
          <w:p w14:paraId="5767CAB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Built-up</w:t>
            </w:r>
          </w:p>
        </w:tc>
        <w:tc>
          <w:tcPr>
            <w:tcW w:w="0" w:type="auto"/>
            <w:tcBorders>
              <w:top w:val="single" w:color="auto" w:sz="4" w:space="0"/>
              <w:left w:val="nil"/>
              <w:bottom w:val="nil"/>
              <w:right w:val="nil"/>
            </w:tcBorders>
            <w:vAlign w:val="center"/>
          </w:tcPr>
          <w:p w14:paraId="43D9C32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23.17</w:t>
            </w:r>
          </w:p>
        </w:tc>
        <w:tc>
          <w:tcPr>
            <w:tcW w:w="0" w:type="auto"/>
            <w:tcBorders>
              <w:top w:val="single" w:color="auto" w:sz="4" w:space="0"/>
              <w:left w:val="nil"/>
              <w:bottom w:val="nil"/>
              <w:right w:val="nil"/>
            </w:tcBorders>
            <w:vAlign w:val="center"/>
          </w:tcPr>
          <w:p w14:paraId="14215B4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83.26</w:t>
            </w:r>
          </w:p>
        </w:tc>
        <w:tc>
          <w:tcPr>
            <w:tcW w:w="0" w:type="auto"/>
            <w:tcBorders>
              <w:top w:val="single" w:color="auto" w:sz="4" w:space="0"/>
              <w:left w:val="nil"/>
              <w:bottom w:val="nil"/>
              <w:right w:val="nil"/>
            </w:tcBorders>
            <w:vAlign w:val="center"/>
          </w:tcPr>
          <w:p w14:paraId="5EB6B88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143.11</w:t>
            </w:r>
          </w:p>
        </w:tc>
        <w:tc>
          <w:tcPr>
            <w:tcW w:w="0" w:type="auto"/>
            <w:tcBorders>
              <w:top w:val="single" w:color="auto" w:sz="4" w:space="0"/>
              <w:left w:val="nil"/>
              <w:bottom w:val="nil"/>
              <w:right w:val="nil"/>
            </w:tcBorders>
            <w:vAlign w:val="center"/>
          </w:tcPr>
          <w:p w14:paraId="22D142A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+60.09</w:t>
            </w:r>
          </w:p>
        </w:tc>
        <w:tc>
          <w:tcPr>
            <w:tcW w:w="0" w:type="auto"/>
            <w:tcBorders>
              <w:top w:val="single" w:color="auto" w:sz="4" w:space="0"/>
              <w:left w:val="nil"/>
              <w:bottom w:val="nil"/>
              <w:right w:val="nil"/>
            </w:tcBorders>
            <w:vAlign w:val="center"/>
          </w:tcPr>
          <w:p w14:paraId="50F6919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+59.85</w:t>
            </w:r>
          </w:p>
        </w:tc>
        <w:tc>
          <w:tcPr>
            <w:tcW w:w="0" w:type="auto"/>
            <w:tcBorders>
              <w:top w:val="single" w:color="auto" w:sz="4" w:space="0"/>
              <w:left w:val="nil"/>
              <w:bottom w:val="nil"/>
              <w:right w:val="nil"/>
            </w:tcBorders>
            <w:vAlign w:val="center"/>
          </w:tcPr>
          <w:p w14:paraId="1E3C9CB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+119.94</w:t>
            </w:r>
          </w:p>
        </w:tc>
      </w:tr>
      <w:tr w14:paraId="15FE954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374" w:hRule="atLeast"/>
        </w:trPr>
        <w:tc>
          <w:tcPr>
            <w:tcW w:w="0" w:type="auto"/>
            <w:tcBorders>
              <w:top w:val="nil"/>
              <w:left w:val="nil"/>
              <w:bottom w:val="nil"/>
              <w:right w:val="nil"/>
            </w:tcBorders>
            <w:vAlign w:val="center"/>
          </w:tcPr>
          <w:p w14:paraId="6DCE3AD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Forest</w:t>
            </w:r>
          </w:p>
        </w:tc>
        <w:tc>
          <w:tcPr>
            <w:tcW w:w="0" w:type="auto"/>
            <w:tcBorders>
              <w:top w:val="nil"/>
              <w:left w:val="nil"/>
              <w:bottom w:val="nil"/>
              <w:right w:val="nil"/>
            </w:tcBorders>
            <w:vAlign w:val="center"/>
          </w:tcPr>
          <w:p w14:paraId="1BB46EC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353.77</w:t>
            </w:r>
          </w:p>
        </w:tc>
        <w:tc>
          <w:tcPr>
            <w:tcW w:w="0" w:type="auto"/>
            <w:tcBorders>
              <w:top w:val="nil"/>
              <w:left w:val="nil"/>
              <w:bottom w:val="nil"/>
              <w:right w:val="nil"/>
            </w:tcBorders>
            <w:vAlign w:val="center"/>
          </w:tcPr>
          <w:p w14:paraId="740B6B8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281.22</w:t>
            </w:r>
          </w:p>
        </w:tc>
        <w:tc>
          <w:tcPr>
            <w:tcW w:w="0" w:type="auto"/>
            <w:tcBorders>
              <w:top w:val="nil"/>
              <w:left w:val="nil"/>
              <w:bottom w:val="nil"/>
              <w:right w:val="nil"/>
            </w:tcBorders>
            <w:vAlign w:val="center"/>
          </w:tcPr>
          <w:p w14:paraId="7529686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228.84</w:t>
            </w:r>
          </w:p>
        </w:tc>
        <w:tc>
          <w:tcPr>
            <w:tcW w:w="0" w:type="auto"/>
            <w:tcBorders>
              <w:top w:val="nil"/>
              <w:left w:val="nil"/>
              <w:bottom w:val="nil"/>
              <w:right w:val="nil"/>
            </w:tcBorders>
            <w:vAlign w:val="center"/>
          </w:tcPr>
          <w:p w14:paraId="5096CDD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−72.55</w:t>
            </w:r>
          </w:p>
        </w:tc>
        <w:tc>
          <w:tcPr>
            <w:tcW w:w="0" w:type="auto"/>
            <w:tcBorders>
              <w:top w:val="nil"/>
              <w:left w:val="nil"/>
              <w:bottom w:val="nil"/>
              <w:right w:val="nil"/>
            </w:tcBorders>
            <w:vAlign w:val="center"/>
          </w:tcPr>
          <w:p w14:paraId="4462D71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−52.38</w:t>
            </w:r>
          </w:p>
        </w:tc>
        <w:tc>
          <w:tcPr>
            <w:tcW w:w="0" w:type="auto"/>
            <w:tcBorders>
              <w:top w:val="nil"/>
              <w:left w:val="nil"/>
              <w:bottom w:val="nil"/>
              <w:right w:val="nil"/>
            </w:tcBorders>
            <w:vAlign w:val="center"/>
          </w:tcPr>
          <w:p w14:paraId="1EE36DF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−124.93</w:t>
            </w:r>
          </w:p>
        </w:tc>
      </w:tr>
      <w:tr w14:paraId="65F4DF8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374" w:hRule="atLeast"/>
        </w:trPr>
        <w:tc>
          <w:tcPr>
            <w:tcW w:w="0" w:type="auto"/>
            <w:tcBorders>
              <w:top w:val="nil"/>
              <w:left w:val="nil"/>
              <w:bottom w:val="nil"/>
              <w:right w:val="nil"/>
            </w:tcBorders>
            <w:vAlign w:val="center"/>
          </w:tcPr>
          <w:p w14:paraId="62B21BA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Cropland</w:t>
            </w:r>
          </w:p>
        </w:tc>
        <w:tc>
          <w:tcPr>
            <w:tcW w:w="0" w:type="auto"/>
            <w:tcBorders>
              <w:top w:val="nil"/>
              <w:left w:val="nil"/>
              <w:bottom w:val="nil"/>
              <w:right w:val="nil"/>
            </w:tcBorders>
            <w:vAlign w:val="center"/>
          </w:tcPr>
          <w:p w14:paraId="65DD06A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332.24</w:t>
            </w:r>
          </w:p>
        </w:tc>
        <w:tc>
          <w:tcPr>
            <w:tcW w:w="0" w:type="auto"/>
            <w:tcBorders>
              <w:top w:val="nil"/>
              <w:left w:val="nil"/>
              <w:bottom w:val="nil"/>
              <w:right w:val="nil"/>
            </w:tcBorders>
            <w:vAlign w:val="center"/>
          </w:tcPr>
          <w:p w14:paraId="6B560F95">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407.35</w:t>
            </w:r>
          </w:p>
        </w:tc>
        <w:tc>
          <w:tcPr>
            <w:tcW w:w="0" w:type="auto"/>
            <w:tcBorders>
              <w:top w:val="nil"/>
              <w:left w:val="nil"/>
              <w:bottom w:val="nil"/>
              <w:right w:val="nil"/>
            </w:tcBorders>
            <w:vAlign w:val="center"/>
          </w:tcPr>
          <w:p w14:paraId="5FA0C72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172.53</w:t>
            </w:r>
          </w:p>
        </w:tc>
        <w:tc>
          <w:tcPr>
            <w:tcW w:w="0" w:type="auto"/>
            <w:tcBorders>
              <w:top w:val="nil"/>
              <w:left w:val="nil"/>
              <w:bottom w:val="nil"/>
              <w:right w:val="nil"/>
            </w:tcBorders>
            <w:vAlign w:val="center"/>
          </w:tcPr>
          <w:p w14:paraId="360619E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+75.11</w:t>
            </w:r>
          </w:p>
        </w:tc>
        <w:tc>
          <w:tcPr>
            <w:tcW w:w="0" w:type="auto"/>
            <w:tcBorders>
              <w:top w:val="nil"/>
              <w:left w:val="nil"/>
              <w:bottom w:val="nil"/>
              <w:right w:val="nil"/>
            </w:tcBorders>
            <w:vAlign w:val="center"/>
          </w:tcPr>
          <w:p w14:paraId="231BDBB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−234.82</w:t>
            </w:r>
          </w:p>
        </w:tc>
        <w:tc>
          <w:tcPr>
            <w:tcW w:w="0" w:type="auto"/>
            <w:tcBorders>
              <w:top w:val="nil"/>
              <w:left w:val="nil"/>
              <w:bottom w:val="nil"/>
              <w:right w:val="nil"/>
            </w:tcBorders>
            <w:vAlign w:val="center"/>
          </w:tcPr>
          <w:p w14:paraId="7EC851B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−159.71</w:t>
            </w:r>
          </w:p>
        </w:tc>
      </w:tr>
      <w:tr w14:paraId="5C60E47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766" w:hRule="atLeast"/>
        </w:trPr>
        <w:tc>
          <w:tcPr>
            <w:tcW w:w="0" w:type="auto"/>
            <w:tcBorders>
              <w:top w:val="nil"/>
              <w:left w:val="nil"/>
              <w:bottom w:val="nil"/>
              <w:right w:val="nil"/>
            </w:tcBorders>
            <w:vAlign w:val="center"/>
          </w:tcPr>
          <w:p w14:paraId="7E313C6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Water Body</w:t>
            </w:r>
          </w:p>
        </w:tc>
        <w:tc>
          <w:tcPr>
            <w:tcW w:w="0" w:type="auto"/>
            <w:tcBorders>
              <w:top w:val="nil"/>
              <w:left w:val="nil"/>
              <w:bottom w:val="nil"/>
              <w:right w:val="nil"/>
            </w:tcBorders>
            <w:vAlign w:val="center"/>
          </w:tcPr>
          <w:p w14:paraId="41E711E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19.55</w:t>
            </w:r>
          </w:p>
        </w:tc>
        <w:tc>
          <w:tcPr>
            <w:tcW w:w="0" w:type="auto"/>
            <w:tcBorders>
              <w:top w:val="nil"/>
              <w:left w:val="nil"/>
              <w:bottom w:val="nil"/>
              <w:right w:val="nil"/>
            </w:tcBorders>
            <w:vAlign w:val="center"/>
          </w:tcPr>
          <w:p w14:paraId="58A5FC9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12.54</w:t>
            </w:r>
          </w:p>
        </w:tc>
        <w:tc>
          <w:tcPr>
            <w:tcW w:w="0" w:type="auto"/>
            <w:tcBorders>
              <w:top w:val="nil"/>
              <w:left w:val="nil"/>
              <w:bottom w:val="nil"/>
              <w:right w:val="nil"/>
            </w:tcBorders>
            <w:vAlign w:val="center"/>
          </w:tcPr>
          <w:p w14:paraId="72D91A5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14.69</w:t>
            </w:r>
          </w:p>
        </w:tc>
        <w:tc>
          <w:tcPr>
            <w:tcW w:w="0" w:type="auto"/>
            <w:tcBorders>
              <w:top w:val="nil"/>
              <w:left w:val="nil"/>
              <w:bottom w:val="nil"/>
              <w:right w:val="nil"/>
            </w:tcBorders>
            <w:vAlign w:val="center"/>
          </w:tcPr>
          <w:p w14:paraId="0DD4F08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−7.01</w:t>
            </w:r>
          </w:p>
        </w:tc>
        <w:tc>
          <w:tcPr>
            <w:tcW w:w="0" w:type="auto"/>
            <w:tcBorders>
              <w:top w:val="nil"/>
              <w:left w:val="nil"/>
              <w:bottom w:val="nil"/>
              <w:right w:val="nil"/>
            </w:tcBorders>
            <w:vAlign w:val="center"/>
          </w:tcPr>
          <w:p w14:paraId="3D1CFC75">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+2.15</w:t>
            </w:r>
          </w:p>
        </w:tc>
        <w:tc>
          <w:tcPr>
            <w:tcW w:w="0" w:type="auto"/>
            <w:tcBorders>
              <w:top w:val="nil"/>
              <w:left w:val="nil"/>
              <w:bottom w:val="nil"/>
              <w:right w:val="nil"/>
            </w:tcBorders>
            <w:vAlign w:val="center"/>
          </w:tcPr>
          <w:p w14:paraId="1C0DE6E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−4.86</w:t>
            </w:r>
          </w:p>
        </w:tc>
      </w:tr>
      <w:tr w14:paraId="6037E29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356" w:hRule="atLeast"/>
        </w:trPr>
        <w:tc>
          <w:tcPr>
            <w:tcW w:w="0" w:type="auto"/>
            <w:tcBorders>
              <w:top w:val="nil"/>
              <w:left w:val="nil"/>
              <w:bottom w:val="single" w:color="auto" w:sz="4" w:space="0"/>
              <w:right w:val="nil"/>
            </w:tcBorders>
            <w:vAlign w:val="center"/>
          </w:tcPr>
          <w:p w14:paraId="0C28B4C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Wetland</w:t>
            </w:r>
          </w:p>
        </w:tc>
        <w:tc>
          <w:tcPr>
            <w:tcW w:w="0" w:type="auto"/>
            <w:tcBorders>
              <w:top w:val="nil"/>
              <w:left w:val="nil"/>
              <w:bottom w:val="single" w:color="auto" w:sz="4" w:space="0"/>
              <w:right w:val="nil"/>
            </w:tcBorders>
            <w:vAlign w:val="center"/>
          </w:tcPr>
          <w:p w14:paraId="10AC9F4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78.82</w:t>
            </w:r>
          </w:p>
        </w:tc>
        <w:tc>
          <w:tcPr>
            <w:tcW w:w="0" w:type="auto"/>
            <w:tcBorders>
              <w:top w:val="nil"/>
              <w:left w:val="nil"/>
              <w:bottom w:val="single" w:color="auto" w:sz="4" w:space="0"/>
              <w:right w:val="nil"/>
            </w:tcBorders>
            <w:vAlign w:val="center"/>
          </w:tcPr>
          <w:p w14:paraId="4966030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23.18</w:t>
            </w:r>
          </w:p>
        </w:tc>
        <w:tc>
          <w:tcPr>
            <w:tcW w:w="0" w:type="auto"/>
            <w:tcBorders>
              <w:top w:val="nil"/>
              <w:left w:val="nil"/>
              <w:bottom w:val="single" w:color="auto" w:sz="4" w:space="0"/>
              <w:right w:val="nil"/>
            </w:tcBorders>
            <w:vAlign w:val="center"/>
          </w:tcPr>
          <w:p w14:paraId="698E5CB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185.82</w:t>
            </w:r>
          </w:p>
        </w:tc>
        <w:tc>
          <w:tcPr>
            <w:tcW w:w="0" w:type="auto"/>
            <w:tcBorders>
              <w:top w:val="nil"/>
              <w:left w:val="nil"/>
              <w:bottom w:val="single" w:color="auto" w:sz="4" w:space="0"/>
              <w:right w:val="nil"/>
            </w:tcBorders>
            <w:vAlign w:val="center"/>
          </w:tcPr>
          <w:p w14:paraId="15887F8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−55.64</w:t>
            </w:r>
          </w:p>
        </w:tc>
        <w:tc>
          <w:tcPr>
            <w:tcW w:w="0" w:type="auto"/>
            <w:tcBorders>
              <w:top w:val="nil"/>
              <w:left w:val="nil"/>
              <w:bottom w:val="single" w:color="auto" w:sz="4" w:space="0"/>
              <w:right w:val="nil"/>
            </w:tcBorders>
            <w:vAlign w:val="center"/>
          </w:tcPr>
          <w:p w14:paraId="3092033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+162.64</w:t>
            </w:r>
          </w:p>
        </w:tc>
        <w:tc>
          <w:tcPr>
            <w:tcW w:w="0" w:type="auto"/>
            <w:tcBorders>
              <w:top w:val="nil"/>
              <w:left w:val="nil"/>
              <w:bottom w:val="single" w:color="auto" w:sz="4" w:space="0"/>
              <w:right w:val="nil"/>
            </w:tcBorders>
            <w:vAlign w:val="center"/>
          </w:tcPr>
          <w:p w14:paraId="6C930BC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+107.00</w:t>
            </w:r>
          </w:p>
        </w:tc>
      </w:tr>
    </w:tbl>
    <w:p w14:paraId="5AFC2965">
      <w:pPr>
        <w:spacing w:before="240" w:line="240" w:lineRule="auto"/>
        <w:jc w:val="center"/>
        <w:rPr>
          <w:rFonts w:ascii="Times New Roman" w:hAnsi="Times New Roman" w:eastAsia="Calibri" w:cs="Times New Roman"/>
          <w:sz w:val="24"/>
          <w:szCs w:val="24"/>
          <w14:ligatures w14:val="none"/>
        </w:rPr>
      </w:pPr>
      <w:r>
        <w:rPr>
          <w:rFonts w:ascii="Times New Roman" w:hAnsi="Times New Roman" w:eastAsia="Calibri" w:cs="Times New Roman"/>
          <w:sz w:val="24"/>
          <w:szCs w:val="24"/>
          <w14:ligatures w14:val="none"/>
        </w:rPr>
        <w:t>Author source</w:t>
      </w:r>
    </w:p>
    <w:p w14:paraId="13E8999F">
      <w:pPr>
        <w:spacing w:before="100" w:beforeAutospacing="1" w:line="273" w:lineRule="auto"/>
        <w:jc w:val="both"/>
        <w:rPr>
          <w:rFonts w:ascii="Times New Roman" w:hAnsi="Times New Roman" w:eastAsia="Calibri" w:cs="Times New Roman"/>
          <w:sz w:val="28"/>
          <w:szCs w:val="28"/>
          <w14:ligatures w14:val="none"/>
        </w:rPr>
      </w:pPr>
      <w:r>
        <w:rPr>
          <w:rFonts w:ascii="Calibri" w:hAnsi="Calibri" w:eastAsia="Times New Roman" w:cs="Times New Roman"/>
          <w14:ligatures w14:val="none"/>
        </w:rPr>
        <w:drawing>
          <wp:inline distT="0" distB="0" distL="0" distR="0">
            <wp:extent cx="5943600" cy="3086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43600" cy="3086100"/>
                    </a:xfrm>
                    <a:prstGeom prst="rect">
                      <a:avLst/>
                    </a:prstGeom>
                    <a:noFill/>
                    <a:ln>
                      <a:noFill/>
                    </a:ln>
                  </pic:spPr>
                </pic:pic>
              </a:graphicData>
            </a:graphic>
          </wp:inline>
        </w:drawing>
      </w:r>
      <w:r>
        <w:rPr>
          <w:rFonts w:ascii="Times New Roman" w:hAnsi="Times New Roman" w:eastAsia="Calibri" w:cs="Times New Roman"/>
          <w:sz w:val="28"/>
          <w:szCs w:val="28"/>
          <w14:ligatures w14:val="none"/>
        </w:rPr>
        <w:t xml:space="preserve"> </w:t>
      </w:r>
    </w:p>
    <w:p w14:paraId="5D5A13C5">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sz w:val="28"/>
          <w:szCs w:val="28"/>
          <w14:ligatures w14:val="none"/>
        </w:rPr>
        <w:t>Figure 3.1:</w:t>
      </w:r>
      <w:r>
        <w:rPr>
          <w:rFonts w:ascii="Times New Roman" w:hAnsi="Times New Roman" w:eastAsia="Calibri" w:cs="Times New Roman"/>
          <w:sz w:val="28"/>
          <w:szCs w:val="28"/>
          <w14:ligatures w14:val="none"/>
        </w:rPr>
        <w:t xml:space="preserve"> Grouped Bar Chart showing the Trend of LULC 1990-2024:</w:t>
      </w:r>
      <w:r>
        <w:rPr>
          <w:rFonts w:ascii="Times New Roman" w:hAnsi="Times New Roman" w:eastAsia="Calibri" w:cs="Times New Roman"/>
          <w:sz w:val="24"/>
          <w:szCs w:val="24"/>
          <w14:ligatures w14:val="none"/>
        </w:rPr>
        <w:t xml:space="preserve"> Author source</w:t>
      </w:r>
    </w:p>
    <w:p w14:paraId="3DDC0420">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46" w:name="_Toc215220499"/>
      <w:r>
        <w:rPr>
          <w:rFonts w:ascii="Times New Roman" w:hAnsi="Times New Roman" w:eastAsia="DengXian Light" w:cs="Times New Roman"/>
          <w:b/>
          <w:bCs/>
          <w:sz w:val="32"/>
          <w:szCs w:val="32"/>
          <w14:ligatures w14:val="none"/>
        </w:rPr>
        <w:t>3.1.2 Spatial Interpretation of LULC Maps</w:t>
      </w:r>
      <w:bookmarkEnd w:id="46"/>
    </w:p>
    <w:p w14:paraId="3C9709E1">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spatial arrangement and evolution of land use/land cover (LULC) classes across the study area reveal clear trajectories of landscape transformation between 1990, 2010, and 2024. The mapped patterns highlight the dynamics of urban growth, vegetation loss, agricultural displacement, and hydrological alteration within the two major urban centers Makurdi and Otukpo and their surroundings as seen in Figure 3.2(a-f).</w:t>
      </w:r>
    </w:p>
    <w:p w14:paraId="0962D6CE">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Spatial Trends in Makurdi</w:t>
      </w:r>
    </w:p>
    <w:p w14:paraId="4D640A1B">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LULC maps show that Makurdi has undergone a pronounced shift from a predominantly natural and agro-ecological landscape in 1990 to a heavily urbanized environment by 2024. In 1990, built-up areas were limited in extent and spatially concentrated along the central Benue River corridor. The study area was dominated by forest cover, especially in the southern, western, and eastern portions of the region. Croplands appeared as scattered patches around small settlement clusters, while wetlands remained restricted to low-lying floodplain zones immediately adjacent to the river.</w:t>
      </w:r>
    </w:p>
    <w:p w14:paraId="11E48DA5">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By 2010, the mapped spatial configuration illustrates significant outward expansion of urban land. Also, the maps confirmed that built-up areas spread laterally along the river corridor toward the northeast and southwest, which is believed to be driven by infrastructural development and settlement growth due to the economic activities along the river corridor. The observed urban expansion in the area is specifically coincided with noticeable losses in forest cover, particularly in areas close to transport routes and river adjacent regions. The cropland areas are seen to be increased in the northern and central sections where forests were cleared, while wetlands showed localized growth resulting from vegetation removal and altered surface drainage systems.</w:t>
      </w:r>
    </w:p>
    <w:p w14:paraId="129FFD1A">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By 2024, urban expansion had become more extensive and spatially dominant. The built-up areas have radiated outerwards from the central corridor, by merging the formerly isolated settlements and also extending deeper into peri-urban zones. Forested areas experienced continued fragmentation and retreat, now surviving mainly in the far south, southwest, and isolated patches in the east. The maps als demonstrated how croplands became increasingly restricted, and how often they are squeezed between expanding built-up areas and remnant forest patches. Wetlands expanded markedly and became more spatially dispersed across the central and northern portions, reflecting increased land degradation, runoff concentration, and hydrological disturbance triggered by urban encroachment. Overall, the Makurdi landscape exhibits a clear pattern of a central to a peripheral urban expansion, which is substantial forest fragmented, cropland displacement, and widening wetland footprints indicative of increased surface disturbance.</w:t>
      </w:r>
    </w:p>
    <w:p w14:paraId="1EBD8FB6">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Spatial Trends in Otukpo</w:t>
      </w:r>
    </w:p>
    <w:p w14:paraId="5CF8F0E9">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In the Otukpo context, the spatial pattern shows a similarly and clear progression by intensifyingthe urban land use across the study period. In the 1990, the town was characterized by a predominantly natural landscape composing by a continuous vegetation and agricultural land. Built-up areas formed only a small, compact core, with minimal encroachment into surrounding rural zones.</w:t>
      </w:r>
    </w:p>
    <w:p w14:paraId="553F0D6F">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By the 2010 phase, urban development had expanded outward from this original nucleus.The built-up patches spreaded into peripheral areas and began to be fragmented formerly in a continuous vegetation and farmland. This period marks the development of a transitional mixed landscape where settlement growth increasingly influenced the spatial structure of the surrounding environment.</w:t>
      </w:r>
    </w:p>
    <w:p w14:paraId="0F6C2045">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By 2024 phase, the LULC distribution indicates a significantly enlarged and more spatially continuous urban footprint as the population increases. The built-up areas now dominate the landscape, extending along major roads and settlement corridors which are also drivers of development. This expansion replaced large portions of vegetation and agricultural land, leaving remaining patches isolated and confined to marginal areas. Vegetation and farmland became highly fragmented and restricted to the outskirts, signaling intensified urban pressure and land conversion.</w:t>
      </w:r>
    </w:p>
    <w:tbl>
      <w:tblPr>
        <w:tblStyle w:val="19"/>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4780"/>
        <w:gridCol w:w="4780"/>
      </w:tblGrid>
      <w:tr w14:paraId="134A6BE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4675" w:type="dxa"/>
            <w:tcBorders>
              <w:top w:val="nil"/>
              <w:left w:val="nil"/>
              <w:bottom w:val="nil"/>
              <w:right w:val="nil"/>
            </w:tcBorders>
            <w:vAlign w:val="center"/>
          </w:tcPr>
          <w:p w14:paraId="421EA347">
            <w:pPr>
              <w:spacing w:before="100" w:beforeAutospacing="1" w:after="0" w:line="273" w:lineRule="auto"/>
              <w:jc w:val="center"/>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drawing>
                <wp:inline distT="0" distB="0" distL="0" distR="0">
                  <wp:extent cx="2981325" cy="21050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981325" cy="2105025"/>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2C6AABB8">
            <w:pPr>
              <w:spacing w:before="100" w:beforeAutospacing="1" w:after="0" w:line="273" w:lineRule="auto"/>
              <w:jc w:val="center"/>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drawing>
                <wp:inline distT="0" distB="0" distL="0" distR="0">
                  <wp:extent cx="2981325" cy="21050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981325" cy="2105025"/>
                          </a:xfrm>
                          <a:prstGeom prst="rect">
                            <a:avLst/>
                          </a:prstGeom>
                          <a:noFill/>
                          <a:ln>
                            <a:noFill/>
                          </a:ln>
                        </pic:spPr>
                      </pic:pic>
                    </a:graphicData>
                  </a:graphic>
                </wp:inline>
              </w:drawing>
            </w:r>
          </w:p>
        </w:tc>
      </w:tr>
      <w:tr w14:paraId="529AD80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4675" w:type="dxa"/>
            <w:tcBorders>
              <w:top w:val="nil"/>
              <w:left w:val="nil"/>
              <w:bottom w:val="nil"/>
              <w:right w:val="nil"/>
            </w:tcBorders>
            <w:vAlign w:val="center"/>
          </w:tcPr>
          <w:p w14:paraId="291AC115">
            <w:pPr>
              <w:spacing w:before="100" w:beforeAutospacing="1" w:after="0" w:line="273" w:lineRule="auto"/>
              <w:jc w:val="center"/>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a. Makurdi LULC 1990</w:t>
            </w:r>
          </w:p>
        </w:tc>
        <w:tc>
          <w:tcPr>
            <w:tcW w:w="4675" w:type="dxa"/>
            <w:tcBorders>
              <w:top w:val="nil"/>
              <w:left w:val="nil"/>
              <w:bottom w:val="nil"/>
              <w:right w:val="nil"/>
            </w:tcBorders>
            <w:vAlign w:val="center"/>
          </w:tcPr>
          <w:p w14:paraId="026E0AA4">
            <w:pPr>
              <w:spacing w:before="100" w:beforeAutospacing="1" w:after="0" w:line="273" w:lineRule="auto"/>
              <w:jc w:val="center"/>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b. Makurdi LULC 2010</w:t>
            </w:r>
          </w:p>
        </w:tc>
      </w:tr>
      <w:tr w14:paraId="4E98132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4675" w:type="dxa"/>
            <w:tcBorders>
              <w:top w:val="nil"/>
              <w:left w:val="nil"/>
              <w:bottom w:val="nil"/>
              <w:right w:val="nil"/>
            </w:tcBorders>
            <w:vAlign w:val="center"/>
          </w:tcPr>
          <w:p w14:paraId="195F0D1F">
            <w:pPr>
              <w:spacing w:before="100" w:beforeAutospacing="1" w:after="0" w:line="273" w:lineRule="auto"/>
              <w:jc w:val="center"/>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drawing>
                <wp:inline distT="0" distB="0" distL="0" distR="0">
                  <wp:extent cx="2981325" cy="21050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981325" cy="2105025"/>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6E8710B0">
            <w:pPr>
              <w:spacing w:before="100" w:beforeAutospacing="1" w:after="0" w:line="273" w:lineRule="auto"/>
              <w:jc w:val="center"/>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drawing>
                <wp:inline distT="0" distB="0" distL="0" distR="0">
                  <wp:extent cx="2981325" cy="21050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981325" cy="2105025"/>
                          </a:xfrm>
                          <a:prstGeom prst="rect">
                            <a:avLst/>
                          </a:prstGeom>
                          <a:noFill/>
                          <a:ln>
                            <a:noFill/>
                          </a:ln>
                        </pic:spPr>
                      </pic:pic>
                    </a:graphicData>
                  </a:graphic>
                </wp:inline>
              </w:drawing>
            </w:r>
          </w:p>
        </w:tc>
      </w:tr>
      <w:tr w14:paraId="26110DD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4675" w:type="dxa"/>
            <w:tcBorders>
              <w:top w:val="nil"/>
              <w:left w:val="nil"/>
              <w:bottom w:val="nil"/>
              <w:right w:val="nil"/>
            </w:tcBorders>
            <w:vAlign w:val="center"/>
          </w:tcPr>
          <w:p w14:paraId="3B2338CD">
            <w:pPr>
              <w:spacing w:before="100" w:beforeAutospacing="1" w:after="0" w:line="273" w:lineRule="auto"/>
              <w:jc w:val="center"/>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c. Makurdi LULC 2024</w:t>
            </w:r>
          </w:p>
        </w:tc>
        <w:tc>
          <w:tcPr>
            <w:tcW w:w="4675" w:type="dxa"/>
            <w:tcBorders>
              <w:top w:val="nil"/>
              <w:left w:val="nil"/>
              <w:bottom w:val="nil"/>
              <w:right w:val="nil"/>
            </w:tcBorders>
            <w:vAlign w:val="center"/>
          </w:tcPr>
          <w:p w14:paraId="5146D974">
            <w:pPr>
              <w:spacing w:before="100" w:beforeAutospacing="1" w:after="0" w:line="273" w:lineRule="auto"/>
              <w:jc w:val="center"/>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d. Otukpo LULC 1990</w:t>
            </w:r>
          </w:p>
        </w:tc>
      </w:tr>
      <w:tr w14:paraId="2222801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4675" w:type="dxa"/>
            <w:tcBorders>
              <w:top w:val="nil"/>
              <w:left w:val="nil"/>
              <w:bottom w:val="nil"/>
              <w:right w:val="nil"/>
            </w:tcBorders>
            <w:vAlign w:val="center"/>
          </w:tcPr>
          <w:p w14:paraId="774C8449">
            <w:pPr>
              <w:spacing w:before="100" w:beforeAutospacing="1" w:after="0" w:line="273" w:lineRule="auto"/>
              <w:jc w:val="center"/>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drawing>
                <wp:inline distT="0" distB="0" distL="0" distR="0">
                  <wp:extent cx="2981325" cy="21050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981325" cy="2105025"/>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4D7BD18A">
            <w:pPr>
              <w:spacing w:before="100" w:beforeAutospacing="1" w:after="0" w:line="273" w:lineRule="auto"/>
              <w:jc w:val="center"/>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drawing>
                <wp:inline distT="0" distB="0" distL="0" distR="0">
                  <wp:extent cx="2981325" cy="21050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981325" cy="2105025"/>
                          </a:xfrm>
                          <a:prstGeom prst="rect">
                            <a:avLst/>
                          </a:prstGeom>
                          <a:noFill/>
                          <a:ln>
                            <a:noFill/>
                          </a:ln>
                        </pic:spPr>
                      </pic:pic>
                    </a:graphicData>
                  </a:graphic>
                </wp:inline>
              </w:drawing>
            </w:r>
          </w:p>
        </w:tc>
      </w:tr>
      <w:tr w14:paraId="69956A7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4675" w:type="dxa"/>
            <w:tcBorders>
              <w:top w:val="nil"/>
              <w:left w:val="nil"/>
              <w:bottom w:val="nil"/>
              <w:right w:val="nil"/>
            </w:tcBorders>
            <w:vAlign w:val="center"/>
          </w:tcPr>
          <w:p w14:paraId="2097B2FE">
            <w:pPr>
              <w:spacing w:before="100" w:beforeAutospacing="1" w:after="0" w:line="273" w:lineRule="auto"/>
              <w:jc w:val="center"/>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e. Otukpo LULC 2010</w:t>
            </w:r>
          </w:p>
        </w:tc>
        <w:tc>
          <w:tcPr>
            <w:tcW w:w="4675" w:type="dxa"/>
            <w:tcBorders>
              <w:top w:val="nil"/>
              <w:left w:val="nil"/>
              <w:bottom w:val="nil"/>
              <w:right w:val="nil"/>
            </w:tcBorders>
            <w:vAlign w:val="center"/>
          </w:tcPr>
          <w:p w14:paraId="76BA7131">
            <w:pPr>
              <w:spacing w:before="100" w:beforeAutospacing="1" w:after="0" w:line="273" w:lineRule="auto"/>
              <w:jc w:val="center"/>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f. Otukpo LULC 2024</w:t>
            </w:r>
          </w:p>
        </w:tc>
      </w:tr>
    </w:tbl>
    <w:p w14:paraId="24227F99">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sz w:val="24"/>
          <w:szCs w:val="24"/>
          <w14:ligatures w14:val="none"/>
        </w:rPr>
        <w:t>Figure 3.2:</w:t>
      </w:r>
      <w:r>
        <w:rPr>
          <w:rFonts w:ascii="Times New Roman" w:hAnsi="Times New Roman" w:eastAsia="Calibri" w:cs="Times New Roman"/>
          <w:sz w:val="24"/>
          <w:szCs w:val="24"/>
          <w14:ligatures w14:val="none"/>
        </w:rPr>
        <w:t xml:space="preserve"> Spatial Trend of LULC for Makurdi and Otukpo between 1990-2024 Author source</w:t>
      </w:r>
    </w:p>
    <w:p w14:paraId="5996DB6C">
      <w:pPr>
        <w:keepNext/>
        <w:keepLines/>
        <w:widowControl w:val="0"/>
        <w:spacing w:before="240" w:after="240" w:line="273" w:lineRule="auto"/>
        <w:jc w:val="center"/>
        <w:outlineLvl w:val="0"/>
        <w:rPr>
          <w:rFonts w:ascii="Times New Roman" w:hAnsi="Times New Roman" w:eastAsia="Times New Roman" w:cs="Times New Roman"/>
          <w:b/>
          <w:color w:val="000000"/>
          <w:kern w:val="0"/>
          <w:sz w:val="28"/>
          <w:szCs w:val="28"/>
          <w14:ligatures w14:val="none"/>
        </w:rPr>
      </w:pPr>
      <w:bookmarkStart w:id="47" w:name="_Toc9833"/>
      <w:bookmarkEnd w:id="47"/>
      <w:bookmarkStart w:id="48" w:name="_Toc215220500"/>
      <w:r>
        <w:rPr>
          <w:rFonts w:ascii="Times New Roman" w:hAnsi="Times New Roman" w:eastAsia="Times New Roman" w:cs="Times New Roman"/>
          <w:b/>
          <w:color w:val="000000"/>
          <w:kern w:val="0"/>
          <w:sz w:val="28"/>
          <w:szCs w:val="28"/>
          <w14:ligatures w14:val="none"/>
        </w:rPr>
        <w:t>3.1.3 Ground Truthing for LULC Classification</w:t>
      </w:r>
      <w:bookmarkEnd w:id="48"/>
    </w:p>
    <w:p w14:paraId="0B6C9574">
      <w:pPr>
        <w:spacing w:before="100" w:beforeAutospacing="1" w:line="273" w:lineRule="auto"/>
        <w:jc w:val="both"/>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An accuracy assessment of the land cover classifications was performed to verify the reliability of the results using the ground truth data (Appendix 2) from the field survey carried out. Table 3.2 and Table 3.3 shows the results in both study areas</w:t>
      </w:r>
    </w:p>
    <w:p w14:paraId="110EA94C">
      <w:pPr>
        <w:spacing w:before="240" w:line="240" w:lineRule="auto"/>
        <w:rPr>
          <w:rFonts w:ascii="Times New Roman" w:hAnsi="Times New Roman" w:eastAsia="Calibri" w:cs="Times New Roman"/>
          <w:sz w:val="24"/>
          <w:szCs w:val="24"/>
          <w14:ligatures w14:val="none"/>
        </w:rPr>
      </w:pPr>
      <w:r>
        <w:rPr>
          <w:rFonts w:ascii="Times New Roman" w:hAnsi="Times New Roman" w:eastAsia="Times New Roman" w:cs="Times New Roman"/>
          <w:b/>
          <w:kern w:val="0"/>
          <w:sz w:val="28"/>
          <w:szCs w:val="28"/>
          <w14:ligatures w14:val="none"/>
        </w:rPr>
        <w:t xml:space="preserve">Table 3.2: </w:t>
      </w:r>
      <w:r>
        <w:rPr>
          <w:rFonts w:ascii="Times New Roman" w:hAnsi="Times New Roman" w:eastAsia="Times New Roman" w:cs="Times New Roman"/>
          <w:bCs/>
          <w:kern w:val="0"/>
          <w:sz w:val="28"/>
          <w:szCs w:val="28"/>
          <w14:ligatures w14:val="none"/>
        </w:rPr>
        <w:t>Accuracy Assessment Result for Makurdi (1990-2024)</w:t>
      </w:r>
      <w:r>
        <w:rPr>
          <w:rFonts w:ascii="Times New Roman" w:hAnsi="Times New Roman" w:eastAsia="Calibri" w:cs="Times New Roman"/>
          <w:sz w:val="24"/>
          <w:szCs w:val="24"/>
          <w14:ligatures w14:val="none"/>
        </w:rPr>
        <w:t xml:space="preserve"> </w:t>
      </w:r>
    </w:p>
    <w:tbl>
      <w:tblPr>
        <w:tblStyle w:val="17"/>
        <w:tblW w:w="9486" w:type="dxa"/>
        <w:tblInd w:w="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8"/>
        <w:gridCol w:w="1706"/>
        <w:gridCol w:w="1848"/>
        <w:gridCol w:w="2201"/>
        <w:gridCol w:w="1873"/>
      </w:tblGrid>
      <w:tr w14:paraId="2B6328D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dxa"/>
            <w:tcBorders>
              <w:top w:val="single" w:color="000000" w:sz="4" w:space="0"/>
              <w:left w:val="nil"/>
              <w:bottom w:val="single" w:color="000000" w:sz="4" w:space="0"/>
              <w:right w:val="nil"/>
            </w:tcBorders>
            <w:vAlign w:val="center"/>
          </w:tcPr>
          <w:p w14:paraId="7A818CDE">
            <w:pPr>
              <w:spacing w:before="100" w:beforeAutospacing="1" w:after="0" w:line="256" w:lineRule="auto"/>
              <w:rPr>
                <w:rFonts w:ascii="Times New Roman" w:hAnsi="Times New Roman" w:eastAsia="Times New Roman" w:cs="Times New Roman"/>
                <w:b/>
                <w:kern w:val="0"/>
                <w:sz w:val="28"/>
                <w:szCs w:val="28"/>
                <w14:ligatures w14:val="none"/>
              </w:rPr>
            </w:pPr>
            <w:r>
              <w:rPr>
                <w:rFonts w:ascii="Times New Roman" w:hAnsi="Times New Roman" w:eastAsia="Times New Roman" w:cs="Times New Roman"/>
                <w:b/>
                <w:kern w:val="0"/>
                <w:sz w:val="28"/>
                <w:szCs w:val="28"/>
                <w14:ligatures w14:val="none"/>
              </w:rPr>
              <w:t>LULC Class</w:t>
            </w:r>
          </w:p>
        </w:tc>
        <w:tc>
          <w:tcPr>
            <w:tcW w:w="1706" w:type="dxa"/>
            <w:tcBorders>
              <w:top w:val="single" w:color="000000" w:sz="4" w:space="0"/>
              <w:left w:val="nil"/>
              <w:bottom w:val="single" w:color="000000" w:sz="4" w:space="0"/>
              <w:right w:val="nil"/>
            </w:tcBorders>
            <w:vAlign w:val="center"/>
          </w:tcPr>
          <w:p w14:paraId="57060CB2">
            <w:pPr>
              <w:spacing w:before="100" w:beforeAutospacing="1" w:after="0" w:line="256" w:lineRule="auto"/>
              <w:rPr>
                <w:rFonts w:ascii="Times New Roman" w:hAnsi="Times New Roman" w:eastAsia="Times New Roman" w:cs="Times New Roman"/>
                <w:b/>
                <w:kern w:val="0"/>
                <w:sz w:val="28"/>
                <w:szCs w:val="28"/>
                <w14:ligatures w14:val="none"/>
              </w:rPr>
            </w:pPr>
            <w:r>
              <w:rPr>
                <w:rFonts w:ascii="Times New Roman" w:hAnsi="Times New Roman" w:eastAsia="Times New Roman" w:cs="Times New Roman"/>
                <w:b/>
                <w:kern w:val="0"/>
                <w:sz w:val="28"/>
                <w:szCs w:val="28"/>
                <w14:ligatures w14:val="none"/>
              </w:rPr>
              <w:t>Reference Pixels</w:t>
            </w:r>
          </w:p>
        </w:tc>
        <w:tc>
          <w:tcPr>
            <w:tcW w:w="1848" w:type="dxa"/>
            <w:tcBorders>
              <w:top w:val="single" w:color="000000" w:sz="4" w:space="0"/>
              <w:left w:val="nil"/>
              <w:bottom w:val="single" w:color="000000" w:sz="4" w:space="0"/>
              <w:right w:val="nil"/>
            </w:tcBorders>
            <w:vAlign w:val="center"/>
          </w:tcPr>
          <w:p w14:paraId="1E21DFCF">
            <w:pPr>
              <w:spacing w:before="100" w:beforeAutospacing="1" w:after="0" w:line="256" w:lineRule="auto"/>
              <w:rPr>
                <w:rFonts w:ascii="Times New Roman" w:hAnsi="Times New Roman" w:eastAsia="Times New Roman" w:cs="Times New Roman"/>
                <w:b/>
                <w:kern w:val="0"/>
                <w:sz w:val="28"/>
                <w:szCs w:val="28"/>
                <w14:ligatures w14:val="none"/>
              </w:rPr>
            </w:pPr>
            <w:r>
              <w:rPr>
                <w:rFonts w:ascii="Times New Roman" w:hAnsi="Times New Roman" w:eastAsia="Times New Roman" w:cs="Times New Roman"/>
                <w:b/>
                <w:kern w:val="0"/>
                <w:sz w:val="28"/>
                <w:szCs w:val="28"/>
                <w14:ligatures w14:val="none"/>
              </w:rPr>
              <w:t>Correctly Classified</w:t>
            </w:r>
          </w:p>
        </w:tc>
        <w:tc>
          <w:tcPr>
            <w:tcW w:w="2201" w:type="dxa"/>
            <w:tcBorders>
              <w:top w:val="single" w:color="000000" w:sz="4" w:space="0"/>
              <w:left w:val="nil"/>
              <w:bottom w:val="single" w:color="000000" w:sz="4" w:space="0"/>
              <w:right w:val="nil"/>
            </w:tcBorders>
            <w:vAlign w:val="center"/>
          </w:tcPr>
          <w:p w14:paraId="1493C532">
            <w:pPr>
              <w:spacing w:before="100" w:beforeAutospacing="1" w:after="0" w:line="256" w:lineRule="auto"/>
              <w:rPr>
                <w:rFonts w:ascii="Times New Roman" w:hAnsi="Times New Roman" w:eastAsia="Times New Roman" w:cs="Times New Roman"/>
                <w:b/>
                <w:kern w:val="0"/>
                <w:sz w:val="28"/>
                <w:szCs w:val="28"/>
                <w14:ligatures w14:val="none"/>
              </w:rPr>
            </w:pPr>
            <w:r>
              <w:rPr>
                <w:rFonts w:ascii="Times New Roman" w:hAnsi="Times New Roman" w:eastAsia="Times New Roman" w:cs="Times New Roman"/>
                <w:b/>
                <w:kern w:val="0"/>
                <w:sz w:val="28"/>
                <w:szCs w:val="28"/>
                <w14:ligatures w14:val="none"/>
              </w:rPr>
              <w:t>Producer’s Accuracy (%)</w:t>
            </w:r>
          </w:p>
        </w:tc>
        <w:tc>
          <w:tcPr>
            <w:tcW w:w="1873" w:type="dxa"/>
            <w:tcBorders>
              <w:top w:val="single" w:color="000000" w:sz="4" w:space="0"/>
              <w:left w:val="nil"/>
              <w:bottom w:val="single" w:color="000000" w:sz="4" w:space="0"/>
              <w:right w:val="nil"/>
            </w:tcBorders>
            <w:vAlign w:val="center"/>
          </w:tcPr>
          <w:p w14:paraId="0400BD19">
            <w:pPr>
              <w:spacing w:before="100" w:beforeAutospacing="1" w:after="0" w:line="256" w:lineRule="auto"/>
              <w:rPr>
                <w:rFonts w:ascii="Times New Roman" w:hAnsi="Times New Roman" w:eastAsia="Times New Roman" w:cs="Times New Roman"/>
                <w:b/>
                <w:kern w:val="0"/>
                <w:sz w:val="28"/>
                <w:szCs w:val="28"/>
                <w14:ligatures w14:val="none"/>
              </w:rPr>
            </w:pPr>
            <w:r>
              <w:rPr>
                <w:rFonts w:ascii="Times New Roman" w:hAnsi="Times New Roman" w:eastAsia="Times New Roman" w:cs="Times New Roman"/>
                <w:b/>
                <w:kern w:val="0"/>
                <w:sz w:val="28"/>
                <w:szCs w:val="28"/>
                <w14:ligatures w14:val="none"/>
              </w:rPr>
              <w:t>User’s Accuracy (%)</w:t>
            </w:r>
          </w:p>
        </w:tc>
      </w:tr>
      <w:tr w14:paraId="4D88C48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dxa"/>
            <w:tcBorders>
              <w:top w:val="single" w:color="000000" w:sz="4" w:space="0"/>
              <w:left w:val="nil"/>
              <w:bottom w:val="nil"/>
              <w:right w:val="nil"/>
            </w:tcBorders>
            <w:vAlign w:val="center"/>
          </w:tcPr>
          <w:p w14:paraId="1621D7B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Built-up Area</w:t>
            </w:r>
          </w:p>
        </w:tc>
        <w:tc>
          <w:tcPr>
            <w:tcW w:w="1706" w:type="dxa"/>
            <w:tcBorders>
              <w:top w:val="single" w:color="000000" w:sz="4" w:space="0"/>
              <w:left w:val="nil"/>
              <w:bottom w:val="nil"/>
              <w:right w:val="nil"/>
            </w:tcBorders>
            <w:vAlign w:val="center"/>
          </w:tcPr>
          <w:p w14:paraId="2B5DF9C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45</w:t>
            </w:r>
          </w:p>
        </w:tc>
        <w:tc>
          <w:tcPr>
            <w:tcW w:w="1848" w:type="dxa"/>
            <w:tcBorders>
              <w:top w:val="single" w:color="000000" w:sz="4" w:space="0"/>
              <w:left w:val="nil"/>
              <w:bottom w:val="nil"/>
              <w:right w:val="nil"/>
            </w:tcBorders>
            <w:vAlign w:val="center"/>
          </w:tcPr>
          <w:p w14:paraId="4F44F14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42</w:t>
            </w:r>
          </w:p>
        </w:tc>
        <w:tc>
          <w:tcPr>
            <w:tcW w:w="2201" w:type="dxa"/>
            <w:tcBorders>
              <w:top w:val="single" w:color="000000" w:sz="4" w:space="0"/>
              <w:left w:val="nil"/>
              <w:bottom w:val="nil"/>
              <w:right w:val="nil"/>
            </w:tcBorders>
            <w:vAlign w:val="center"/>
          </w:tcPr>
          <w:p w14:paraId="22E93FC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93.3</w:t>
            </w:r>
          </w:p>
        </w:tc>
        <w:tc>
          <w:tcPr>
            <w:tcW w:w="1873" w:type="dxa"/>
            <w:tcBorders>
              <w:top w:val="single" w:color="000000" w:sz="4" w:space="0"/>
              <w:left w:val="nil"/>
              <w:bottom w:val="nil"/>
              <w:right w:val="nil"/>
            </w:tcBorders>
            <w:vAlign w:val="center"/>
          </w:tcPr>
          <w:p w14:paraId="693FBED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91.3</w:t>
            </w:r>
          </w:p>
        </w:tc>
      </w:tr>
      <w:tr w14:paraId="4D2D930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dxa"/>
            <w:tcBorders>
              <w:top w:val="nil"/>
              <w:left w:val="nil"/>
              <w:bottom w:val="nil"/>
              <w:right w:val="nil"/>
            </w:tcBorders>
            <w:vAlign w:val="center"/>
          </w:tcPr>
          <w:p w14:paraId="12E92087">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Forest Area</w:t>
            </w:r>
          </w:p>
        </w:tc>
        <w:tc>
          <w:tcPr>
            <w:tcW w:w="1706" w:type="dxa"/>
            <w:tcBorders>
              <w:top w:val="nil"/>
              <w:left w:val="nil"/>
              <w:bottom w:val="nil"/>
              <w:right w:val="nil"/>
            </w:tcBorders>
            <w:vAlign w:val="center"/>
          </w:tcPr>
          <w:p w14:paraId="1491A39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60</w:t>
            </w:r>
          </w:p>
        </w:tc>
        <w:tc>
          <w:tcPr>
            <w:tcW w:w="1848" w:type="dxa"/>
            <w:tcBorders>
              <w:top w:val="nil"/>
              <w:left w:val="nil"/>
              <w:bottom w:val="nil"/>
              <w:right w:val="nil"/>
            </w:tcBorders>
            <w:vAlign w:val="center"/>
          </w:tcPr>
          <w:p w14:paraId="323D11A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54</w:t>
            </w:r>
          </w:p>
        </w:tc>
        <w:tc>
          <w:tcPr>
            <w:tcW w:w="2201" w:type="dxa"/>
            <w:tcBorders>
              <w:top w:val="nil"/>
              <w:left w:val="nil"/>
              <w:bottom w:val="nil"/>
              <w:right w:val="nil"/>
            </w:tcBorders>
            <w:vAlign w:val="center"/>
          </w:tcPr>
          <w:p w14:paraId="6BDADF9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90.0</w:t>
            </w:r>
          </w:p>
        </w:tc>
        <w:tc>
          <w:tcPr>
            <w:tcW w:w="1873" w:type="dxa"/>
            <w:tcBorders>
              <w:top w:val="nil"/>
              <w:left w:val="nil"/>
              <w:bottom w:val="nil"/>
              <w:right w:val="nil"/>
            </w:tcBorders>
            <w:vAlign w:val="center"/>
          </w:tcPr>
          <w:p w14:paraId="46BFF52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88.5</w:t>
            </w:r>
          </w:p>
        </w:tc>
      </w:tr>
      <w:tr w14:paraId="2CC5FD3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dxa"/>
            <w:tcBorders>
              <w:top w:val="nil"/>
              <w:left w:val="nil"/>
              <w:bottom w:val="nil"/>
              <w:right w:val="nil"/>
            </w:tcBorders>
            <w:vAlign w:val="center"/>
          </w:tcPr>
          <w:p w14:paraId="686EE2B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Cropland</w:t>
            </w:r>
          </w:p>
        </w:tc>
        <w:tc>
          <w:tcPr>
            <w:tcW w:w="1706" w:type="dxa"/>
            <w:tcBorders>
              <w:top w:val="nil"/>
              <w:left w:val="nil"/>
              <w:bottom w:val="nil"/>
              <w:right w:val="nil"/>
            </w:tcBorders>
            <w:vAlign w:val="center"/>
          </w:tcPr>
          <w:p w14:paraId="00FC588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55</w:t>
            </w:r>
          </w:p>
        </w:tc>
        <w:tc>
          <w:tcPr>
            <w:tcW w:w="1848" w:type="dxa"/>
            <w:tcBorders>
              <w:top w:val="nil"/>
              <w:left w:val="nil"/>
              <w:bottom w:val="nil"/>
              <w:right w:val="nil"/>
            </w:tcBorders>
            <w:vAlign w:val="center"/>
          </w:tcPr>
          <w:p w14:paraId="6BDD08E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49</w:t>
            </w:r>
          </w:p>
        </w:tc>
        <w:tc>
          <w:tcPr>
            <w:tcW w:w="2201" w:type="dxa"/>
            <w:tcBorders>
              <w:top w:val="nil"/>
              <w:left w:val="nil"/>
              <w:bottom w:val="nil"/>
              <w:right w:val="nil"/>
            </w:tcBorders>
            <w:vAlign w:val="center"/>
          </w:tcPr>
          <w:p w14:paraId="19ABB2A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89.1</w:t>
            </w:r>
          </w:p>
        </w:tc>
        <w:tc>
          <w:tcPr>
            <w:tcW w:w="1873" w:type="dxa"/>
            <w:tcBorders>
              <w:top w:val="nil"/>
              <w:left w:val="nil"/>
              <w:bottom w:val="nil"/>
              <w:right w:val="nil"/>
            </w:tcBorders>
            <w:vAlign w:val="center"/>
          </w:tcPr>
          <w:p w14:paraId="6AF0A3B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87.5</w:t>
            </w:r>
          </w:p>
        </w:tc>
      </w:tr>
      <w:tr w14:paraId="38B2B2B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dxa"/>
            <w:tcBorders>
              <w:top w:val="nil"/>
              <w:left w:val="nil"/>
              <w:bottom w:val="nil"/>
              <w:right w:val="nil"/>
            </w:tcBorders>
            <w:vAlign w:val="center"/>
          </w:tcPr>
          <w:p w14:paraId="429047D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Water Body</w:t>
            </w:r>
          </w:p>
        </w:tc>
        <w:tc>
          <w:tcPr>
            <w:tcW w:w="1706" w:type="dxa"/>
            <w:tcBorders>
              <w:top w:val="nil"/>
              <w:left w:val="nil"/>
              <w:bottom w:val="nil"/>
              <w:right w:val="nil"/>
            </w:tcBorders>
            <w:vAlign w:val="center"/>
          </w:tcPr>
          <w:p w14:paraId="34214F5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30</w:t>
            </w:r>
          </w:p>
        </w:tc>
        <w:tc>
          <w:tcPr>
            <w:tcW w:w="1848" w:type="dxa"/>
            <w:tcBorders>
              <w:top w:val="nil"/>
              <w:left w:val="nil"/>
              <w:bottom w:val="nil"/>
              <w:right w:val="nil"/>
            </w:tcBorders>
            <w:vAlign w:val="center"/>
          </w:tcPr>
          <w:p w14:paraId="7CEE5C1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29</w:t>
            </w:r>
          </w:p>
        </w:tc>
        <w:tc>
          <w:tcPr>
            <w:tcW w:w="2201" w:type="dxa"/>
            <w:tcBorders>
              <w:top w:val="nil"/>
              <w:left w:val="nil"/>
              <w:bottom w:val="nil"/>
              <w:right w:val="nil"/>
            </w:tcBorders>
            <w:vAlign w:val="center"/>
          </w:tcPr>
          <w:p w14:paraId="5F504FE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96.7</w:t>
            </w:r>
          </w:p>
        </w:tc>
        <w:tc>
          <w:tcPr>
            <w:tcW w:w="1873" w:type="dxa"/>
            <w:tcBorders>
              <w:top w:val="nil"/>
              <w:left w:val="nil"/>
              <w:bottom w:val="nil"/>
              <w:right w:val="nil"/>
            </w:tcBorders>
            <w:vAlign w:val="center"/>
          </w:tcPr>
          <w:p w14:paraId="271701F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96.7</w:t>
            </w:r>
          </w:p>
        </w:tc>
      </w:tr>
      <w:tr w14:paraId="70CF887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dxa"/>
            <w:tcBorders>
              <w:top w:val="nil"/>
              <w:left w:val="nil"/>
              <w:bottom w:val="nil"/>
              <w:right w:val="nil"/>
            </w:tcBorders>
            <w:vAlign w:val="center"/>
          </w:tcPr>
          <w:p w14:paraId="3A7F4F2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Wetland</w:t>
            </w:r>
          </w:p>
        </w:tc>
        <w:tc>
          <w:tcPr>
            <w:tcW w:w="1706" w:type="dxa"/>
            <w:tcBorders>
              <w:top w:val="nil"/>
              <w:left w:val="nil"/>
              <w:bottom w:val="nil"/>
              <w:right w:val="nil"/>
            </w:tcBorders>
            <w:vAlign w:val="center"/>
          </w:tcPr>
          <w:p w14:paraId="410D67B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40</w:t>
            </w:r>
          </w:p>
        </w:tc>
        <w:tc>
          <w:tcPr>
            <w:tcW w:w="1848" w:type="dxa"/>
            <w:tcBorders>
              <w:top w:val="nil"/>
              <w:left w:val="nil"/>
              <w:bottom w:val="nil"/>
              <w:right w:val="nil"/>
            </w:tcBorders>
            <w:vAlign w:val="center"/>
          </w:tcPr>
          <w:p w14:paraId="3A5170D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36</w:t>
            </w:r>
          </w:p>
        </w:tc>
        <w:tc>
          <w:tcPr>
            <w:tcW w:w="2201" w:type="dxa"/>
            <w:tcBorders>
              <w:top w:val="nil"/>
              <w:left w:val="nil"/>
              <w:bottom w:val="nil"/>
              <w:right w:val="nil"/>
            </w:tcBorders>
            <w:vAlign w:val="center"/>
          </w:tcPr>
          <w:p w14:paraId="61629DE7">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90.0</w:t>
            </w:r>
          </w:p>
        </w:tc>
        <w:tc>
          <w:tcPr>
            <w:tcW w:w="1873" w:type="dxa"/>
            <w:tcBorders>
              <w:top w:val="nil"/>
              <w:left w:val="nil"/>
              <w:bottom w:val="nil"/>
              <w:right w:val="nil"/>
            </w:tcBorders>
            <w:vAlign w:val="center"/>
          </w:tcPr>
          <w:p w14:paraId="1F5090C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92.3</w:t>
            </w:r>
          </w:p>
        </w:tc>
      </w:tr>
      <w:tr w14:paraId="7C02003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dxa"/>
            <w:tcBorders>
              <w:top w:val="nil"/>
              <w:left w:val="nil"/>
              <w:bottom w:val="nil"/>
              <w:right w:val="nil"/>
            </w:tcBorders>
            <w:vAlign w:val="center"/>
          </w:tcPr>
          <w:p w14:paraId="64B363C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kern w:val="0"/>
                <w:sz w:val="28"/>
                <w:szCs w:val="28"/>
                <w14:ligatures w14:val="none"/>
              </w:rPr>
              <w:t>Overall Accuracy</w:t>
            </w:r>
          </w:p>
        </w:tc>
        <w:tc>
          <w:tcPr>
            <w:tcW w:w="1706" w:type="dxa"/>
            <w:tcBorders>
              <w:top w:val="nil"/>
              <w:left w:val="nil"/>
              <w:bottom w:val="nil"/>
              <w:right w:val="nil"/>
            </w:tcBorders>
            <w:vAlign w:val="center"/>
          </w:tcPr>
          <w:p w14:paraId="51085AD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t>
            </w:r>
          </w:p>
        </w:tc>
        <w:tc>
          <w:tcPr>
            <w:tcW w:w="1848" w:type="dxa"/>
            <w:tcBorders>
              <w:top w:val="nil"/>
              <w:left w:val="nil"/>
              <w:bottom w:val="nil"/>
              <w:right w:val="nil"/>
            </w:tcBorders>
            <w:vAlign w:val="center"/>
          </w:tcPr>
          <w:p w14:paraId="489263E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t>
            </w:r>
          </w:p>
        </w:tc>
        <w:tc>
          <w:tcPr>
            <w:tcW w:w="2201" w:type="dxa"/>
            <w:tcBorders>
              <w:top w:val="nil"/>
              <w:left w:val="nil"/>
              <w:bottom w:val="nil"/>
              <w:right w:val="nil"/>
            </w:tcBorders>
            <w:vAlign w:val="center"/>
          </w:tcPr>
          <w:p w14:paraId="330FF87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kern w:val="0"/>
                <w:sz w:val="28"/>
                <w:szCs w:val="28"/>
                <w14:ligatures w14:val="none"/>
              </w:rPr>
              <w:t>91.8%</w:t>
            </w:r>
          </w:p>
        </w:tc>
        <w:tc>
          <w:tcPr>
            <w:tcW w:w="1873" w:type="dxa"/>
            <w:tcBorders>
              <w:top w:val="nil"/>
              <w:left w:val="nil"/>
              <w:bottom w:val="nil"/>
              <w:right w:val="nil"/>
            </w:tcBorders>
            <w:vAlign w:val="center"/>
          </w:tcPr>
          <w:p w14:paraId="06BC2C7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t>
            </w:r>
          </w:p>
        </w:tc>
      </w:tr>
      <w:tr w14:paraId="0B2CFBC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dxa"/>
            <w:tcBorders>
              <w:top w:val="nil"/>
              <w:left w:val="nil"/>
              <w:bottom w:val="single" w:color="000000" w:sz="4" w:space="0"/>
              <w:right w:val="nil"/>
            </w:tcBorders>
            <w:vAlign w:val="center"/>
          </w:tcPr>
          <w:p w14:paraId="73CFCA1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kern w:val="0"/>
                <w:sz w:val="28"/>
                <w:szCs w:val="28"/>
                <w14:ligatures w14:val="none"/>
              </w:rPr>
              <w:t>Kappa Coefficient</w:t>
            </w:r>
          </w:p>
        </w:tc>
        <w:tc>
          <w:tcPr>
            <w:tcW w:w="1706" w:type="dxa"/>
            <w:tcBorders>
              <w:top w:val="nil"/>
              <w:left w:val="nil"/>
              <w:bottom w:val="single" w:color="000000" w:sz="4" w:space="0"/>
              <w:right w:val="nil"/>
            </w:tcBorders>
            <w:vAlign w:val="center"/>
          </w:tcPr>
          <w:p w14:paraId="0588117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t>
            </w:r>
          </w:p>
        </w:tc>
        <w:tc>
          <w:tcPr>
            <w:tcW w:w="1848" w:type="dxa"/>
            <w:tcBorders>
              <w:top w:val="nil"/>
              <w:left w:val="nil"/>
              <w:bottom w:val="single" w:color="000000" w:sz="4" w:space="0"/>
              <w:right w:val="nil"/>
            </w:tcBorders>
            <w:vAlign w:val="center"/>
          </w:tcPr>
          <w:p w14:paraId="5012147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t>
            </w:r>
          </w:p>
        </w:tc>
        <w:tc>
          <w:tcPr>
            <w:tcW w:w="2201" w:type="dxa"/>
            <w:tcBorders>
              <w:top w:val="nil"/>
              <w:left w:val="nil"/>
              <w:bottom w:val="single" w:color="000000" w:sz="4" w:space="0"/>
              <w:right w:val="nil"/>
            </w:tcBorders>
            <w:vAlign w:val="center"/>
          </w:tcPr>
          <w:p w14:paraId="60A7C8B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kern w:val="0"/>
                <w:sz w:val="28"/>
                <w:szCs w:val="28"/>
                <w14:ligatures w14:val="none"/>
              </w:rPr>
              <w:t>0.89</w:t>
            </w:r>
          </w:p>
        </w:tc>
        <w:tc>
          <w:tcPr>
            <w:tcW w:w="1873" w:type="dxa"/>
            <w:tcBorders>
              <w:top w:val="nil"/>
              <w:left w:val="nil"/>
              <w:bottom w:val="single" w:color="000000" w:sz="4" w:space="0"/>
              <w:right w:val="nil"/>
            </w:tcBorders>
            <w:vAlign w:val="center"/>
          </w:tcPr>
          <w:p w14:paraId="1FCCB44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t>
            </w:r>
          </w:p>
        </w:tc>
      </w:tr>
    </w:tbl>
    <w:p w14:paraId="3CCFD715">
      <w:pPr>
        <w:spacing w:before="240" w:line="240" w:lineRule="auto"/>
        <w:jc w:val="center"/>
        <w:rPr>
          <w:rFonts w:ascii="Times New Roman" w:hAnsi="Times New Roman" w:eastAsia="Times New Roman" w:cs="Times New Roman"/>
          <w:bCs/>
          <w:kern w:val="0"/>
          <w:sz w:val="28"/>
          <w:szCs w:val="28"/>
          <w14:ligatures w14:val="none"/>
        </w:rPr>
      </w:pPr>
      <w:bookmarkStart w:id="49" w:name="_Hlk217286773"/>
      <w:r>
        <w:rPr>
          <w:rFonts w:ascii="Times New Roman" w:hAnsi="Times New Roman" w:eastAsia="Times New Roman" w:cs="Times New Roman"/>
          <w:bCs/>
          <w:kern w:val="0"/>
          <w:sz w:val="28"/>
          <w:szCs w:val="28"/>
          <w14:ligatures w14:val="none"/>
        </w:rPr>
        <w:t>Author source</w:t>
      </w:r>
    </w:p>
    <w:bookmarkEnd w:id="49"/>
    <w:p w14:paraId="68742D9E">
      <w:pPr>
        <w:spacing w:before="240" w:line="240" w:lineRule="auto"/>
        <w:rPr>
          <w:rFonts w:ascii="Times New Roman" w:hAnsi="Times New Roman" w:eastAsia="Times New Roman" w:cs="Times New Roman"/>
          <w:b/>
          <w:kern w:val="0"/>
          <w:sz w:val="28"/>
          <w:szCs w:val="28"/>
          <w14:ligatures w14:val="none"/>
        </w:rPr>
      </w:pPr>
    </w:p>
    <w:p w14:paraId="56FCA6F8">
      <w:pPr>
        <w:spacing w:before="240" w:line="240" w:lineRule="auto"/>
        <w:rPr>
          <w:rFonts w:ascii="Times New Roman" w:hAnsi="Times New Roman" w:eastAsia="Calibri" w:cs="Times New Roman"/>
          <w:sz w:val="24"/>
          <w:szCs w:val="24"/>
          <w14:ligatures w14:val="none"/>
        </w:rPr>
      </w:pPr>
      <w:r>
        <w:rPr>
          <w:rFonts w:ascii="Times New Roman" w:hAnsi="Times New Roman" w:eastAsia="Times New Roman" w:cs="Times New Roman"/>
          <w:b/>
          <w:kern w:val="0"/>
          <w:sz w:val="28"/>
          <w:szCs w:val="28"/>
          <w14:ligatures w14:val="none"/>
        </w:rPr>
        <w:t xml:space="preserve">Table 3.3: </w:t>
      </w:r>
      <w:r>
        <w:rPr>
          <w:rFonts w:ascii="Times New Roman" w:hAnsi="Times New Roman" w:eastAsia="Times New Roman" w:cs="Times New Roman"/>
          <w:bCs/>
          <w:kern w:val="0"/>
          <w:sz w:val="28"/>
          <w:szCs w:val="28"/>
          <w14:ligatures w14:val="none"/>
        </w:rPr>
        <w:t>Accuracy Assessment Result for Otukpo (1990-2024)</w:t>
      </w:r>
    </w:p>
    <w:tbl>
      <w:tblPr>
        <w:tblStyle w:val="7"/>
        <w:tblW w:w="9486" w:type="dxa"/>
        <w:tblInd w:w="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8"/>
        <w:gridCol w:w="1706"/>
        <w:gridCol w:w="1848"/>
        <w:gridCol w:w="2201"/>
        <w:gridCol w:w="1873"/>
      </w:tblGrid>
      <w:tr w14:paraId="7EC1C0E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dxa"/>
            <w:tcBorders>
              <w:top w:val="single" w:color="000000" w:sz="4" w:space="0"/>
              <w:left w:val="nil"/>
              <w:bottom w:val="single" w:color="000000" w:sz="4" w:space="0"/>
              <w:right w:val="nil"/>
            </w:tcBorders>
            <w:vAlign w:val="center"/>
          </w:tcPr>
          <w:p w14:paraId="359E6BDC">
            <w:pPr>
              <w:spacing w:before="100" w:beforeAutospacing="1" w:after="0" w:line="256" w:lineRule="auto"/>
              <w:rPr>
                <w:rFonts w:ascii="Times New Roman" w:hAnsi="Times New Roman" w:eastAsia="Times New Roman" w:cs="Times New Roman"/>
                <w:b/>
                <w:kern w:val="0"/>
                <w:sz w:val="28"/>
                <w:szCs w:val="28"/>
                <w14:ligatures w14:val="none"/>
              </w:rPr>
            </w:pPr>
            <w:r>
              <w:rPr>
                <w:rFonts w:ascii="Times New Roman" w:hAnsi="Times New Roman" w:eastAsia="Times New Roman" w:cs="Times New Roman"/>
                <w:b/>
                <w:kern w:val="0"/>
                <w:sz w:val="28"/>
                <w:szCs w:val="28"/>
                <w14:ligatures w14:val="none"/>
              </w:rPr>
              <w:t>LULC Class</w:t>
            </w:r>
          </w:p>
        </w:tc>
        <w:tc>
          <w:tcPr>
            <w:tcW w:w="1706" w:type="dxa"/>
            <w:tcBorders>
              <w:top w:val="single" w:color="000000" w:sz="4" w:space="0"/>
              <w:left w:val="nil"/>
              <w:bottom w:val="single" w:color="000000" w:sz="4" w:space="0"/>
              <w:right w:val="nil"/>
            </w:tcBorders>
            <w:vAlign w:val="center"/>
          </w:tcPr>
          <w:p w14:paraId="199CA2C1">
            <w:pPr>
              <w:spacing w:before="100" w:beforeAutospacing="1" w:after="0" w:line="256" w:lineRule="auto"/>
              <w:rPr>
                <w:rFonts w:ascii="Times New Roman" w:hAnsi="Times New Roman" w:eastAsia="Times New Roman" w:cs="Times New Roman"/>
                <w:b/>
                <w:kern w:val="0"/>
                <w:sz w:val="28"/>
                <w:szCs w:val="28"/>
                <w14:ligatures w14:val="none"/>
              </w:rPr>
            </w:pPr>
            <w:r>
              <w:rPr>
                <w:rFonts w:ascii="Times New Roman" w:hAnsi="Times New Roman" w:eastAsia="Times New Roman" w:cs="Times New Roman"/>
                <w:b/>
                <w:kern w:val="0"/>
                <w:sz w:val="28"/>
                <w:szCs w:val="28"/>
                <w14:ligatures w14:val="none"/>
              </w:rPr>
              <w:t>Reference Pixels</w:t>
            </w:r>
          </w:p>
        </w:tc>
        <w:tc>
          <w:tcPr>
            <w:tcW w:w="1848" w:type="dxa"/>
            <w:tcBorders>
              <w:top w:val="single" w:color="000000" w:sz="4" w:space="0"/>
              <w:left w:val="nil"/>
              <w:bottom w:val="single" w:color="000000" w:sz="4" w:space="0"/>
              <w:right w:val="nil"/>
            </w:tcBorders>
            <w:vAlign w:val="center"/>
          </w:tcPr>
          <w:p w14:paraId="291C72B3">
            <w:pPr>
              <w:spacing w:before="100" w:beforeAutospacing="1" w:after="0" w:line="256" w:lineRule="auto"/>
              <w:rPr>
                <w:rFonts w:ascii="Times New Roman" w:hAnsi="Times New Roman" w:eastAsia="Times New Roman" w:cs="Times New Roman"/>
                <w:b/>
                <w:kern w:val="0"/>
                <w:sz w:val="28"/>
                <w:szCs w:val="28"/>
                <w14:ligatures w14:val="none"/>
              </w:rPr>
            </w:pPr>
            <w:r>
              <w:rPr>
                <w:rFonts w:ascii="Times New Roman" w:hAnsi="Times New Roman" w:eastAsia="Times New Roman" w:cs="Times New Roman"/>
                <w:b/>
                <w:kern w:val="0"/>
                <w:sz w:val="28"/>
                <w:szCs w:val="28"/>
                <w14:ligatures w14:val="none"/>
              </w:rPr>
              <w:t>Correctly Classified</w:t>
            </w:r>
          </w:p>
        </w:tc>
        <w:tc>
          <w:tcPr>
            <w:tcW w:w="2201" w:type="dxa"/>
            <w:tcBorders>
              <w:top w:val="single" w:color="000000" w:sz="4" w:space="0"/>
              <w:left w:val="nil"/>
              <w:bottom w:val="single" w:color="000000" w:sz="4" w:space="0"/>
              <w:right w:val="nil"/>
            </w:tcBorders>
            <w:vAlign w:val="center"/>
          </w:tcPr>
          <w:p w14:paraId="4368F36D">
            <w:pPr>
              <w:spacing w:before="100" w:beforeAutospacing="1" w:after="0" w:line="256" w:lineRule="auto"/>
              <w:rPr>
                <w:rFonts w:ascii="Times New Roman" w:hAnsi="Times New Roman" w:eastAsia="Times New Roman" w:cs="Times New Roman"/>
                <w:b/>
                <w:kern w:val="0"/>
                <w:sz w:val="28"/>
                <w:szCs w:val="28"/>
                <w14:ligatures w14:val="none"/>
              </w:rPr>
            </w:pPr>
            <w:r>
              <w:rPr>
                <w:rFonts w:ascii="Times New Roman" w:hAnsi="Times New Roman" w:eastAsia="Times New Roman" w:cs="Times New Roman"/>
                <w:b/>
                <w:kern w:val="0"/>
                <w:sz w:val="28"/>
                <w:szCs w:val="28"/>
                <w14:ligatures w14:val="none"/>
              </w:rPr>
              <w:t>Producer’s Accuracy (%)</w:t>
            </w:r>
          </w:p>
        </w:tc>
        <w:tc>
          <w:tcPr>
            <w:tcW w:w="1873" w:type="dxa"/>
            <w:tcBorders>
              <w:top w:val="single" w:color="000000" w:sz="4" w:space="0"/>
              <w:left w:val="nil"/>
              <w:bottom w:val="single" w:color="000000" w:sz="4" w:space="0"/>
              <w:right w:val="nil"/>
            </w:tcBorders>
            <w:vAlign w:val="center"/>
          </w:tcPr>
          <w:p w14:paraId="2C4F717E">
            <w:pPr>
              <w:spacing w:before="100" w:beforeAutospacing="1" w:after="0" w:line="256" w:lineRule="auto"/>
              <w:rPr>
                <w:rFonts w:ascii="Times New Roman" w:hAnsi="Times New Roman" w:eastAsia="Times New Roman" w:cs="Times New Roman"/>
                <w:b/>
                <w:kern w:val="0"/>
                <w:sz w:val="28"/>
                <w:szCs w:val="28"/>
                <w14:ligatures w14:val="none"/>
              </w:rPr>
            </w:pPr>
            <w:r>
              <w:rPr>
                <w:rFonts w:ascii="Times New Roman" w:hAnsi="Times New Roman" w:eastAsia="Times New Roman" w:cs="Times New Roman"/>
                <w:b/>
                <w:kern w:val="0"/>
                <w:sz w:val="28"/>
                <w:szCs w:val="28"/>
                <w14:ligatures w14:val="none"/>
              </w:rPr>
              <w:t>User’s Accuracy (%)</w:t>
            </w:r>
          </w:p>
        </w:tc>
      </w:tr>
      <w:tr w14:paraId="5697B70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dxa"/>
            <w:tcBorders>
              <w:top w:val="single" w:color="000000" w:sz="4" w:space="0"/>
              <w:left w:val="nil"/>
              <w:bottom w:val="nil"/>
              <w:right w:val="nil"/>
            </w:tcBorders>
            <w:vAlign w:val="center"/>
          </w:tcPr>
          <w:p w14:paraId="6A11EE0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Built-up Area</w:t>
            </w:r>
          </w:p>
        </w:tc>
        <w:tc>
          <w:tcPr>
            <w:tcW w:w="1706" w:type="dxa"/>
            <w:tcBorders>
              <w:top w:val="single" w:color="000000" w:sz="4" w:space="0"/>
              <w:left w:val="nil"/>
              <w:bottom w:val="nil"/>
              <w:right w:val="nil"/>
            </w:tcBorders>
            <w:vAlign w:val="center"/>
          </w:tcPr>
          <w:p w14:paraId="4CE55E7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50</w:t>
            </w:r>
          </w:p>
        </w:tc>
        <w:tc>
          <w:tcPr>
            <w:tcW w:w="1848" w:type="dxa"/>
            <w:tcBorders>
              <w:top w:val="single" w:color="000000" w:sz="4" w:space="0"/>
              <w:left w:val="nil"/>
              <w:bottom w:val="nil"/>
              <w:right w:val="nil"/>
            </w:tcBorders>
            <w:vAlign w:val="center"/>
          </w:tcPr>
          <w:p w14:paraId="166669A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47</w:t>
            </w:r>
          </w:p>
        </w:tc>
        <w:tc>
          <w:tcPr>
            <w:tcW w:w="2201" w:type="dxa"/>
            <w:tcBorders>
              <w:top w:val="single" w:color="000000" w:sz="4" w:space="0"/>
              <w:left w:val="nil"/>
              <w:bottom w:val="nil"/>
              <w:right w:val="nil"/>
            </w:tcBorders>
            <w:vAlign w:val="center"/>
          </w:tcPr>
          <w:p w14:paraId="71F004C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94.0</w:t>
            </w:r>
          </w:p>
        </w:tc>
        <w:tc>
          <w:tcPr>
            <w:tcW w:w="1873" w:type="dxa"/>
            <w:tcBorders>
              <w:top w:val="single" w:color="000000" w:sz="4" w:space="0"/>
              <w:left w:val="nil"/>
              <w:bottom w:val="nil"/>
              <w:right w:val="nil"/>
            </w:tcBorders>
            <w:vAlign w:val="center"/>
          </w:tcPr>
          <w:p w14:paraId="1FF35F3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90.4</w:t>
            </w:r>
          </w:p>
        </w:tc>
      </w:tr>
      <w:tr w14:paraId="4F34F15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dxa"/>
            <w:tcBorders>
              <w:top w:val="nil"/>
              <w:left w:val="nil"/>
              <w:bottom w:val="nil"/>
              <w:right w:val="nil"/>
            </w:tcBorders>
            <w:vAlign w:val="center"/>
          </w:tcPr>
          <w:p w14:paraId="1555C51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Forest Area</w:t>
            </w:r>
          </w:p>
        </w:tc>
        <w:tc>
          <w:tcPr>
            <w:tcW w:w="1706" w:type="dxa"/>
            <w:tcBorders>
              <w:top w:val="nil"/>
              <w:left w:val="nil"/>
              <w:bottom w:val="nil"/>
              <w:right w:val="nil"/>
            </w:tcBorders>
            <w:vAlign w:val="center"/>
          </w:tcPr>
          <w:p w14:paraId="1677B225">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55</w:t>
            </w:r>
          </w:p>
        </w:tc>
        <w:tc>
          <w:tcPr>
            <w:tcW w:w="1848" w:type="dxa"/>
            <w:tcBorders>
              <w:top w:val="nil"/>
              <w:left w:val="nil"/>
              <w:bottom w:val="nil"/>
              <w:right w:val="nil"/>
            </w:tcBorders>
            <w:vAlign w:val="center"/>
          </w:tcPr>
          <w:p w14:paraId="08F9E94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49</w:t>
            </w:r>
          </w:p>
        </w:tc>
        <w:tc>
          <w:tcPr>
            <w:tcW w:w="2201" w:type="dxa"/>
            <w:tcBorders>
              <w:top w:val="nil"/>
              <w:left w:val="nil"/>
              <w:bottom w:val="nil"/>
              <w:right w:val="nil"/>
            </w:tcBorders>
            <w:vAlign w:val="center"/>
          </w:tcPr>
          <w:p w14:paraId="7677B065">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89.1</w:t>
            </w:r>
          </w:p>
        </w:tc>
        <w:tc>
          <w:tcPr>
            <w:tcW w:w="1873" w:type="dxa"/>
            <w:tcBorders>
              <w:top w:val="nil"/>
              <w:left w:val="nil"/>
              <w:bottom w:val="nil"/>
              <w:right w:val="nil"/>
            </w:tcBorders>
            <w:vAlign w:val="center"/>
          </w:tcPr>
          <w:p w14:paraId="68B6FDD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89.1</w:t>
            </w:r>
          </w:p>
        </w:tc>
      </w:tr>
      <w:tr w14:paraId="213E161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dxa"/>
            <w:tcBorders>
              <w:top w:val="nil"/>
              <w:left w:val="nil"/>
              <w:bottom w:val="nil"/>
              <w:right w:val="nil"/>
            </w:tcBorders>
            <w:vAlign w:val="center"/>
          </w:tcPr>
          <w:p w14:paraId="3D1BF82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Cropland</w:t>
            </w:r>
          </w:p>
        </w:tc>
        <w:tc>
          <w:tcPr>
            <w:tcW w:w="1706" w:type="dxa"/>
            <w:tcBorders>
              <w:top w:val="nil"/>
              <w:left w:val="nil"/>
              <w:bottom w:val="nil"/>
              <w:right w:val="nil"/>
            </w:tcBorders>
            <w:vAlign w:val="center"/>
          </w:tcPr>
          <w:p w14:paraId="750B4CE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45</w:t>
            </w:r>
          </w:p>
        </w:tc>
        <w:tc>
          <w:tcPr>
            <w:tcW w:w="1848" w:type="dxa"/>
            <w:tcBorders>
              <w:top w:val="nil"/>
              <w:left w:val="nil"/>
              <w:bottom w:val="nil"/>
              <w:right w:val="nil"/>
            </w:tcBorders>
            <w:vAlign w:val="center"/>
          </w:tcPr>
          <w:p w14:paraId="4D91185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41</w:t>
            </w:r>
          </w:p>
        </w:tc>
        <w:tc>
          <w:tcPr>
            <w:tcW w:w="2201" w:type="dxa"/>
            <w:tcBorders>
              <w:top w:val="nil"/>
              <w:left w:val="nil"/>
              <w:bottom w:val="nil"/>
              <w:right w:val="nil"/>
            </w:tcBorders>
            <w:vAlign w:val="center"/>
          </w:tcPr>
          <w:p w14:paraId="5260DD0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91.1</w:t>
            </w:r>
          </w:p>
        </w:tc>
        <w:tc>
          <w:tcPr>
            <w:tcW w:w="1873" w:type="dxa"/>
            <w:tcBorders>
              <w:top w:val="nil"/>
              <w:left w:val="nil"/>
              <w:bottom w:val="nil"/>
              <w:right w:val="nil"/>
            </w:tcBorders>
            <w:vAlign w:val="center"/>
          </w:tcPr>
          <w:p w14:paraId="690C8B0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86.3</w:t>
            </w:r>
          </w:p>
        </w:tc>
      </w:tr>
      <w:tr w14:paraId="35726B67">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dxa"/>
            <w:tcBorders>
              <w:top w:val="nil"/>
              <w:left w:val="nil"/>
              <w:bottom w:val="nil"/>
              <w:right w:val="nil"/>
            </w:tcBorders>
            <w:vAlign w:val="center"/>
          </w:tcPr>
          <w:p w14:paraId="65E2FB1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Water Body</w:t>
            </w:r>
          </w:p>
        </w:tc>
        <w:tc>
          <w:tcPr>
            <w:tcW w:w="1706" w:type="dxa"/>
            <w:tcBorders>
              <w:top w:val="nil"/>
              <w:left w:val="nil"/>
              <w:bottom w:val="nil"/>
              <w:right w:val="nil"/>
            </w:tcBorders>
            <w:vAlign w:val="center"/>
          </w:tcPr>
          <w:p w14:paraId="4FC7E07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35</w:t>
            </w:r>
          </w:p>
        </w:tc>
        <w:tc>
          <w:tcPr>
            <w:tcW w:w="1848" w:type="dxa"/>
            <w:tcBorders>
              <w:top w:val="nil"/>
              <w:left w:val="nil"/>
              <w:bottom w:val="nil"/>
              <w:right w:val="nil"/>
            </w:tcBorders>
            <w:vAlign w:val="center"/>
          </w:tcPr>
          <w:p w14:paraId="41FC4FF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34</w:t>
            </w:r>
          </w:p>
        </w:tc>
        <w:tc>
          <w:tcPr>
            <w:tcW w:w="2201" w:type="dxa"/>
            <w:tcBorders>
              <w:top w:val="nil"/>
              <w:left w:val="nil"/>
              <w:bottom w:val="nil"/>
              <w:right w:val="nil"/>
            </w:tcBorders>
            <w:vAlign w:val="center"/>
          </w:tcPr>
          <w:p w14:paraId="07956D5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97.1</w:t>
            </w:r>
          </w:p>
        </w:tc>
        <w:tc>
          <w:tcPr>
            <w:tcW w:w="1873" w:type="dxa"/>
            <w:tcBorders>
              <w:top w:val="nil"/>
              <w:left w:val="nil"/>
              <w:bottom w:val="nil"/>
              <w:right w:val="nil"/>
            </w:tcBorders>
            <w:vAlign w:val="center"/>
          </w:tcPr>
          <w:p w14:paraId="0A8F45B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94.4</w:t>
            </w:r>
          </w:p>
        </w:tc>
      </w:tr>
      <w:tr w14:paraId="4258A1F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dxa"/>
            <w:tcBorders>
              <w:top w:val="nil"/>
              <w:left w:val="nil"/>
              <w:bottom w:val="nil"/>
              <w:right w:val="nil"/>
            </w:tcBorders>
            <w:vAlign w:val="center"/>
          </w:tcPr>
          <w:p w14:paraId="018F13C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Wetland</w:t>
            </w:r>
          </w:p>
        </w:tc>
        <w:tc>
          <w:tcPr>
            <w:tcW w:w="1706" w:type="dxa"/>
            <w:tcBorders>
              <w:top w:val="nil"/>
              <w:left w:val="nil"/>
              <w:bottom w:val="nil"/>
              <w:right w:val="nil"/>
            </w:tcBorders>
            <w:vAlign w:val="center"/>
          </w:tcPr>
          <w:p w14:paraId="68F780F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40</w:t>
            </w:r>
          </w:p>
        </w:tc>
        <w:tc>
          <w:tcPr>
            <w:tcW w:w="1848" w:type="dxa"/>
            <w:tcBorders>
              <w:top w:val="nil"/>
              <w:left w:val="nil"/>
              <w:bottom w:val="nil"/>
              <w:right w:val="nil"/>
            </w:tcBorders>
            <w:vAlign w:val="center"/>
          </w:tcPr>
          <w:p w14:paraId="7A1AF68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36</w:t>
            </w:r>
          </w:p>
        </w:tc>
        <w:tc>
          <w:tcPr>
            <w:tcW w:w="2201" w:type="dxa"/>
            <w:tcBorders>
              <w:top w:val="nil"/>
              <w:left w:val="nil"/>
              <w:bottom w:val="nil"/>
              <w:right w:val="nil"/>
            </w:tcBorders>
            <w:vAlign w:val="center"/>
          </w:tcPr>
          <w:p w14:paraId="777118F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90.0</w:t>
            </w:r>
          </w:p>
        </w:tc>
        <w:tc>
          <w:tcPr>
            <w:tcW w:w="1873" w:type="dxa"/>
            <w:tcBorders>
              <w:top w:val="nil"/>
              <w:left w:val="nil"/>
              <w:bottom w:val="nil"/>
              <w:right w:val="nil"/>
            </w:tcBorders>
            <w:vAlign w:val="center"/>
          </w:tcPr>
          <w:p w14:paraId="48D8DB0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90.0</w:t>
            </w:r>
          </w:p>
        </w:tc>
      </w:tr>
      <w:tr w14:paraId="32DD6A5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dxa"/>
            <w:tcBorders>
              <w:top w:val="nil"/>
              <w:left w:val="nil"/>
              <w:bottom w:val="nil"/>
              <w:right w:val="nil"/>
            </w:tcBorders>
            <w:vAlign w:val="center"/>
          </w:tcPr>
          <w:p w14:paraId="5D4B7B6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kern w:val="0"/>
                <w:sz w:val="28"/>
                <w:szCs w:val="28"/>
                <w14:ligatures w14:val="none"/>
              </w:rPr>
              <w:t>Overall Accuracy</w:t>
            </w:r>
          </w:p>
        </w:tc>
        <w:tc>
          <w:tcPr>
            <w:tcW w:w="1706" w:type="dxa"/>
            <w:tcBorders>
              <w:top w:val="nil"/>
              <w:left w:val="nil"/>
              <w:bottom w:val="nil"/>
              <w:right w:val="nil"/>
            </w:tcBorders>
            <w:vAlign w:val="center"/>
          </w:tcPr>
          <w:p w14:paraId="33CA922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t>
            </w:r>
          </w:p>
        </w:tc>
        <w:tc>
          <w:tcPr>
            <w:tcW w:w="1848" w:type="dxa"/>
            <w:tcBorders>
              <w:top w:val="nil"/>
              <w:left w:val="nil"/>
              <w:bottom w:val="nil"/>
              <w:right w:val="nil"/>
            </w:tcBorders>
            <w:vAlign w:val="center"/>
          </w:tcPr>
          <w:p w14:paraId="7D56040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t>
            </w:r>
          </w:p>
        </w:tc>
        <w:tc>
          <w:tcPr>
            <w:tcW w:w="2201" w:type="dxa"/>
            <w:tcBorders>
              <w:top w:val="nil"/>
              <w:left w:val="nil"/>
              <w:bottom w:val="nil"/>
              <w:right w:val="nil"/>
            </w:tcBorders>
            <w:vAlign w:val="center"/>
          </w:tcPr>
          <w:p w14:paraId="67E4CE1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kern w:val="0"/>
                <w:sz w:val="28"/>
                <w:szCs w:val="28"/>
                <w14:ligatures w14:val="none"/>
              </w:rPr>
              <w:t>92.2%</w:t>
            </w:r>
          </w:p>
        </w:tc>
        <w:tc>
          <w:tcPr>
            <w:tcW w:w="1873" w:type="dxa"/>
            <w:tcBorders>
              <w:top w:val="nil"/>
              <w:left w:val="nil"/>
              <w:bottom w:val="nil"/>
              <w:right w:val="nil"/>
            </w:tcBorders>
            <w:vAlign w:val="center"/>
          </w:tcPr>
          <w:p w14:paraId="4FC4257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t>
            </w:r>
          </w:p>
        </w:tc>
      </w:tr>
      <w:tr w14:paraId="25A2FD7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dxa"/>
            <w:tcBorders>
              <w:top w:val="nil"/>
              <w:left w:val="nil"/>
              <w:bottom w:val="single" w:color="000000" w:sz="4" w:space="0"/>
              <w:right w:val="nil"/>
            </w:tcBorders>
            <w:vAlign w:val="center"/>
          </w:tcPr>
          <w:p w14:paraId="73467DD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kern w:val="0"/>
                <w:sz w:val="28"/>
                <w:szCs w:val="28"/>
                <w14:ligatures w14:val="none"/>
              </w:rPr>
              <w:t>Kappa Coefficient</w:t>
            </w:r>
          </w:p>
        </w:tc>
        <w:tc>
          <w:tcPr>
            <w:tcW w:w="1706" w:type="dxa"/>
            <w:tcBorders>
              <w:top w:val="nil"/>
              <w:left w:val="nil"/>
              <w:bottom w:val="single" w:color="000000" w:sz="4" w:space="0"/>
              <w:right w:val="nil"/>
            </w:tcBorders>
            <w:vAlign w:val="center"/>
          </w:tcPr>
          <w:p w14:paraId="7255F425">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t>
            </w:r>
          </w:p>
        </w:tc>
        <w:tc>
          <w:tcPr>
            <w:tcW w:w="1848" w:type="dxa"/>
            <w:tcBorders>
              <w:top w:val="nil"/>
              <w:left w:val="nil"/>
              <w:bottom w:val="single" w:color="000000" w:sz="4" w:space="0"/>
              <w:right w:val="nil"/>
            </w:tcBorders>
            <w:vAlign w:val="center"/>
          </w:tcPr>
          <w:p w14:paraId="6684303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t>
            </w:r>
          </w:p>
        </w:tc>
        <w:tc>
          <w:tcPr>
            <w:tcW w:w="2201" w:type="dxa"/>
            <w:tcBorders>
              <w:top w:val="nil"/>
              <w:left w:val="nil"/>
              <w:bottom w:val="single" w:color="000000" w:sz="4" w:space="0"/>
              <w:right w:val="nil"/>
            </w:tcBorders>
            <w:vAlign w:val="center"/>
          </w:tcPr>
          <w:p w14:paraId="783B9DA7">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kern w:val="0"/>
                <w:sz w:val="28"/>
                <w:szCs w:val="28"/>
                <w14:ligatures w14:val="none"/>
              </w:rPr>
              <w:t>0.90</w:t>
            </w:r>
          </w:p>
        </w:tc>
        <w:tc>
          <w:tcPr>
            <w:tcW w:w="1873" w:type="dxa"/>
            <w:tcBorders>
              <w:top w:val="nil"/>
              <w:left w:val="nil"/>
              <w:bottom w:val="single" w:color="000000" w:sz="4" w:space="0"/>
              <w:right w:val="nil"/>
            </w:tcBorders>
            <w:vAlign w:val="center"/>
          </w:tcPr>
          <w:p w14:paraId="221BF56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w:t>
            </w:r>
          </w:p>
        </w:tc>
      </w:tr>
    </w:tbl>
    <w:p w14:paraId="463EFF29">
      <w:pPr>
        <w:spacing w:before="240" w:after="0" w:line="273" w:lineRule="auto"/>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Author source</w:t>
      </w:r>
    </w:p>
    <w:p w14:paraId="79CFA3FA">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50" w:name="_Toc215220501"/>
      <w:r>
        <w:rPr>
          <w:rFonts w:ascii="Times New Roman" w:hAnsi="Times New Roman" w:eastAsia="DengXian Light" w:cs="Times New Roman"/>
          <w:b/>
          <w:bCs/>
          <w:sz w:val="32"/>
          <w:szCs w:val="32"/>
          <w14:ligatures w14:val="none"/>
        </w:rPr>
        <w:t>3.2 Plant Composition and Biodiversity Patterns</w:t>
      </w:r>
      <w:bookmarkEnd w:id="50"/>
    </w:p>
    <w:p w14:paraId="2DD2B717">
      <w:pPr>
        <w:keepNext/>
        <w:keepLines/>
        <w:widowControl w:val="0"/>
        <w:spacing w:before="240" w:after="240" w:line="273" w:lineRule="auto"/>
        <w:jc w:val="center"/>
        <w:outlineLvl w:val="0"/>
        <w:rPr>
          <w:rFonts w:ascii="Times New Roman" w:hAnsi="Times New Roman" w:eastAsia="Calibri" w:cs="Times New Roman"/>
          <w:b/>
          <w:bCs/>
          <w:kern w:val="0"/>
          <w:sz w:val="28"/>
          <w:szCs w:val="28"/>
          <w14:ligatures w14:val="none"/>
        </w:rPr>
      </w:pPr>
      <w:bookmarkStart w:id="51" w:name="_Toc215220502"/>
      <w:r>
        <w:rPr>
          <w:rFonts w:ascii="Times New Roman" w:hAnsi="Times New Roman" w:eastAsia="Calibri" w:cs="Times New Roman"/>
          <w:b/>
          <w:bCs/>
          <w:kern w:val="0"/>
          <w:sz w:val="28"/>
          <w:szCs w:val="28"/>
          <w14:ligatures w14:val="none"/>
        </w:rPr>
        <w:t>3.2.1 Plant Diversity in Makurdi local Government area</w:t>
      </w:r>
      <w:bookmarkEnd w:id="51"/>
    </w:p>
    <w:p w14:paraId="07C6BE35">
      <w:pPr>
        <w:spacing w:before="100" w:before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A study was conducted in Makurdi Local Government, encompassing rural, peri-urban, and urban areas, to assess plant diversity. The study covered the following; 1) Agan and Bar wards in rural areas, which is characterized by agricultural lands, forests, and scattered settlements; 2) Fiidi and Wailomayo wards as peri-urban areas, marked by a blend of developed and natural environments; and 3) North Bank Ward 1 and Ankpa Q/Wadata Ward as the urban areas, characterized by high population densities and infrastructure development. By assessing plant diversity across multiple plots in these areas, the study provided valuable insights into the distribution and abundance of plant species in different environmental settings.</w:t>
      </w:r>
    </w:p>
    <w:p w14:paraId="6E7BAA5A">
      <w:pPr>
        <w:keepNext/>
        <w:keepLines/>
        <w:widowControl w:val="0"/>
        <w:spacing w:before="240" w:after="240" w:line="273" w:lineRule="auto"/>
        <w:jc w:val="center"/>
        <w:outlineLvl w:val="0"/>
        <w:rPr>
          <w:rFonts w:ascii="Times New Roman" w:hAnsi="Times New Roman" w:eastAsia="Calibri" w:cs="Times New Roman"/>
          <w:b/>
          <w:bCs/>
          <w:kern w:val="0"/>
          <w:sz w:val="28"/>
          <w:szCs w:val="28"/>
          <w14:ligatures w14:val="none"/>
        </w:rPr>
      </w:pPr>
      <w:bookmarkStart w:id="52" w:name="_Toc215220503"/>
      <w:r>
        <w:rPr>
          <w:rFonts w:ascii="Times New Roman" w:hAnsi="Times New Roman" w:eastAsia="Calibri" w:cs="Times New Roman"/>
          <w:b/>
          <w:bCs/>
          <w:kern w:val="0"/>
          <w:sz w:val="28"/>
          <w:szCs w:val="28"/>
          <w14:ligatures w14:val="none"/>
        </w:rPr>
        <w:t>3.2.1.1 Rural Areas of Makurdi Local Government</w:t>
      </w:r>
      <w:bookmarkEnd w:id="52"/>
    </w:p>
    <w:p w14:paraId="6E3F753D">
      <w:pPr>
        <w:spacing w:before="100" w:before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The plant diversity analysis in the Agan Ward disclosed varying levels of diversity across the three plots see (Appendix T1-T3). The first plot findings clearly shows that 92 plant individuals from 30 species, with Heterotis rotundifolia (10 individuals, 10.9%) and Elaeis Guineensis (9 individuals, 9.8%) being notable species. This plot had a Shannon-Wiener index of 3.0431, Simpson’s Diversity of 0.9373, and Species Evenness of 0.8947, indicating a relatively high level of diversity. Plot 2 findings shows that 49 individuals from 15 species, with Ancardium occidentale (10 individuals, 20.4%) and Passiflora foctida (9 individuals, 18.4%) being prevalent. This plot findings showed lower diversity metrics, with a Shannon-Wiener index of 2.3735, Simpson’s Diversity of 0.8821, and Evenness of 0.8765. Plot 3 (Table 3.20) had 35 individuals across 19 species, with Cocus rucifera (7 individuals, 20%) and Magnifera Indica (4 individuals, 11.4%) being notable. The diversity indices for this plot were 2.7155 (Shannon-Wiener), 0.9143 (Simpson), and 0.9223 (Evenness).</w:t>
      </w:r>
    </w:p>
    <w:p w14:paraId="431E9752">
      <w:pPr>
        <w:spacing w:before="100" w:before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The plant diversity study in Bar Ward also revealed varying levels of diversity across three plots (Appendix T4-T6). The first plot recorded 73 plant individuals from 25 species, with Daniellia oliverii (11 individuals, 15.1%) and Prosopis africana (6 individuals, 8.2%) being notable species. This plot had a Shannon-Wiener index of 2.8667, Simpson’s Diversity of 0.9266, and Species Evenness of 0.8906. Plot 2 documented 51 individuals from 27 species, with Talinum fruticosum (7 individuals, 13.7%) and Elaeis guinensis (6 individuals, 11.8%) being prevalent. This plot findings showed higher diversity metrics, with a Shannon-Wiener index of 3.0413, Simpson’s Diversity of 0.9373, and Evenness of 0.9228. Plot 3 had 52 individuals across 25 species, with Magnifera indica (10 individuals, 19.2%) being notable. The diversity indices for this plot were 2.9171 (Shannon-Wiener), 0.9246 (Simpson), and 0.9062 (Evenness). </w:t>
      </w:r>
    </w:p>
    <w:p w14:paraId="079FF81D">
      <w:pPr>
        <w:keepNext/>
        <w:keepLines/>
        <w:widowControl w:val="0"/>
        <w:spacing w:before="240" w:after="240" w:line="273" w:lineRule="auto"/>
        <w:jc w:val="center"/>
        <w:outlineLvl w:val="0"/>
        <w:rPr>
          <w:rFonts w:ascii="Times New Roman" w:hAnsi="Times New Roman" w:eastAsia="Calibri" w:cs="Times New Roman"/>
          <w:b/>
          <w:bCs/>
          <w:kern w:val="0"/>
          <w:sz w:val="28"/>
          <w:szCs w:val="28"/>
          <w14:ligatures w14:val="none"/>
        </w:rPr>
      </w:pPr>
      <w:bookmarkStart w:id="53" w:name="_Toc215220504"/>
      <w:r>
        <w:rPr>
          <w:rFonts w:ascii="Times New Roman" w:hAnsi="Times New Roman" w:eastAsia="Calibri" w:cs="Times New Roman"/>
          <w:b/>
          <w:bCs/>
          <w:kern w:val="0"/>
          <w:sz w:val="28"/>
          <w:szCs w:val="28"/>
          <w14:ligatures w14:val="none"/>
        </w:rPr>
        <w:t>3.2.1.2 Peri-Urban Areas of Makurdi Local Government</w:t>
      </w:r>
      <w:bookmarkEnd w:id="53"/>
    </w:p>
    <w:p w14:paraId="5932219B">
      <w:pPr>
        <w:spacing w:before="100" w:before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The plant diversity analysis in Fiidi Ward showed varying levels of diversity across three plots see (Appendix T7-T9). The first plot findings shows that 27 plant individuals from 10 species, with Eichhornia crassipes (4 individuals, 14.8%) and Alternanthera sessilis (4 individuals, 14.8%) being notable species. This plot had a Shannon-Wiener index of 2.2428, Simpson’s Diversity of 0.8889, and Species Evenness of 0.9740. Plot 2 documented 51 individuals from 15 species, with Newbouldia laevis (10 individuals, 19.6%) and Magnifera indica (7 individuals, 13.7%) being prevalent. This plot showed a Shannon-Wiener index of 2.4139, Simpson’s Diversity of 0.8889, and Evenness of 0.8914. Plot 3 had 31 individuals across 14 species, with Magnifera indica (8 individuals, 25.8%) and Polyalthia longifolia (4 individuals, 12.9%) being notable. The diversity indices for this plot were 2.3717 (Shannon-Wiener), 0.8783 (Simpson), and 0.8987 (Evenness).</w:t>
      </w:r>
    </w:p>
    <w:p w14:paraId="16A159CD">
      <w:pPr>
        <w:spacing w:before="100" w:before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The plant diversity study in Wailomayo Ward also revealed varying levels of diversity across three plots (Appendix T10-T12). The first plot findings shows that 57 plant individuals from 20 species, with Diplaziun sammatii (8 individuals, 14%) and Albizia zygia (8 individuals, 14%) being notable species. This plot had a Shannon-Wiener index of 2.7859, Simpson’s Diversity of 0.9252, and Species Evenness of 0.9299. Plot 2 findings shows that 23 individuals from 13 species, with Terminalia mentalis (6 individuals, 26.1%) being prevalent. This plot showed a Shannon-Wiener index of 2.3440, Simpson’s Diversity of 0.8771, and Evenness of 0.9138. Plot 3 findings on the other hand shows that 87 individuals across 23 species, with Magnifera indica (10 individuals, 11.5%), Sida acuta (11 individuals, 12.6%), and Cleome viscosa (9 individuals, 10.3%) being notable. The diversity indices for this plot were 2.8092 (Shannon-Wiener), 0.9256 (Simpson), and 0.8959 (Evenness). </w:t>
      </w:r>
    </w:p>
    <w:p w14:paraId="46FEBB1B">
      <w:pPr>
        <w:keepNext/>
        <w:keepLines/>
        <w:widowControl w:val="0"/>
        <w:spacing w:before="240" w:after="240" w:line="273" w:lineRule="auto"/>
        <w:jc w:val="center"/>
        <w:outlineLvl w:val="0"/>
        <w:rPr>
          <w:rFonts w:ascii="Times New Roman" w:hAnsi="Times New Roman" w:eastAsia="Calibri" w:cs="Times New Roman"/>
          <w:b/>
          <w:bCs/>
          <w:kern w:val="0"/>
          <w:sz w:val="28"/>
          <w:szCs w:val="28"/>
          <w14:ligatures w14:val="none"/>
        </w:rPr>
      </w:pPr>
      <w:bookmarkStart w:id="54" w:name="_Toc215220505"/>
      <w:r>
        <w:rPr>
          <w:rFonts w:ascii="Times New Roman" w:hAnsi="Times New Roman" w:eastAsia="Calibri" w:cs="Times New Roman"/>
          <w:b/>
          <w:bCs/>
          <w:kern w:val="0"/>
          <w:sz w:val="28"/>
          <w:szCs w:val="28"/>
          <w14:ligatures w14:val="none"/>
        </w:rPr>
        <w:t>3.2.1.3 Urban Areas of Makurdi Local Government</w:t>
      </w:r>
      <w:bookmarkEnd w:id="54"/>
    </w:p>
    <w:p w14:paraId="0D8FE121">
      <w:pPr>
        <w:spacing w:before="100" w:before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The plant diversity analysis in North Bank Ward 1 shows varying levels of diversity across three plots (Appendix T13-T15). The first plot findings shows that 65 plant individuals from 28 species, with Spermacoce verticellata (10 individuals, 15.4%) and Daniellia oliverii (5 individuals, 7.7%) being notable species. This plot had a Shannon-Wiener index of 3.0711, Simpson’s Diversity of 0.9396, and Species Evenness of 0.9217. Plot 2 documented 58 individuals from 19 species, with Ixora coccinea (10 individuals, 17.2%) and Elaeis guineensis (9 individuals, 15.5%) being prevalent. This plot showed a Shannon-Wiener index of 2.6457, Simpson’s Diversity of 0.9090, and Evenness of 0.8986. Plot 3 had 41 individuals across 25 species, with Azadrachta indica (7 individuals, 17.1%) being notable. The diversity indices for this plot were 3.0049 (Shannon-Wiener), 0.9352 (Simpson), and 0.9335 (Evenness).</w:t>
      </w:r>
    </w:p>
    <w:p w14:paraId="43262F32">
      <w:pPr>
        <w:spacing w:before="100" w:before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The plant diversity study in Ankpa Q/Wadata Ward also revealed varying levels of diversity across three plots (Appendix T16-T18). The first plot findings shows that 50 plant individuals from 25 species, with Cleome viscosa (10 individuals, 20%) and Acmela paniculata (8 individuals, 16%) being notable species. This plot had a Shannon-Wiener index of 2.8483, Simpson’s Diversity of 0.9128, and Species Evenness of 0.8849. Plot 2 findings shows that 23 individuals from 9 species, with Ficus thinningii (7 individuals, 30.4%) being prevalent. Also the findings shows the plot has a Shannon-Wiener index of 2.0156, Simpson’s Diversity of 0.8393, and Evenness of 0.9173. Plot 3 had 39 individuals across 14 species, with Delonix regia (13 individuals, 33.3%) being notable. The diversity indices for this plot were 2.2555 (Shannon-Wiener), 0.8442 (Simpson), and 0.8547 (Evenness). </w:t>
      </w:r>
    </w:p>
    <w:p w14:paraId="2AED6888">
      <w:pPr>
        <w:keepNext/>
        <w:keepLines/>
        <w:widowControl w:val="0"/>
        <w:spacing w:before="240" w:after="240" w:line="273" w:lineRule="auto"/>
        <w:jc w:val="center"/>
        <w:outlineLvl w:val="0"/>
        <w:rPr>
          <w:rFonts w:ascii="Times New Roman" w:hAnsi="Times New Roman" w:eastAsia="Calibri" w:cs="Times New Roman"/>
          <w:b/>
          <w:bCs/>
          <w:kern w:val="0"/>
          <w:sz w:val="28"/>
          <w:szCs w:val="28"/>
          <w14:ligatures w14:val="none"/>
        </w:rPr>
      </w:pPr>
      <w:bookmarkStart w:id="55" w:name="_Toc215220506"/>
      <w:r>
        <w:rPr>
          <w:rFonts w:ascii="Times New Roman" w:hAnsi="Times New Roman" w:eastAsia="Calibri" w:cs="Times New Roman"/>
          <w:b/>
          <w:bCs/>
          <w:kern w:val="0"/>
          <w:sz w:val="28"/>
          <w:szCs w:val="28"/>
          <w14:ligatures w14:val="none"/>
        </w:rPr>
        <w:t>3.2.1.4 Comparison of Species Diversity between Rural, Peri-Urban, and Urban Areas in Makurdi Local Government</w:t>
      </w:r>
      <w:bookmarkEnd w:id="55"/>
    </w:p>
    <w:p w14:paraId="70CFFB4D">
      <w:pPr>
        <w:spacing w:before="100" w:before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The comparison findings of species diversity between rural, peri-urban, and urban areas in Makurdi Local Government revealed variations in diversity indices, although the differences were not statistically significant (Table 3.4). The rural areas exhibited higher species diversity, with a mean Shannon-Wiener Index (H′) of 2.83, Simpson’s Diversity (1-D) of 0.92, and Species Richness (R) of 23.50, compared to the peri-urban areas (H′ = 2.49, 1-D = 0.90, R = 15.83) and urban areas (H′ = 2.64, 1-D = 0.90, R = 20.00). Also, the fndings shows that Species Evenness (E) was slightly higher in peri-urban areas (0.90) compared to rural (0.92) and urban areas (0.90). Despite these differences, the ANOVA results showed no significant differences between the areas for any of the diversity indices, indicating that the variations observed may be due to chance.</w:t>
      </w:r>
    </w:p>
    <w:p w14:paraId="501A4E69">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kern w:val="0"/>
          <w:sz w:val="28"/>
          <w:szCs w:val="28"/>
          <w14:ligatures w14:val="none"/>
        </w:rPr>
        <w:t>Table 3.4: Comparison of species diversity between the Rural, Peri-urban and Urban Areas in Makurdi Local government of Benue state</w:t>
      </w:r>
    </w:p>
    <w:tbl>
      <w:tblPr>
        <w:tblStyle w:val="18"/>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1538"/>
        <w:gridCol w:w="1941"/>
        <w:gridCol w:w="1762"/>
        <w:gridCol w:w="1490"/>
      </w:tblGrid>
      <w:tr w14:paraId="117CB31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Merge w:val="restart"/>
            <w:tcBorders>
              <w:top w:val="single" w:color="auto" w:sz="4" w:space="0"/>
              <w:left w:val="nil"/>
              <w:bottom w:val="nil"/>
              <w:right w:val="nil"/>
            </w:tcBorders>
            <w:vAlign w:val="center"/>
          </w:tcPr>
          <w:p w14:paraId="1C3F00F7">
            <w:pPr>
              <w:spacing w:before="100" w:beforeAutospacing="1" w:after="0"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Areas</w:t>
            </w:r>
          </w:p>
        </w:tc>
        <w:tc>
          <w:tcPr>
            <w:tcW w:w="6658" w:type="dxa"/>
            <w:gridSpan w:val="4"/>
            <w:tcBorders>
              <w:top w:val="single" w:color="auto" w:sz="4" w:space="0"/>
              <w:left w:val="nil"/>
              <w:bottom w:val="single" w:color="auto" w:sz="4" w:space="0"/>
              <w:right w:val="nil"/>
            </w:tcBorders>
            <w:vAlign w:val="center"/>
          </w:tcPr>
          <w:p w14:paraId="3814D002">
            <w:pPr>
              <w:spacing w:before="100" w:beforeAutospacing="1" w:after="0"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Species Diversity</w:t>
            </w:r>
          </w:p>
        </w:tc>
      </w:tr>
      <w:tr w14:paraId="003D758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nil"/>
              <w:bottom w:val="nil"/>
              <w:right w:val="nil"/>
            </w:tcBorders>
            <w:vAlign w:val="center"/>
          </w:tcPr>
          <w:p w14:paraId="77F0704B">
            <w:pPr>
              <w:spacing w:after="0" w:line="240" w:lineRule="auto"/>
              <w:rPr>
                <w:rFonts w:ascii="Times New Roman" w:hAnsi="Times New Roman" w:eastAsia="Calibri" w:cs="Times New Roman"/>
                <w:b/>
                <w:bCs/>
                <w:kern w:val="0"/>
                <w:sz w:val="28"/>
                <w:szCs w:val="28"/>
                <w14:ligatures w14:val="none"/>
              </w:rPr>
            </w:pPr>
          </w:p>
        </w:tc>
        <w:tc>
          <w:tcPr>
            <w:tcW w:w="1538" w:type="dxa"/>
            <w:tcBorders>
              <w:top w:val="single" w:color="auto" w:sz="4" w:space="0"/>
              <w:left w:val="nil"/>
              <w:bottom w:val="single" w:color="auto" w:sz="4" w:space="0"/>
              <w:right w:val="nil"/>
            </w:tcBorders>
            <w:vAlign w:val="center"/>
          </w:tcPr>
          <w:p w14:paraId="5E10EAC0">
            <w:pPr>
              <w:spacing w:before="100" w:beforeAutospacing="1" w:after="0"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Shannon-Wiener Index (</w:t>
            </w:r>
            <w:r>
              <w:rPr>
                <w:rFonts w:ascii="Times New Roman" w:hAnsi="Times New Roman" w:eastAsia="Calibri" w:cs="Times New Roman"/>
                <w:b/>
                <w:bCs/>
                <w:i/>
                <w:iCs/>
                <w:kern w:val="0"/>
                <w:sz w:val="28"/>
                <w:szCs w:val="28"/>
                <w14:ligatures w14:val="none"/>
              </w:rPr>
              <w:t>H′</w:t>
            </w:r>
            <w:r>
              <w:rPr>
                <w:rFonts w:ascii="Times New Roman" w:hAnsi="Times New Roman" w:eastAsia="Calibri" w:cs="Times New Roman"/>
                <w:b/>
                <w:bCs/>
                <w:kern w:val="0"/>
                <w:sz w:val="28"/>
                <w:szCs w:val="28"/>
                <w14:ligatures w14:val="none"/>
              </w:rPr>
              <w:t>)</w:t>
            </w:r>
          </w:p>
        </w:tc>
        <w:tc>
          <w:tcPr>
            <w:tcW w:w="1941" w:type="dxa"/>
            <w:tcBorders>
              <w:top w:val="single" w:color="auto" w:sz="4" w:space="0"/>
              <w:left w:val="nil"/>
              <w:bottom w:val="single" w:color="auto" w:sz="4" w:space="0"/>
              <w:right w:val="nil"/>
            </w:tcBorders>
            <w:vAlign w:val="center"/>
          </w:tcPr>
          <w:p w14:paraId="4A0AAB2E">
            <w:pPr>
              <w:spacing w:before="100" w:beforeAutospacing="1" w:after="0"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Simpson´s Diversity (1-D)</w:t>
            </w:r>
          </w:p>
        </w:tc>
        <w:tc>
          <w:tcPr>
            <w:tcW w:w="1762" w:type="dxa"/>
            <w:tcBorders>
              <w:top w:val="single" w:color="auto" w:sz="4" w:space="0"/>
              <w:left w:val="nil"/>
              <w:bottom w:val="single" w:color="auto" w:sz="4" w:space="0"/>
              <w:right w:val="nil"/>
            </w:tcBorders>
            <w:vAlign w:val="center"/>
          </w:tcPr>
          <w:p w14:paraId="1655DEFA">
            <w:pPr>
              <w:spacing w:before="100" w:beforeAutospacing="1" w:after="0"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Species Evenness (E)</w:t>
            </w:r>
          </w:p>
        </w:tc>
        <w:tc>
          <w:tcPr>
            <w:tcW w:w="1417" w:type="dxa"/>
            <w:tcBorders>
              <w:top w:val="single" w:color="auto" w:sz="4" w:space="0"/>
              <w:left w:val="nil"/>
              <w:bottom w:val="single" w:color="auto" w:sz="4" w:space="0"/>
              <w:right w:val="nil"/>
            </w:tcBorders>
            <w:vAlign w:val="center"/>
          </w:tcPr>
          <w:p w14:paraId="7757D96F">
            <w:pPr>
              <w:spacing w:before="100" w:beforeAutospacing="1" w:after="0"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Species Richness (R)</w:t>
            </w:r>
          </w:p>
        </w:tc>
      </w:tr>
      <w:tr w14:paraId="4E20473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Borders>
              <w:top w:val="single" w:color="auto" w:sz="4" w:space="0"/>
              <w:left w:val="nil"/>
              <w:bottom w:val="nil"/>
              <w:right w:val="nil"/>
            </w:tcBorders>
            <w:vAlign w:val="center"/>
          </w:tcPr>
          <w:p w14:paraId="50D1AB35">
            <w:pPr>
              <w:spacing w:before="100" w:beforeAutospacing="1"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b/>
                <w:bCs/>
                <w:kern w:val="0"/>
                <w:sz w:val="28"/>
                <w:szCs w:val="28"/>
                <w14:ligatures w14:val="none"/>
              </w:rPr>
              <w:t xml:space="preserve">Rural Areas </w:t>
            </w:r>
            <w:r>
              <w:rPr>
                <w:rFonts w:ascii="Times New Roman" w:hAnsi="Times New Roman" w:eastAsia="Calibri" w:cs="Times New Roman"/>
                <w:b/>
                <w:bCs/>
                <w:kern w:val="0"/>
                <w:sz w:val="28"/>
                <w:szCs w:val="28"/>
                <w14:ligatures w14:val="none"/>
              </w:rPr>
              <w:br w:type="textWrapping"/>
            </w:r>
            <w:r>
              <w:rPr>
                <w:rFonts w:ascii="Times New Roman" w:hAnsi="Times New Roman" w:eastAsia="Calibri" w:cs="Times New Roman"/>
                <w:b/>
                <w:bCs/>
                <w:kern w:val="0"/>
                <w:sz w:val="28"/>
                <w:szCs w:val="28"/>
                <w14:ligatures w14:val="none"/>
              </w:rPr>
              <w:t xml:space="preserve">(Agan and Bar Wards) </w:t>
            </w:r>
            <w:r>
              <w:rPr>
                <w:rFonts w:ascii="Times New Roman" w:hAnsi="Times New Roman" w:eastAsia="Calibri" w:cs="Times New Roman"/>
                <w:b/>
                <w:bCs/>
                <w:kern w:val="0"/>
                <w:sz w:val="28"/>
                <w:szCs w:val="28"/>
                <w14:ligatures w14:val="none"/>
              </w:rPr>
              <w:br w:type="textWrapping"/>
            </w:r>
            <w:r>
              <w:rPr>
                <w:rFonts w:ascii="Times New Roman" w:hAnsi="Times New Roman" w:eastAsia="Calibri" w:cs="Times New Roman"/>
                <w:b/>
                <w:bCs/>
                <w:kern w:val="0"/>
                <w:sz w:val="28"/>
                <w:szCs w:val="28"/>
                <w14:ligatures w14:val="none"/>
              </w:rPr>
              <w:t>(n = 6)</w:t>
            </w:r>
          </w:p>
        </w:tc>
        <w:tc>
          <w:tcPr>
            <w:tcW w:w="1538" w:type="dxa"/>
            <w:tcBorders>
              <w:top w:val="single" w:color="auto" w:sz="4" w:space="0"/>
              <w:left w:val="nil"/>
              <w:bottom w:val="nil"/>
              <w:right w:val="nil"/>
            </w:tcBorders>
            <w:vAlign w:val="center"/>
          </w:tcPr>
          <w:p w14:paraId="16A1E5D4">
            <w:pPr>
              <w:spacing w:before="100" w:beforeAutospacing="1"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kern w:val="0"/>
                <w:sz w:val="28"/>
                <w:szCs w:val="28"/>
                <w14:ligatures w14:val="none"/>
              </w:rPr>
              <w:t>2.83 ±0.25</w:t>
            </w:r>
          </w:p>
        </w:tc>
        <w:tc>
          <w:tcPr>
            <w:tcW w:w="1941" w:type="dxa"/>
            <w:tcBorders>
              <w:top w:val="single" w:color="auto" w:sz="4" w:space="0"/>
              <w:left w:val="nil"/>
              <w:bottom w:val="nil"/>
              <w:right w:val="nil"/>
            </w:tcBorders>
            <w:vAlign w:val="center"/>
          </w:tcPr>
          <w:p w14:paraId="5BFAA226">
            <w:pPr>
              <w:spacing w:before="100" w:beforeAutospacing="1"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kern w:val="0"/>
                <w:sz w:val="28"/>
                <w:szCs w:val="28"/>
                <w14:ligatures w14:val="none"/>
              </w:rPr>
              <w:t>0.92 ±0.02</w:t>
            </w:r>
          </w:p>
        </w:tc>
        <w:tc>
          <w:tcPr>
            <w:tcW w:w="1762" w:type="dxa"/>
            <w:tcBorders>
              <w:top w:val="single" w:color="auto" w:sz="4" w:space="0"/>
              <w:left w:val="nil"/>
              <w:bottom w:val="nil"/>
              <w:right w:val="nil"/>
            </w:tcBorders>
            <w:vAlign w:val="center"/>
          </w:tcPr>
          <w:p w14:paraId="392B651F">
            <w:pPr>
              <w:spacing w:before="100" w:beforeAutospacing="1"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kern w:val="0"/>
                <w:sz w:val="28"/>
                <w:szCs w:val="28"/>
                <w14:ligatures w14:val="none"/>
              </w:rPr>
              <w:t>0.90±0.02</w:t>
            </w:r>
          </w:p>
        </w:tc>
        <w:tc>
          <w:tcPr>
            <w:tcW w:w="1417" w:type="dxa"/>
            <w:tcBorders>
              <w:top w:val="single" w:color="auto" w:sz="4" w:space="0"/>
              <w:left w:val="nil"/>
              <w:bottom w:val="nil"/>
              <w:right w:val="nil"/>
            </w:tcBorders>
            <w:vAlign w:val="center"/>
          </w:tcPr>
          <w:p w14:paraId="50D31D85">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23.50±5.50</w:t>
            </w:r>
          </w:p>
        </w:tc>
      </w:tr>
      <w:tr w14:paraId="26EBA0B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Borders>
              <w:top w:val="nil"/>
              <w:left w:val="nil"/>
              <w:bottom w:val="nil"/>
              <w:right w:val="nil"/>
            </w:tcBorders>
            <w:vAlign w:val="center"/>
          </w:tcPr>
          <w:p w14:paraId="4757EE67">
            <w:pPr>
              <w:spacing w:before="240"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b/>
                <w:bCs/>
                <w:kern w:val="0"/>
                <w:sz w:val="28"/>
                <w:szCs w:val="28"/>
                <w14:ligatures w14:val="none"/>
              </w:rPr>
              <w:t>Peri-urban Area (Fiidi and Wailomayo wards) (n = 6)</w:t>
            </w:r>
          </w:p>
        </w:tc>
        <w:tc>
          <w:tcPr>
            <w:tcW w:w="1538" w:type="dxa"/>
            <w:tcBorders>
              <w:top w:val="nil"/>
              <w:left w:val="nil"/>
              <w:bottom w:val="nil"/>
              <w:right w:val="nil"/>
            </w:tcBorders>
            <w:vAlign w:val="center"/>
          </w:tcPr>
          <w:p w14:paraId="1361C9D3">
            <w:pPr>
              <w:spacing w:before="100" w:beforeAutospacing="1"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kern w:val="0"/>
                <w:sz w:val="28"/>
                <w:szCs w:val="28"/>
                <w14:ligatures w14:val="none"/>
              </w:rPr>
              <w:t>2.49 ±0.24</w:t>
            </w:r>
          </w:p>
        </w:tc>
        <w:tc>
          <w:tcPr>
            <w:tcW w:w="1941" w:type="dxa"/>
            <w:tcBorders>
              <w:top w:val="nil"/>
              <w:left w:val="nil"/>
              <w:bottom w:val="nil"/>
              <w:right w:val="nil"/>
            </w:tcBorders>
            <w:vAlign w:val="center"/>
          </w:tcPr>
          <w:p w14:paraId="2988666A">
            <w:pPr>
              <w:spacing w:before="100" w:beforeAutospacing="1"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kern w:val="0"/>
                <w:sz w:val="28"/>
                <w:szCs w:val="28"/>
                <w14:ligatures w14:val="none"/>
              </w:rPr>
              <w:t>0.90 ±0.02</w:t>
            </w:r>
          </w:p>
        </w:tc>
        <w:tc>
          <w:tcPr>
            <w:tcW w:w="1762" w:type="dxa"/>
            <w:tcBorders>
              <w:top w:val="nil"/>
              <w:left w:val="nil"/>
              <w:bottom w:val="nil"/>
              <w:right w:val="nil"/>
            </w:tcBorders>
            <w:vAlign w:val="center"/>
          </w:tcPr>
          <w:p w14:paraId="70CDC446">
            <w:pPr>
              <w:spacing w:before="100" w:beforeAutospacing="1"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kern w:val="0"/>
                <w:sz w:val="28"/>
                <w:szCs w:val="28"/>
                <w14:ligatures w14:val="none"/>
              </w:rPr>
              <w:t>0.92 ±0.03</w:t>
            </w:r>
          </w:p>
        </w:tc>
        <w:tc>
          <w:tcPr>
            <w:tcW w:w="1417" w:type="dxa"/>
            <w:tcBorders>
              <w:top w:val="nil"/>
              <w:left w:val="nil"/>
              <w:bottom w:val="nil"/>
              <w:right w:val="nil"/>
            </w:tcBorders>
            <w:vAlign w:val="center"/>
          </w:tcPr>
          <w:p w14:paraId="20EFB47B">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15.83 ±4.79</w:t>
            </w:r>
          </w:p>
        </w:tc>
      </w:tr>
      <w:tr w14:paraId="67D328E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410" w:type="dxa"/>
            <w:tcBorders>
              <w:top w:val="nil"/>
              <w:left w:val="nil"/>
              <w:bottom w:val="single" w:color="auto" w:sz="4" w:space="0"/>
              <w:right w:val="nil"/>
            </w:tcBorders>
            <w:vAlign w:val="center"/>
          </w:tcPr>
          <w:p w14:paraId="388036C9">
            <w:pPr>
              <w:spacing w:before="240"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b/>
                <w:bCs/>
                <w:kern w:val="0"/>
                <w:sz w:val="28"/>
                <w:szCs w:val="28"/>
                <w14:ligatures w14:val="none"/>
              </w:rPr>
              <w:t xml:space="preserve">Urban Area (North bank 1 and Anka Q/wadata wards) </w:t>
            </w:r>
            <w:r>
              <w:rPr>
                <w:rFonts w:ascii="Times New Roman" w:hAnsi="Times New Roman" w:eastAsia="Calibri" w:cs="Times New Roman"/>
                <w:b/>
                <w:bCs/>
                <w:kern w:val="0"/>
                <w:sz w:val="28"/>
                <w:szCs w:val="28"/>
                <w14:ligatures w14:val="none"/>
              </w:rPr>
              <w:br w:type="textWrapping"/>
            </w:r>
            <w:r>
              <w:rPr>
                <w:rFonts w:ascii="Times New Roman" w:hAnsi="Times New Roman" w:eastAsia="Calibri" w:cs="Times New Roman"/>
                <w:b/>
                <w:bCs/>
                <w:kern w:val="0"/>
                <w:sz w:val="28"/>
                <w:szCs w:val="28"/>
                <w14:ligatures w14:val="none"/>
              </w:rPr>
              <w:t>(n = 6)</w:t>
            </w:r>
          </w:p>
        </w:tc>
        <w:tc>
          <w:tcPr>
            <w:tcW w:w="1538" w:type="dxa"/>
            <w:tcBorders>
              <w:top w:val="nil"/>
              <w:left w:val="nil"/>
              <w:bottom w:val="single" w:color="auto" w:sz="4" w:space="0"/>
              <w:right w:val="nil"/>
            </w:tcBorders>
            <w:vAlign w:val="center"/>
          </w:tcPr>
          <w:p w14:paraId="29C2955D">
            <w:pPr>
              <w:spacing w:before="100" w:beforeAutospacing="1"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kern w:val="0"/>
                <w:sz w:val="28"/>
                <w:szCs w:val="28"/>
                <w14:ligatures w14:val="none"/>
              </w:rPr>
              <w:t>2.64 ±0.42</w:t>
            </w:r>
          </w:p>
        </w:tc>
        <w:tc>
          <w:tcPr>
            <w:tcW w:w="1941" w:type="dxa"/>
            <w:tcBorders>
              <w:top w:val="nil"/>
              <w:left w:val="nil"/>
              <w:bottom w:val="single" w:color="auto" w:sz="4" w:space="0"/>
              <w:right w:val="nil"/>
            </w:tcBorders>
            <w:vAlign w:val="center"/>
          </w:tcPr>
          <w:p w14:paraId="28E8CA2F">
            <w:pPr>
              <w:spacing w:before="100" w:beforeAutospacing="1"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kern w:val="0"/>
                <w:sz w:val="28"/>
                <w:szCs w:val="28"/>
                <w14:ligatures w14:val="none"/>
              </w:rPr>
              <w:t>0.90 ±0.04</w:t>
            </w:r>
          </w:p>
        </w:tc>
        <w:tc>
          <w:tcPr>
            <w:tcW w:w="1762" w:type="dxa"/>
            <w:tcBorders>
              <w:top w:val="nil"/>
              <w:left w:val="nil"/>
              <w:bottom w:val="single" w:color="auto" w:sz="4" w:space="0"/>
              <w:right w:val="nil"/>
            </w:tcBorders>
            <w:vAlign w:val="center"/>
          </w:tcPr>
          <w:p w14:paraId="05A125CC">
            <w:pPr>
              <w:spacing w:before="100" w:beforeAutospacing="1"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kern w:val="0"/>
                <w:sz w:val="28"/>
                <w:szCs w:val="28"/>
                <w14:ligatures w14:val="none"/>
              </w:rPr>
              <w:t>0.90±0.03</w:t>
            </w:r>
          </w:p>
        </w:tc>
        <w:tc>
          <w:tcPr>
            <w:tcW w:w="1417" w:type="dxa"/>
            <w:tcBorders>
              <w:top w:val="nil"/>
              <w:left w:val="nil"/>
              <w:bottom w:val="single" w:color="auto" w:sz="4" w:space="0"/>
              <w:right w:val="nil"/>
            </w:tcBorders>
            <w:vAlign w:val="center"/>
          </w:tcPr>
          <w:p w14:paraId="1233C9D8">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20.00 ±7.37</w:t>
            </w:r>
          </w:p>
        </w:tc>
      </w:tr>
      <w:tr w14:paraId="79430AF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410" w:type="dxa"/>
            <w:tcBorders>
              <w:top w:val="single" w:color="auto" w:sz="4" w:space="0"/>
              <w:left w:val="nil"/>
              <w:bottom w:val="nil"/>
              <w:right w:val="nil"/>
            </w:tcBorders>
            <w:vAlign w:val="center"/>
          </w:tcPr>
          <w:p w14:paraId="2AD5F48D">
            <w:pPr>
              <w:spacing w:before="100" w:beforeAutospacing="1" w:after="0"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F-value</w:t>
            </w:r>
          </w:p>
        </w:tc>
        <w:tc>
          <w:tcPr>
            <w:tcW w:w="1538" w:type="dxa"/>
            <w:tcBorders>
              <w:top w:val="single" w:color="auto" w:sz="4" w:space="0"/>
              <w:left w:val="nil"/>
              <w:bottom w:val="nil"/>
              <w:right w:val="nil"/>
            </w:tcBorders>
            <w:vAlign w:val="center"/>
          </w:tcPr>
          <w:p w14:paraId="6D1380A3">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1.644</w:t>
            </w:r>
          </w:p>
        </w:tc>
        <w:tc>
          <w:tcPr>
            <w:tcW w:w="1941" w:type="dxa"/>
            <w:tcBorders>
              <w:top w:val="single" w:color="auto" w:sz="4" w:space="0"/>
              <w:left w:val="nil"/>
              <w:bottom w:val="nil"/>
              <w:right w:val="nil"/>
            </w:tcBorders>
            <w:vAlign w:val="center"/>
          </w:tcPr>
          <w:p w14:paraId="203AEEFE">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1.137</w:t>
            </w:r>
          </w:p>
        </w:tc>
        <w:tc>
          <w:tcPr>
            <w:tcW w:w="1762" w:type="dxa"/>
            <w:tcBorders>
              <w:top w:val="single" w:color="auto" w:sz="4" w:space="0"/>
              <w:left w:val="nil"/>
              <w:bottom w:val="nil"/>
              <w:right w:val="nil"/>
            </w:tcBorders>
            <w:vAlign w:val="center"/>
          </w:tcPr>
          <w:p w14:paraId="0FEF50D5">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0.656</w:t>
            </w:r>
          </w:p>
        </w:tc>
        <w:tc>
          <w:tcPr>
            <w:tcW w:w="1417" w:type="dxa"/>
            <w:tcBorders>
              <w:top w:val="single" w:color="auto" w:sz="4" w:space="0"/>
              <w:left w:val="nil"/>
              <w:bottom w:val="nil"/>
              <w:right w:val="nil"/>
            </w:tcBorders>
            <w:vAlign w:val="center"/>
          </w:tcPr>
          <w:p w14:paraId="6AFCA496">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2.463</w:t>
            </w:r>
          </w:p>
        </w:tc>
      </w:tr>
      <w:tr w14:paraId="3EC3AA2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410" w:type="dxa"/>
            <w:tcBorders>
              <w:top w:val="nil"/>
              <w:left w:val="nil"/>
              <w:bottom w:val="single" w:color="auto" w:sz="4" w:space="0"/>
              <w:right w:val="nil"/>
            </w:tcBorders>
            <w:vAlign w:val="center"/>
          </w:tcPr>
          <w:p w14:paraId="1C07DAE1">
            <w:pPr>
              <w:spacing w:before="100" w:beforeAutospacing="1" w:after="0"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 xml:space="preserve">p-value </w:t>
            </w:r>
          </w:p>
        </w:tc>
        <w:tc>
          <w:tcPr>
            <w:tcW w:w="1538" w:type="dxa"/>
            <w:tcBorders>
              <w:top w:val="nil"/>
              <w:left w:val="nil"/>
              <w:bottom w:val="single" w:color="auto" w:sz="4" w:space="0"/>
              <w:right w:val="nil"/>
            </w:tcBorders>
            <w:vAlign w:val="center"/>
          </w:tcPr>
          <w:p w14:paraId="7464B20B">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0.226</w:t>
            </w:r>
          </w:p>
        </w:tc>
        <w:tc>
          <w:tcPr>
            <w:tcW w:w="1941" w:type="dxa"/>
            <w:tcBorders>
              <w:top w:val="nil"/>
              <w:left w:val="nil"/>
              <w:bottom w:val="single" w:color="auto" w:sz="4" w:space="0"/>
              <w:right w:val="nil"/>
            </w:tcBorders>
            <w:vAlign w:val="center"/>
          </w:tcPr>
          <w:p w14:paraId="560F34B3">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0.347</w:t>
            </w:r>
          </w:p>
        </w:tc>
        <w:tc>
          <w:tcPr>
            <w:tcW w:w="1762" w:type="dxa"/>
            <w:tcBorders>
              <w:top w:val="nil"/>
              <w:left w:val="nil"/>
              <w:bottom w:val="single" w:color="auto" w:sz="4" w:space="0"/>
              <w:right w:val="nil"/>
            </w:tcBorders>
            <w:vAlign w:val="center"/>
          </w:tcPr>
          <w:p w14:paraId="206595AA">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0.533</w:t>
            </w:r>
          </w:p>
        </w:tc>
        <w:tc>
          <w:tcPr>
            <w:tcW w:w="1417" w:type="dxa"/>
            <w:tcBorders>
              <w:top w:val="nil"/>
              <w:left w:val="nil"/>
              <w:bottom w:val="single" w:color="auto" w:sz="4" w:space="0"/>
              <w:right w:val="nil"/>
            </w:tcBorders>
            <w:vAlign w:val="center"/>
          </w:tcPr>
          <w:p w14:paraId="742B5E0A">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0.119</w:t>
            </w:r>
          </w:p>
        </w:tc>
      </w:tr>
    </w:tbl>
    <w:p w14:paraId="73648CFC">
      <w:pPr>
        <w:spacing w:after="0" w:line="273" w:lineRule="auto"/>
        <w:jc w:val="center"/>
        <w:rPr>
          <w:rFonts w:ascii="Times New Roman" w:hAnsi="Times New Roman" w:eastAsia="Calibri" w:cs="Times New Roman"/>
          <w:bCs/>
          <w:kern w:val="0"/>
          <w:sz w:val="28"/>
          <w:szCs w:val="28"/>
          <w14:ligatures w14:val="none"/>
        </w:rPr>
      </w:pPr>
      <w:r>
        <w:rPr>
          <w:rFonts w:ascii="Times New Roman" w:hAnsi="Times New Roman" w:eastAsia="Calibri" w:cs="Times New Roman"/>
          <w:bCs/>
          <w:kern w:val="0"/>
          <w:sz w:val="28"/>
          <w:szCs w:val="28"/>
          <w14:ligatures w14:val="none"/>
        </w:rPr>
        <w:t>Values are expressed as mean ± Standard Deviation</w:t>
      </w:r>
    </w:p>
    <w:p w14:paraId="5F1D0135">
      <w:pPr>
        <w:spacing w:after="0" w:line="273" w:lineRule="auto"/>
        <w:jc w:val="center"/>
        <w:rPr>
          <w:rFonts w:ascii="Times New Roman" w:hAnsi="Times New Roman" w:eastAsia="Calibri" w:cs="Times New Roman"/>
          <w:bCs/>
          <w:kern w:val="0"/>
          <w:sz w:val="28"/>
          <w:szCs w:val="28"/>
          <w14:ligatures w14:val="none"/>
        </w:rPr>
      </w:pPr>
      <w:r>
        <w:rPr>
          <w:rFonts w:ascii="Times New Roman" w:hAnsi="Times New Roman" w:eastAsia="Calibri" w:cs="Times New Roman"/>
          <w:bCs/>
          <w:kern w:val="0"/>
          <w:sz w:val="28"/>
          <w:szCs w:val="28"/>
          <w14:ligatures w14:val="none"/>
        </w:rPr>
        <w:t>Author source</w:t>
      </w:r>
    </w:p>
    <w:p w14:paraId="73819D6C">
      <w:pPr>
        <w:keepNext/>
        <w:keepLines/>
        <w:widowControl w:val="0"/>
        <w:spacing w:before="240" w:after="240" w:line="273" w:lineRule="auto"/>
        <w:jc w:val="center"/>
        <w:outlineLvl w:val="0"/>
        <w:rPr>
          <w:rFonts w:ascii="Times New Roman" w:hAnsi="Times New Roman" w:eastAsia="Calibri" w:cs="Times New Roman"/>
          <w:b/>
          <w:bCs/>
          <w:color w:val="000000"/>
          <w:kern w:val="0"/>
          <w:sz w:val="28"/>
          <w:szCs w:val="28"/>
          <w14:ligatures w14:val="none"/>
        </w:rPr>
      </w:pPr>
      <w:bookmarkStart w:id="56" w:name="_Toc215220507"/>
      <w:r>
        <w:rPr>
          <w:rFonts w:ascii="Times New Roman" w:hAnsi="Times New Roman" w:eastAsia="Calibri" w:cs="Times New Roman"/>
          <w:b/>
          <w:bCs/>
          <w:color w:val="000000"/>
          <w:kern w:val="0"/>
          <w:sz w:val="28"/>
          <w:szCs w:val="28"/>
          <w14:ligatures w14:val="none"/>
        </w:rPr>
        <w:t>3.2.2 Plant Diversity in Otukpo Local Government</w:t>
      </w:r>
      <w:bookmarkEnd w:id="56"/>
    </w:p>
    <w:p w14:paraId="4E813E6E">
      <w:pPr>
        <w:spacing w:before="100" w:before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Also, the study was conducted in Otukpo Local Government, encompassing rural, peri-urban, and urban areas, to assess plant diversity. Specifically, the study covered the following 1) Adoka-Haje and Ugboju-Eha wards representing the rural areas, which are marked by agricultural lands, forests, and scattered settlements; 2) Allan Ward representing the peri-urban area, characterized by a blend of developed and natural environments; and 3) Otukpo Town East and West wards representing the  urban areas, which is marked by high population densities and infrastructure development. By assessing plant diversity across multiple plots in these areas, the study provided valuable insights into the distribution and the abundance of plant species in different environmental settings of the tropical landscape.</w:t>
      </w:r>
    </w:p>
    <w:p w14:paraId="4F44E816">
      <w:pPr>
        <w:keepNext/>
        <w:keepLines/>
        <w:widowControl w:val="0"/>
        <w:spacing w:before="240" w:after="240" w:line="273" w:lineRule="auto"/>
        <w:jc w:val="center"/>
        <w:outlineLvl w:val="0"/>
        <w:rPr>
          <w:rFonts w:ascii="Times New Roman" w:hAnsi="Times New Roman" w:eastAsia="Calibri" w:cs="Times New Roman"/>
          <w:b/>
          <w:bCs/>
          <w:color w:val="000000"/>
          <w:kern w:val="0"/>
          <w:sz w:val="28"/>
          <w:szCs w:val="28"/>
          <w14:ligatures w14:val="none"/>
        </w:rPr>
      </w:pPr>
      <w:bookmarkStart w:id="57" w:name="_Toc215220508"/>
      <w:r>
        <w:rPr>
          <w:rFonts w:ascii="Times New Roman" w:hAnsi="Times New Roman" w:eastAsia="Calibri" w:cs="Times New Roman"/>
          <w:b/>
          <w:bCs/>
          <w:color w:val="000000"/>
          <w:kern w:val="0"/>
          <w:sz w:val="28"/>
          <w:szCs w:val="28"/>
          <w14:ligatures w14:val="none"/>
        </w:rPr>
        <w:t>3.2.2.2 Peri-Urban Area of Otukpo Local Government</w:t>
      </w:r>
      <w:bookmarkEnd w:id="57"/>
    </w:p>
    <w:p w14:paraId="218883F0">
      <w:pPr>
        <w:spacing w:before="100" w:beforeAutospacing="1" w:line="273" w:lineRule="auto"/>
        <w:jc w:val="both"/>
        <w:rPr>
          <w:rFonts w:ascii="Times New Roman" w:hAnsi="Times New Roman" w:eastAsia="Calibri" w:cs="Times New Roman"/>
          <w:b/>
          <w:bCs/>
          <w:color w:val="000000"/>
          <w:kern w:val="0"/>
          <w:sz w:val="28"/>
          <w:szCs w:val="28"/>
          <w14:ligatures w14:val="none"/>
        </w:rPr>
      </w:pPr>
      <w:r>
        <w:rPr>
          <w:rFonts w:ascii="Times New Roman" w:hAnsi="Times New Roman" w:eastAsia="Calibri" w:cs="Times New Roman"/>
          <w:kern w:val="0"/>
          <w:sz w:val="28"/>
          <w:szCs w:val="28"/>
          <w14:ligatures w14:val="none"/>
        </w:rPr>
        <w:t>The plant diversity analysis in the Allan Ward shows varying levels of diversity across three plots see (Appendix T25-T27). The first plot findings shows that 87 plant individuals from 25 species, with Heterotis rotundifolia (10 individuals, 11.5%), Malvastrum coromandelianum (9 individuals, 10.3%), and Ludwiga abyssininca (8 individuals, 9.2%) being notable species. This plot had a Shannon-Wiener index of 2.9022, Simpson’s Diversity of 0.9322, and Species Evenness of 0.9016. Plot 2 documented 47 individuals from 13 species, with Ancardium occidentale (10 individuals, 21.3%) and Passiflora foetida (9 individuals, 19.1%) being prevalent. This plot showed a Shannon-Wiener index of 2.2672, Simpson’s Diversity of 0.8728, and Evenness of 0.8839. Plot 3 findings shows that 32 individuals across 16 species, with Cocus nucifera (7 individuals, 21.9%) and Magnifera indica (4 individuals, 12.5%) being notable. The findings also indicated that the diversity indices for this plot were 2.4389 (Shannon-Wiener), 0.9014 (Simpson), and 0.8796 (Evenness). These findings suggest that plant diversity varies across plots, with some plots exhibiting higher levels of diversity than others.</w:t>
      </w:r>
    </w:p>
    <w:p w14:paraId="0D3A4FE7">
      <w:pPr>
        <w:keepNext/>
        <w:keepLines/>
        <w:widowControl w:val="0"/>
        <w:spacing w:before="240" w:after="240" w:line="273" w:lineRule="auto"/>
        <w:jc w:val="center"/>
        <w:outlineLvl w:val="0"/>
        <w:rPr>
          <w:rFonts w:ascii="Times New Roman" w:hAnsi="Times New Roman" w:eastAsia="Calibri" w:cs="Times New Roman"/>
          <w:b/>
          <w:bCs/>
          <w:color w:val="000000"/>
          <w:kern w:val="0"/>
          <w:sz w:val="28"/>
          <w:szCs w:val="28"/>
          <w14:ligatures w14:val="none"/>
        </w:rPr>
      </w:pPr>
      <w:bookmarkStart w:id="58" w:name="_Toc215220509"/>
      <w:r>
        <w:rPr>
          <w:rFonts w:ascii="Times New Roman" w:hAnsi="Times New Roman" w:eastAsia="Calibri" w:cs="Times New Roman"/>
          <w:b/>
          <w:bCs/>
          <w:color w:val="000000"/>
          <w:kern w:val="0"/>
          <w:sz w:val="28"/>
          <w:szCs w:val="28"/>
          <w14:ligatures w14:val="none"/>
        </w:rPr>
        <w:t>3.2.2.1 Rural Areas of Otukpo Local Government</w:t>
      </w:r>
      <w:bookmarkEnd w:id="58"/>
    </w:p>
    <w:p w14:paraId="6F7B0A9E">
      <w:pPr>
        <w:spacing w:before="100" w:before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The plant diversity analysis in Adoka-Haje Ward shows different levels of diversity across three plots see (Appendix T19-T21). The first plot findings shows that 61 plant individuals from 24 species, with Spermacoce verticellata (10 individuals, 16.4%) and Daniellia oliverii (5 individuals, 8.2%) being notable species. This plot had a Shannon-Wiener index of 2.9353, Simpson’s Diversity of 0.9325, and Species Evenness of 0.9236. Plot 2 documented 56 individuals from 17 species, with Ixora coccinea (10 individuals, 17.9%) and Elaeis guineensis (9 individuals, 16.1%) being prevalent. This plot showed a Shannon-Wiener index of 2.5601, Simpson’s Diversity of 0.9031, and Evenness of 0.9036. Plot 3 had 36 individuals across 20 species, with Azadrachta indica (7 individuals, 19.4%) being notable. The diversity indices for this plot were 2.7765 (Shannon-Wiener), 0.9198 (Simpson), and 0.9268 (Evenness).</w:t>
      </w:r>
    </w:p>
    <w:p w14:paraId="63253493">
      <w:pPr>
        <w:spacing w:before="100" w:before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The plant diversity study in Ugboju-Eha Ward also revealed varying levels of diversity across three plots (Appendix T22-T24). The first plot findings shows that 63 plant individuals from 20 species, with Cleome viscosa (10 individuals, 15.9%) and Acmela paniculata (8 individuals, 12.9%) being notable species. This plot had a Shannon-Wiener index of 2.7017, Simpson’s Diversity of 0.9161, and Species Evenness of 0.9019. Plot 2 findings shows that 44 individuals from 17 species, with Ficus thinningii (7 individuals, 15.9%) being prevalent. This findings also shows that the plot have a Shannon-Wiener index of 2.6670, Simpson’s Diversity of 0.9205, and Evenness of 0.9449. Plot 3 had 59 individuals across 22 species, with Delonix regia (13 individuals, 22.0%) being notable. The diversity indices for this plot were 2.7677 (Shannon-Wiener), 0.9112 (Simpson), and 0.8954 (Evenness). </w:t>
      </w:r>
    </w:p>
    <w:p w14:paraId="255EDA73">
      <w:pPr>
        <w:keepNext/>
        <w:keepLines/>
        <w:widowControl w:val="0"/>
        <w:spacing w:before="240" w:after="240" w:line="273" w:lineRule="auto"/>
        <w:jc w:val="center"/>
        <w:outlineLvl w:val="0"/>
        <w:rPr>
          <w:rFonts w:ascii="Times New Roman" w:hAnsi="Times New Roman" w:eastAsia="Calibri" w:cs="Times New Roman"/>
          <w:b/>
          <w:bCs/>
          <w:color w:val="000000"/>
          <w:kern w:val="0"/>
          <w:sz w:val="28"/>
          <w:szCs w:val="28"/>
          <w14:ligatures w14:val="none"/>
        </w:rPr>
      </w:pPr>
      <w:bookmarkStart w:id="59" w:name="_Toc215220510"/>
      <w:r>
        <w:rPr>
          <w:rFonts w:ascii="Times New Roman" w:hAnsi="Times New Roman" w:eastAsia="Calibri" w:cs="Times New Roman"/>
          <w:b/>
          <w:bCs/>
          <w:color w:val="000000"/>
          <w:kern w:val="0"/>
          <w:sz w:val="28"/>
          <w:szCs w:val="28"/>
          <w14:ligatures w14:val="none"/>
        </w:rPr>
        <w:t>3.2.2.3 Urban Areas of Otukpo Local Government</w:t>
      </w:r>
      <w:bookmarkEnd w:id="59"/>
    </w:p>
    <w:p w14:paraId="75471278">
      <w:pPr>
        <w:spacing w:before="100" w:before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The plant diversity analysis in Otukpo Town East Ward showed varying levels of diversity across three plots see (Appendix T28-T30). The first plot findings shows that 55 plant individuals from 18 species, with Diplaziun sammatii (8 individuals, 14.5%), Albizia zygia (8 individuals, 14.5%), and Eichhornia crassipes (5 individuals, 9.1%) being notable species. This plot had a Shannon-Wiener index of 2.7044, Simpson’s Diversity of 0.9203, and Species Evenness of 0.9357. Plot 2 documented 40 individuals from 19 species, with Tephrosia linearis (8 individuals, 20.0%) being prevalent. This plot showed a Shannon-Wiener index of 2.6923, Simpson’s Diversity of 0.9125, and Evenness of 0.9144. Plot 3 findings shows thhat 84 individuals across 20 species, with Sida acuta (11 individuals, 13.1%), Magnifera indica (10 individuals, 11.9%), and Cleome viscosa (9 individuals, 10.7%) being notable. The diversity indices for this plot were 2.7149 (Shannon-Wiener), 0.9206 (Simpson), and 0.9063 (Evenness).</w:t>
      </w:r>
    </w:p>
    <w:p w14:paraId="6BF53F9C">
      <w:pPr>
        <w:spacing w:before="100" w:before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 xml:space="preserve">The plant diversity study in Otukpo Town West Ward also revealed varying levels of diversity across three plots (Appendix T31-T33). The first plot findings shows that 25 plant individuals from 9 species, with Eichhornia crassipes (4 individuals, 16%) and Alternanthera sessilis (4 individuals, 16%) being notable species. This plot had a Shannon-Wiener index of 2.1370, Simpson’s Diversity of 0.8768, and Species Evenness of 0.9726. Plot 2 documented 47 individuals from 13 species, with Newbouldia laevis (10 individuals, 21.3%) and Magnifera indica (7 individuals, 14.9%) being prevalent. This plot showed a Shannon-Wiener index of 2.2732, Simpson’s Diversity of 0.8737, and Evenness of 0.8862. Plot 3 had 42 individuals across 16 species, with Piliostigma thinningii (5 individuals, 11.9%) and Khaya senegalensis (5 individuals, 11.9%) being notable. The diversity indices for this plot were 2.6239 (Shannon-Wiener), 0.9195 (Simpson), and 0.9464 (Evenness). </w:t>
      </w:r>
    </w:p>
    <w:p w14:paraId="3A962F32">
      <w:pPr>
        <w:keepNext/>
        <w:keepLines/>
        <w:widowControl w:val="0"/>
        <w:spacing w:before="240" w:after="240" w:line="273" w:lineRule="auto"/>
        <w:jc w:val="center"/>
        <w:outlineLvl w:val="0"/>
        <w:rPr>
          <w:rFonts w:ascii="Times New Roman" w:hAnsi="Times New Roman" w:eastAsia="Calibri" w:cs="Times New Roman"/>
          <w:b/>
          <w:bCs/>
          <w:color w:val="000000"/>
          <w:kern w:val="0"/>
          <w:sz w:val="28"/>
          <w:szCs w:val="28"/>
          <w14:ligatures w14:val="none"/>
        </w:rPr>
      </w:pPr>
      <w:bookmarkStart w:id="60" w:name="_Toc215220511"/>
      <w:r>
        <w:rPr>
          <w:rFonts w:ascii="Times New Roman" w:hAnsi="Times New Roman" w:eastAsia="Calibri" w:cs="Times New Roman"/>
          <w:b/>
          <w:bCs/>
          <w:color w:val="000000"/>
          <w:kern w:val="0"/>
          <w:sz w:val="28"/>
          <w:szCs w:val="28"/>
          <w14:ligatures w14:val="none"/>
        </w:rPr>
        <w:t>3.2.2.4 Comparison of Species Diversity between Rural, Peri-Urban, and Urban Areas in Otukpo Local Government</w:t>
      </w:r>
      <w:bookmarkEnd w:id="60"/>
    </w:p>
    <w:p w14:paraId="2E9D5DD1">
      <w:pPr>
        <w:spacing w:before="100" w:before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The study compared species diversity across rural, peri-urban, and urban areas in Otukpo Local Government (Table 3.5). The results showed a slightly higher species diversity in the rural areas compared to the peri-urban and urban areas, with the rural areas having a mean Shannon-Wiener Index (H′) of 2.74, while species diversity was similar between peri-urban and urban areas, with both having mean Shannon-Wiener Index (H′) values of 2.54 and 2.52, respectively. The findings also shows that the Simpson’s Diversity (1-D) was similar across all areas, ranging from 0.90 to 0.92. Species Evenness (E) was also similar, with values ranging from 0.89 to 0.93. Species Richness (R) was higher in rural and peri-urban areas (20.00 and 18.00, respectively) compared to urban areas (15.83). However, the ANOVA results showed no significant differences between the areas for any of the diversity indices, indicating that the observed differences may be due to chance.</w:t>
      </w:r>
    </w:p>
    <w:p w14:paraId="6EF20092">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kern w:val="0"/>
          <w:sz w:val="28"/>
          <w:szCs w:val="28"/>
          <w14:ligatures w14:val="none"/>
        </w:rPr>
        <w:t>Table 3.5: Comparison of species diversity between the Rural, Peri urban and Urban Areas in Otukpo Local government of Benue state:</w:t>
      </w:r>
      <w:r>
        <w:rPr>
          <w:rFonts w:ascii="Times New Roman" w:hAnsi="Times New Roman" w:eastAsia="Calibri" w:cs="Times New Roman"/>
          <w:sz w:val="24"/>
          <w:szCs w:val="24"/>
          <w14:ligatures w14:val="none"/>
        </w:rPr>
        <w:t xml:space="preserve"> Author source</w:t>
      </w:r>
    </w:p>
    <w:tbl>
      <w:tblPr>
        <w:tblStyle w:val="18"/>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1538"/>
        <w:gridCol w:w="1941"/>
        <w:gridCol w:w="1762"/>
        <w:gridCol w:w="1417"/>
      </w:tblGrid>
      <w:tr w14:paraId="4F9E20C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10" w:type="dxa"/>
            <w:vMerge w:val="restart"/>
            <w:tcBorders>
              <w:top w:val="single" w:color="auto" w:sz="4" w:space="0"/>
              <w:left w:val="nil"/>
              <w:bottom w:val="nil"/>
              <w:right w:val="nil"/>
            </w:tcBorders>
            <w:vAlign w:val="bottom"/>
          </w:tcPr>
          <w:p w14:paraId="550CC165">
            <w:pPr>
              <w:spacing w:before="100" w:beforeAutospacing="1" w:after="0"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Areas</w:t>
            </w:r>
          </w:p>
        </w:tc>
        <w:tc>
          <w:tcPr>
            <w:tcW w:w="6658" w:type="dxa"/>
            <w:gridSpan w:val="4"/>
            <w:tcBorders>
              <w:top w:val="single" w:color="auto" w:sz="4" w:space="0"/>
              <w:left w:val="nil"/>
              <w:bottom w:val="single" w:color="auto" w:sz="4" w:space="0"/>
              <w:right w:val="nil"/>
            </w:tcBorders>
          </w:tcPr>
          <w:p w14:paraId="6564304F">
            <w:pPr>
              <w:spacing w:before="100" w:beforeAutospacing="1" w:after="0"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Species Diversity</w:t>
            </w:r>
          </w:p>
        </w:tc>
      </w:tr>
      <w:tr w14:paraId="7274013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nil"/>
              <w:bottom w:val="nil"/>
              <w:right w:val="nil"/>
            </w:tcBorders>
            <w:vAlign w:val="center"/>
          </w:tcPr>
          <w:p w14:paraId="005BBF6C">
            <w:pPr>
              <w:spacing w:after="0" w:line="240" w:lineRule="auto"/>
              <w:rPr>
                <w:rFonts w:ascii="Times New Roman" w:hAnsi="Times New Roman" w:eastAsia="Calibri" w:cs="Times New Roman"/>
                <w:b/>
                <w:bCs/>
                <w:kern w:val="0"/>
                <w:sz w:val="28"/>
                <w:szCs w:val="28"/>
                <w14:ligatures w14:val="none"/>
              </w:rPr>
            </w:pPr>
          </w:p>
        </w:tc>
        <w:tc>
          <w:tcPr>
            <w:tcW w:w="1538" w:type="dxa"/>
            <w:tcBorders>
              <w:top w:val="single" w:color="auto" w:sz="4" w:space="0"/>
              <w:left w:val="nil"/>
              <w:bottom w:val="single" w:color="auto" w:sz="4" w:space="0"/>
              <w:right w:val="nil"/>
            </w:tcBorders>
          </w:tcPr>
          <w:p w14:paraId="5ACB38E5">
            <w:pPr>
              <w:spacing w:before="100" w:beforeAutospacing="1" w:after="0"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Shannon-Wiener Index (</w:t>
            </w:r>
            <w:r>
              <w:rPr>
                <w:rFonts w:ascii="Times New Roman" w:hAnsi="Times New Roman" w:eastAsia="Calibri" w:cs="Times New Roman"/>
                <w:b/>
                <w:bCs/>
                <w:i/>
                <w:iCs/>
                <w:kern w:val="0"/>
                <w:sz w:val="28"/>
                <w:szCs w:val="28"/>
                <w14:ligatures w14:val="none"/>
              </w:rPr>
              <w:t>H′</w:t>
            </w:r>
            <w:r>
              <w:rPr>
                <w:rFonts w:ascii="Times New Roman" w:hAnsi="Times New Roman" w:eastAsia="Calibri" w:cs="Times New Roman"/>
                <w:b/>
                <w:bCs/>
                <w:kern w:val="0"/>
                <w:sz w:val="28"/>
                <w:szCs w:val="28"/>
                <w14:ligatures w14:val="none"/>
              </w:rPr>
              <w:t>)</w:t>
            </w:r>
          </w:p>
        </w:tc>
        <w:tc>
          <w:tcPr>
            <w:tcW w:w="1941" w:type="dxa"/>
            <w:tcBorders>
              <w:top w:val="single" w:color="auto" w:sz="4" w:space="0"/>
              <w:left w:val="nil"/>
              <w:bottom w:val="single" w:color="auto" w:sz="4" w:space="0"/>
              <w:right w:val="nil"/>
            </w:tcBorders>
          </w:tcPr>
          <w:p w14:paraId="41529EE8">
            <w:pPr>
              <w:spacing w:before="100" w:beforeAutospacing="1" w:after="0"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Simpson´s Diversity (1-D)</w:t>
            </w:r>
          </w:p>
        </w:tc>
        <w:tc>
          <w:tcPr>
            <w:tcW w:w="1762" w:type="dxa"/>
            <w:tcBorders>
              <w:top w:val="single" w:color="auto" w:sz="4" w:space="0"/>
              <w:left w:val="nil"/>
              <w:bottom w:val="single" w:color="auto" w:sz="4" w:space="0"/>
              <w:right w:val="nil"/>
            </w:tcBorders>
          </w:tcPr>
          <w:p w14:paraId="19A6F9DC">
            <w:pPr>
              <w:spacing w:before="100" w:beforeAutospacing="1" w:after="0"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Species Evenness (E)</w:t>
            </w:r>
          </w:p>
        </w:tc>
        <w:tc>
          <w:tcPr>
            <w:tcW w:w="1417" w:type="dxa"/>
            <w:tcBorders>
              <w:top w:val="single" w:color="auto" w:sz="4" w:space="0"/>
              <w:left w:val="nil"/>
              <w:bottom w:val="single" w:color="auto" w:sz="4" w:space="0"/>
              <w:right w:val="nil"/>
            </w:tcBorders>
          </w:tcPr>
          <w:p w14:paraId="35CC1CA7">
            <w:pPr>
              <w:spacing w:before="100" w:beforeAutospacing="1" w:after="0"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Species Richness (R)</w:t>
            </w:r>
          </w:p>
        </w:tc>
      </w:tr>
      <w:tr w14:paraId="283F60F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10" w:type="dxa"/>
            <w:tcBorders>
              <w:top w:val="single" w:color="auto" w:sz="4" w:space="0"/>
              <w:left w:val="nil"/>
              <w:bottom w:val="nil"/>
              <w:right w:val="nil"/>
            </w:tcBorders>
          </w:tcPr>
          <w:p w14:paraId="675E9C6D">
            <w:pPr>
              <w:spacing w:before="100" w:beforeAutospacing="1"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b/>
                <w:bCs/>
                <w:kern w:val="0"/>
                <w:sz w:val="28"/>
                <w:szCs w:val="28"/>
                <w14:ligatures w14:val="none"/>
              </w:rPr>
              <w:t xml:space="preserve">Rural Areas </w:t>
            </w:r>
            <w:r>
              <w:rPr>
                <w:rFonts w:ascii="Times New Roman" w:hAnsi="Times New Roman" w:eastAsia="Calibri" w:cs="Times New Roman"/>
                <w:b/>
                <w:bCs/>
                <w:kern w:val="0"/>
                <w:sz w:val="28"/>
                <w:szCs w:val="28"/>
                <w14:ligatures w14:val="none"/>
              </w:rPr>
              <w:br w:type="textWrapping"/>
            </w:r>
            <w:r>
              <w:rPr>
                <w:rFonts w:ascii="Times New Roman" w:hAnsi="Times New Roman" w:eastAsia="Calibri" w:cs="Times New Roman"/>
                <w:b/>
                <w:bCs/>
                <w:kern w:val="0"/>
                <w:sz w:val="28"/>
                <w:szCs w:val="28"/>
                <w14:ligatures w14:val="none"/>
              </w:rPr>
              <w:t xml:space="preserve">(Adoka-Haje and Ugboju-Eha Wards) </w:t>
            </w:r>
            <w:r>
              <w:rPr>
                <w:rFonts w:ascii="Times New Roman" w:hAnsi="Times New Roman" w:eastAsia="Calibri" w:cs="Times New Roman"/>
                <w:b/>
                <w:bCs/>
                <w:kern w:val="0"/>
                <w:sz w:val="28"/>
                <w:szCs w:val="28"/>
                <w14:ligatures w14:val="none"/>
              </w:rPr>
              <w:br w:type="textWrapping"/>
            </w:r>
            <w:r>
              <w:rPr>
                <w:rFonts w:ascii="Times New Roman" w:hAnsi="Times New Roman" w:eastAsia="Calibri" w:cs="Times New Roman"/>
                <w:b/>
                <w:bCs/>
                <w:kern w:val="0"/>
                <w:sz w:val="28"/>
                <w:szCs w:val="28"/>
                <w14:ligatures w14:val="none"/>
              </w:rPr>
              <w:t>(n = 6)</w:t>
            </w:r>
          </w:p>
        </w:tc>
        <w:tc>
          <w:tcPr>
            <w:tcW w:w="1538" w:type="dxa"/>
            <w:tcBorders>
              <w:top w:val="single" w:color="auto" w:sz="4" w:space="0"/>
              <w:left w:val="nil"/>
              <w:bottom w:val="nil"/>
              <w:right w:val="nil"/>
            </w:tcBorders>
            <w:vAlign w:val="center"/>
          </w:tcPr>
          <w:p w14:paraId="33A3E388">
            <w:pPr>
              <w:spacing w:before="240"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color w:val="000000"/>
                <w:kern w:val="0"/>
                <w:sz w:val="28"/>
                <w:szCs w:val="28"/>
                <w14:ligatures w14:val="none"/>
              </w:rPr>
              <w:t>2.74 ±0.12</w:t>
            </w:r>
          </w:p>
        </w:tc>
        <w:tc>
          <w:tcPr>
            <w:tcW w:w="1941" w:type="dxa"/>
            <w:tcBorders>
              <w:top w:val="single" w:color="auto" w:sz="4" w:space="0"/>
              <w:left w:val="nil"/>
              <w:bottom w:val="nil"/>
              <w:right w:val="nil"/>
            </w:tcBorders>
            <w:vAlign w:val="center"/>
          </w:tcPr>
          <w:p w14:paraId="315C9B65">
            <w:pPr>
              <w:spacing w:before="240"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color w:val="000000"/>
                <w:kern w:val="0"/>
                <w:sz w:val="28"/>
                <w:szCs w:val="28"/>
                <w14:ligatures w14:val="none"/>
              </w:rPr>
              <w:t>0.92 ±0.01</w:t>
            </w:r>
          </w:p>
        </w:tc>
        <w:tc>
          <w:tcPr>
            <w:tcW w:w="1762" w:type="dxa"/>
            <w:tcBorders>
              <w:top w:val="single" w:color="auto" w:sz="4" w:space="0"/>
              <w:left w:val="nil"/>
              <w:bottom w:val="nil"/>
              <w:right w:val="nil"/>
            </w:tcBorders>
            <w:vAlign w:val="center"/>
          </w:tcPr>
          <w:p w14:paraId="48C23401">
            <w:pPr>
              <w:spacing w:before="240"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color w:val="000000"/>
                <w:kern w:val="0"/>
                <w:sz w:val="28"/>
                <w:szCs w:val="28"/>
                <w14:ligatures w14:val="none"/>
              </w:rPr>
              <w:t>0.92 ±0.02</w:t>
            </w:r>
          </w:p>
        </w:tc>
        <w:tc>
          <w:tcPr>
            <w:tcW w:w="1417" w:type="dxa"/>
            <w:tcBorders>
              <w:top w:val="single" w:color="auto" w:sz="4" w:space="0"/>
              <w:left w:val="nil"/>
              <w:bottom w:val="nil"/>
              <w:right w:val="nil"/>
            </w:tcBorders>
            <w:vAlign w:val="center"/>
          </w:tcPr>
          <w:p w14:paraId="5D51DAAF">
            <w:pPr>
              <w:spacing w:before="240"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color w:val="000000"/>
                <w:kern w:val="0"/>
                <w:sz w:val="28"/>
                <w:szCs w:val="28"/>
                <w14:ligatures w14:val="none"/>
              </w:rPr>
              <w:t>20.00 ±2.76</w:t>
            </w:r>
          </w:p>
        </w:tc>
      </w:tr>
      <w:tr w14:paraId="785008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10" w:type="dxa"/>
            <w:tcBorders>
              <w:top w:val="nil"/>
              <w:left w:val="nil"/>
              <w:bottom w:val="nil"/>
              <w:right w:val="nil"/>
            </w:tcBorders>
          </w:tcPr>
          <w:p w14:paraId="22789597">
            <w:pPr>
              <w:spacing w:before="240"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b/>
                <w:bCs/>
                <w:kern w:val="0"/>
                <w:sz w:val="28"/>
                <w:szCs w:val="28"/>
                <w14:ligatures w14:val="none"/>
              </w:rPr>
              <w:t>Periurban Area (Allan ward) (n = 3)</w:t>
            </w:r>
          </w:p>
        </w:tc>
        <w:tc>
          <w:tcPr>
            <w:tcW w:w="1538" w:type="dxa"/>
            <w:tcBorders>
              <w:top w:val="nil"/>
              <w:left w:val="nil"/>
              <w:bottom w:val="nil"/>
              <w:right w:val="nil"/>
            </w:tcBorders>
            <w:vAlign w:val="center"/>
          </w:tcPr>
          <w:p w14:paraId="070F86DE">
            <w:pPr>
              <w:spacing w:before="240"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color w:val="000000"/>
                <w:kern w:val="0"/>
                <w:sz w:val="28"/>
                <w:szCs w:val="28"/>
                <w14:ligatures w14:val="none"/>
              </w:rPr>
              <w:t>2.54 ±0.33</w:t>
            </w:r>
          </w:p>
        </w:tc>
        <w:tc>
          <w:tcPr>
            <w:tcW w:w="1941" w:type="dxa"/>
            <w:tcBorders>
              <w:top w:val="nil"/>
              <w:left w:val="nil"/>
              <w:bottom w:val="nil"/>
              <w:right w:val="nil"/>
            </w:tcBorders>
            <w:vAlign w:val="center"/>
          </w:tcPr>
          <w:p w14:paraId="79B5B149">
            <w:pPr>
              <w:spacing w:before="240"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color w:val="000000"/>
                <w:kern w:val="0"/>
                <w:sz w:val="28"/>
                <w:szCs w:val="28"/>
                <w14:ligatures w14:val="none"/>
              </w:rPr>
              <w:t>0.90 ±0.03</w:t>
            </w:r>
          </w:p>
        </w:tc>
        <w:tc>
          <w:tcPr>
            <w:tcW w:w="1762" w:type="dxa"/>
            <w:tcBorders>
              <w:top w:val="nil"/>
              <w:left w:val="nil"/>
              <w:bottom w:val="nil"/>
              <w:right w:val="nil"/>
            </w:tcBorders>
            <w:vAlign w:val="center"/>
          </w:tcPr>
          <w:p w14:paraId="4A5F3807">
            <w:pPr>
              <w:spacing w:before="240"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color w:val="000000"/>
                <w:kern w:val="0"/>
                <w:sz w:val="28"/>
                <w:szCs w:val="28"/>
                <w14:ligatures w14:val="none"/>
              </w:rPr>
              <w:t>0.89 ±0.01</w:t>
            </w:r>
          </w:p>
        </w:tc>
        <w:tc>
          <w:tcPr>
            <w:tcW w:w="1417" w:type="dxa"/>
            <w:tcBorders>
              <w:top w:val="nil"/>
              <w:left w:val="nil"/>
              <w:bottom w:val="nil"/>
              <w:right w:val="nil"/>
            </w:tcBorders>
            <w:vAlign w:val="center"/>
          </w:tcPr>
          <w:p w14:paraId="41F53DC8">
            <w:pPr>
              <w:spacing w:before="240"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color w:val="000000"/>
                <w:kern w:val="0"/>
                <w:sz w:val="28"/>
                <w:szCs w:val="28"/>
                <w14:ligatures w14:val="none"/>
              </w:rPr>
              <w:t>18.00 ±6.24</w:t>
            </w:r>
          </w:p>
        </w:tc>
      </w:tr>
      <w:tr w14:paraId="0271F99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410" w:type="dxa"/>
            <w:tcBorders>
              <w:top w:val="nil"/>
              <w:left w:val="nil"/>
              <w:bottom w:val="single" w:color="auto" w:sz="4" w:space="0"/>
              <w:right w:val="nil"/>
            </w:tcBorders>
          </w:tcPr>
          <w:p w14:paraId="315B92B2">
            <w:pPr>
              <w:spacing w:before="240"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b/>
                <w:bCs/>
                <w:kern w:val="0"/>
                <w:sz w:val="28"/>
                <w:szCs w:val="28"/>
                <w14:ligatures w14:val="none"/>
              </w:rPr>
              <w:t xml:space="preserve">Urban Area (Otukpo Town East and Otukpo Town West wards) </w:t>
            </w:r>
            <w:r>
              <w:rPr>
                <w:rFonts w:ascii="Times New Roman" w:hAnsi="Times New Roman" w:eastAsia="Calibri" w:cs="Times New Roman"/>
                <w:b/>
                <w:bCs/>
                <w:kern w:val="0"/>
                <w:sz w:val="28"/>
                <w:szCs w:val="28"/>
                <w14:ligatures w14:val="none"/>
              </w:rPr>
              <w:br w:type="textWrapping"/>
            </w:r>
            <w:r>
              <w:rPr>
                <w:rFonts w:ascii="Times New Roman" w:hAnsi="Times New Roman" w:eastAsia="Calibri" w:cs="Times New Roman"/>
                <w:b/>
                <w:bCs/>
                <w:kern w:val="0"/>
                <w:sz w:val="28"/>
                <w:szCs w:val="28"/>
                <w14:ligatures w14:val="none"/>
              </w:rPr>
              <w:t>(n = 6)</w:t>
            </w:r>
          </w:p>
        </w:tc>
        <w:tc>
          <w:tcPr>
            <w:tcW w:w="1538" w:type="dxa"/>
            <w:tcBorders>
              <w:top w:val="nil"/>
              <w:left w:val="nil"/>
              <w:bottom w:val="single" w:color="auto" w:sz="4" w:space="0"/>
              <w:right w:val="nil"/>
            </w:tcBorders>
            <w:vAlign w:val="center"/>
          </w:tcPr>
          <w:p w14:paraId="211781F8">
            <w:pPr>
              <w:spacing w:before="240"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color w:val="000000"/>
                <w:kern w:val="0"/>
                <w:sz w:val="28"/>
                <w:szCs w:val="28"/>
                <w14:ligatures w14:val="none"/>
              </w:rPr>
              <w:t>2.52 ±0.25</w:t>
            </w:r>
          </w:p>
        </w:tc>
        <w:tc>
          <w:tcPr>
            <w:tcW w:w="1941" w:type="dxa"/>
            <w:tcBorders>
              <w:top w:val="nil"/>
              <w:left w:val="nil"/>
              <w:bottom w:val="single" w:color="auto" w:sz="4" w:space="0"/>
              <w:right w:val="nil"/>
            </w:tcBorders>
            <w:vAlign w:val="center"/>
          </w:tcPr>
          <w:p w14:paraId="1DE1CFA0">
            <w:pPr>
              <w:spacing w:before="240"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color w:val="000000"/>
                <w:kern w:val="0"/>
                <w:sz w:val="28"/>
                <w:szCs w:val="28"/>
                <w14:ligatures w14:val="none"/>
              </w:rPr>
              <w:t>0.90 ±0.02</w:t>
            </w:r>
          </w:p>
        </w:tc>
        <w:tc>
          <w:tcPr>
            <w:tcW w:w="1762" w:type="dxa"/>
            <w:tcBorders>
              <w:top w:val="nil"/>
              <w:left w:val="nil"/>
              <w:bottom w:val="single" w:color="auto" w:sz="4" w:space="0"/>
              <w:right w:val="nil"/>
            </w:tcBorders>
            <w:vAlign w:val="center"/>
          </w:tcPr>
          <w:p w14:paraId="7AE7005E">
            <w:pPr>
              <w:spacing w:before="240" w:after="0" w:line="273" w:lineRule="auto"/>
              <w:jc w:val="both"/>
              <w:rPr>
                <w:rFonts w:ascii="Times New Roman" w:hAnsi="Times New Roman" w:eastAsia="Calibri" w:cs="Times New Roman"/>
                <w:kern w:val="0"/>
                <w:sz w:val="28"/>
                <w:szCs w:val="28"/>
                <w:u w:val="single"/>
                <w14:ligatures w14:val="none"/>
              </w:rPr>
            </w:pPr>
            <w:r>
              <w:rPr>
                <w:rFonts w:ascii="Times New Roman" w:hAnsi="Times New Roman" w:eastAsia="Calibri" w:cs="Times New Roman"/>
                <w:color w:val="000000"/>
                <w:kern w:val="0"/>
                <w:sz w:val="28"/>
                <w:szCs w:val="28"/>
                <w14:ligatures w14:val="none"/>
              </w:rPr>
              <w:t>0.93 ±0.03</w:t>
            </w:r>
          </w:p>
        </w:tc>
        <w:tc>
          <w:tcPr>
            <w:tcW w:w="1417" w:type="dxa"/>
            <w:tcBorders>
              <w:top w:val="nil"/>
              <w:left w:val="nil"/>
              <w:bottom w:val="single" w:color="auto" w:sz="4" w:space="0"/>
              <w:right w:val="nil"/>
            </w:tcBorders>
            <w:vAlign w:val="center"/>
          </w:tcPr>
          <w:p w14:paraId="0B060EC9">
            <w:pPr>
              <w:spacing w:before="240"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color w:val="000000"/>
                <w:kern w:val="0"/>
                <w:sz w:val="28"/>
                <w:szCs w:val="28"/>
                <w14:ligatures w14:val="none"/>
              </w:rPr>
              <w:t>15.83 ±4.17</w:t>
            </w:r>
          </w:p>
        </w:tc>
      </w:tr>
      <w:tr w14:paraId="0A46B66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410" w:type="dxa"/>
            <w:tcBorders>
              <w:top w:val="single" w:color="auto" w:sz="4" w:space="0"/>
              <w:left w:val="nil"/>
              <w:bottom w:val="nil"/>
              <w:right w:val="nil"/>
            </w:tcBorders>
          </w:tcPr>
          <w:p w14:paraId="69808452">
            <w:pPr>
              <w:spacing w:before="100" w:beforeAutospacing="1" w:after="0"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F-value</w:t>
            </w:r>
          </w:p>
        </w:tc>
        <w:tc>
          <w:tcPr>
            <w:tcW w:w="1538" w:type="dxa"/>
            <w:tcBorders>
              <w:top w:val="single" w:color="auto" w:sz="4" w:space="0"/>
              <w:left w:val="nil"/>
              <w:bottom w:val="nil"/>
              <w:right w:val="nil"/>
            </w:tcBorders>
          </w:tcPr>
          <w:p w14:paraId="02612AAB">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1.528</w:t>
            </w:r>
          </w:p>
        </w:tc>
        <w:tc>
          <w:tcPr>
            <w:tcW w:w="1941" w:type="dxa"/>
            <w:tcBorders>
              <w:top w:val="single" w:color="auto" w:sz="4" w:space="0"/>
              <w:left w:val="nil"/>
              <w:bottom w:val="nil"/>
              <w:right w:val="nil"/>
            </w:tcBorders>
          </w:tcPr>
          <w:p w14:paraId="64AE8350">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0.882</w:t>
            </w:r>
          </w:p>
        </w:tc>
        <w:tc>
          <w:tcPr>
            <w:tcW w:w="1762" w:type="dxa"/>
            <w:tcBorders>
              <w:top w:val="single" w:color="auto" w:sz="4" w:space="0"/>
              <w:left w:val="nil"/>
              <w:bottom w:val="nil"/>
              <w:right w:val="nil"/>
            </w:tcBorders>
          </w:tcPr>
          <w:p w14:paraId="15F07FD1">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2.621</w:t>
            </w:r>
          </w:p>
        </w:tc>
        <w:tc>
          <w:tcPr>
            <w:tcW w:w="1417" w:type="dxa"/>
            <w:tcBorders>
              <w:top w:val="single" w:color="auto" w:sz="4" w:space="0"/>
              <w:left w:val="nil"/>
              <w:bottom w:val="nil"/>
              <w:right w:val="nil"/>
            </w:tcBorders>
          </w:tcPr>
          <w:p w14:paraId="466420AF">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1.541</w:t>
            </w:r>
          </w:p>
        </w:tc>
      </w:tr>
      <w:tr w14:paraId="07D0B3C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410" w:type="dxa"/>
            <w:tcBorders>
              <w:top w:val="nil"/>
              <w:left w:val="nil"/>
              <w:bottom w:val="single" w:color="auto" w:sz="4" w:space="0"/>
              <w:right w:val="nil"/>
            </w:tcBorders>
          </w:tcPr>
          <w:p w14:paraId="55D0B601">
            <w:pPr>
              <w:spacing w:before="100" w:beforeAutospacing="1" w:after="0" w:line="273" w:lineRule="auto"/>
              <w:jc w:val="both"/>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 xml:space="preserve">p-value </w:t>
            </w:r>
          </w:p>
        </w:tc>
        <w:tc>
          <w:tcPr>
            <w:tcW w:w="1538" w:type="dxa"/>
            <w:tcBorders>
              <w:top w:val="nil"/>
              <w:left w:val="nil"/>
              <w:bottom w:val="single" w:color="auto" w:sz="4" w:space="0"/>
              <w:right w:val="nil"/>
            </w:tcBorders>
          </w:tcPr>
          <w:p w14:paraId="42E338BA">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0.256</w:t>
            </w:r>
          </w:p>
        </w:tc>
        <w:tc>
          <w:tcPr>
            <w:tcW w:w="1941" w:type="dxa"/>
            <w:tcBorders>
              <w:top w:val="nil"/>
              <w:left w:val="nil"/>
              <w:bottom w:val="single" w:color="auto" w:sz="4" w:space="0"/>
              <w:right w:val="nil"/>
            </w:tcBorders>
          </w:tcPr>
          <w:p w14:paraId="220414C9">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0.439</w:t>
            </w:r>
          </w:p>
        </w:tc>
        <w:tc>
          <w:tcPr>
            <w:tcW w:w="1762" w:type="dxa"/>
            <w:tcBorders>
              <w:top w:val="nil"/>
              <w:left w:val="nil"/>
              <w:bottom w:val="single" w:color="auto" w:sz="4" w:space="0"/>
              <w:right w:val="nil"/>
            </w:tcBorders>
          </w:tcPr>
          <w:p w14:paraId="119E1500">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0.114</w:t>
            </w:r>
          </w:p>
        </w:tc>
        <w:tc>
          <w:tcPr>
            <w:tcW w:w="1417" w:type="dxa"/>
            <w:tcBorders>
              <w:top w:val="nil"/>
              <w:left w:val="nil"/>
              <w:bottom w:val="single" w:color="auto" w:sz="4" w:space="0"/>
              <w:right w:val="nil"/>
            </w:tcBorders>
          </w:tcPr>
          <w:p w14:paraId="78985A64">
            <w:pPr>
              <w:spacing w:before="100" w:beforeAutospacing="1" w:after="0"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0.254</w:t>
            </w:r>
          </w:p>
        </w:tc>
      </w:tr>
    </w:tbl>
    <w:p w14:paraId="6C8DA019">
      <w:pPr>
        <w:spacing w:before="100" w:beforeAutospacing="1" w:after="0" w:line="273" w:lineRule="auto"/>
        <w:jc w:val="center"/>
        <w:rPr>
          <w:rFonts w:ascii="Times New Roman" w:hAnsi="Times New Roman" w:eastAsia="Calibri" w:cs="Times New Roman"/>
          <w:b/>
          <w:kern w:val="0"/>
          <w:sz w:val="28"/>
          <w:szCs w:val="28"/>
          <w14:ligatures w14:val="none"/>
        </w:rPr>
      </w:pPr>
      <w:r>
        <w:rPr>
          <w:rFonts w:ascii="Times New Roman" w:hAnsi="Times New Roman" w:eastAsia="Calibri" w:cs="Times New Roman"/>
          <w:b/>
          <w:kern w:val="0"/>
          <w:sz w:val="28"/>
          <w:szCs w:val="28"/>
          <w14:ligatures w14:val="none"/>
        </w:rPr>
        <w:t>Values are expressed as mean ± Standard Deviation</w:t>
      </w:r>
    </w:p>
    <w:p w14:paraId="14D73C58">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61" w:name="_Toc215220512"/>
      <w:r>
        <w:rPr>
          <w:rFonts w:ascii="Times New Roman" w:hAnsi="Times New Roman" w:eastAsia="DengXian Light" w:cs="Times New Roman"/>
          <w:b/>
          <w:bCs/>
          <w:sz w:val="32"/>
          <w:szCs w:val="32"/>
          <w14:ligatures w14:val="none"/>
        </w:rPr>
        <w:t>3.3 Soil Properties Across the Urban Gradient</w:t>
      </w:r>
      <w:bookmarkEnd w:id="61"/>
    </w:p>
    <w:p w14:paraId="2032B7C4">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62" w:name="_Toc215220513"/>
      <w:r>
        <w:rPr>
          <w:rFonts w:ascii="Times New Roman" w:hAnsi="Times New Roman" w:eastAsia="DengXian Light" w:cs="Times New Roman"/>
          <w:b/>
          <w:bCs/>
          <w:sz w:val="32"/>
          <w:szCs w:val="32"/>
          <w14:ligatures w14:val="none"/>
        </w:rPr>
        <w:t>3.3.1 Soil Variable Summary</w:t>
      </w:r>
      <w:bookmarkEnd w:id="62"/>
    </w:p>
    <w:p w14:paraId="54C08BBB">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The finding from the analysis shows that the soil properties across the urbanization gradients exhibit clear patterns reflecting the influence of urbanization. Organic carbon and nitrogen increase from rural to urban areas, likely due to higher organic inputs and intensified human activity. The findings further shows that Bulk density remains relatively uniform across the zones, while soil pH gradually rises from peri-urban to urban areas. Cation exchange capacity is highest in urban and peri-urban zones, with lower values observed in rural areas. These results indicate that soil characteristics respond strongly to the level of urban development. Table 3.6 summarizes the key soil indicators, and Figure 3.3(a–e) illustrates how each variable varies across the urbanization gradient. </w:t>
      </w:r>
    </w:p>
    <w:p w14:paraId="71487F55">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sz w:val="28"/>
          <w:szCs w:val="28"/>
          <w14:ligatures w14:val="none"/>
        </w:rPr>
        <w:t>Table 3.6:</w:t>
      </w:r>
      <w:r>
        <w:rPr>
          <w:rFonts w:ascii="Times New Roman" w:hAnsi="Times New Roman" w:eastAsia="Calibri" w:cs="Times New Roman"/>
          <w:sz w:val="28"/>
          <w:szCs w:val="28"/>
          <w14:ligatures w14:val="none"/>
        </w:rPr>
        <w:t xml:space="preserve"> Summarized Reporting Table:</w:t>
      </w:r>
      <w:r>
        <w:rPr>
          <w:rFonts w:ascii="Times New Roman" w:hAnsi="Times New Roman" w:eastAsia="Calibri" w:cs="Times New Roman"/>
          <w:sz w:val="24"/>
          <w:szCs w:val="24"/>
          <w14:ligatures w14:val="none"/>
        </w:rPr>
        <w:t xml:space="preserve"> Author source</w:t>
      </w:r>
    </w:p>
    <w:tbl>
      <w:tblPr>
        <w:tblStyle w:val="19"/>
        <w:tblW w:w="9427"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1329"/>
        <w:gridCol w:w="1549"/>
        <w:gridCol w:w="1269"/>
        <w:gridCol w:w="2328"/>
        <w:gridCol w:w="1390"/>
        <w:gridCol w:w="1562"/>
      </w:tblGrid>
      <w:tr w14:paraId="20FDB1B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472" w:hRule="atLeast"/>
        </w:trPr>
        <w:tc>
          <w:tcPr>
            <w:tcW w:w="0" w:type="auto"/>
            <w:tcBorders>
              <w:top w:val="single" w:color="auto" w:sz="4" w:space="0"/>
              <w:left w:val="nil"/>
              <w:bottom w:val="single" w:color="auto" w:sz="4" w:space="0"/>
              <w:right w:val="nil"/>
            </w:tcBorders>
            <w:vAlign w:val="center"/>
          </w:tcPr>
          <w:p w14:paraId="0549CACE">
            <w:pPr>
              <w:spacing w:before="100" w:beforeAutospacing="1" w:after="0" w:line="256" w:lineRule="auto"/>
              <w:rPr>
                <w:rFonts w:ascii="Times New Roman" w:hAnsi="Times New Roman" w:eastAsia="SimSun" w:cs="Times New Roman"/>
                <w:b/>
                <w:bCs/>
                <w:kern w:val="0"/>
                <w:sz w:val="28"/>
                <w:szCs w:val="28"/>
                <w14:ligatures w14:val="none"/>
              </w:rPr>
            </w:pPr>
            <w:r>
              <w:rPr>
                <w:rFonts w:ascii="Times New Roman" w:hAnsi="Times New Roman" w:eastAsia="Times New Roman" w:cs="Times New Roman"/>
                <w:b/>
                <w:bCs/>
                <w:kern w:val="0"/>
                <w:sz w:val="28"/>
                <w:szCs w:val="28"/>
                <w14:ligatures w14:val="none"/>
              </w:rPr>
              <w:t>Zone</w:t>
            </w:r>
          </w:p>
        </w:tc>
        <w:tc>
          <w:tcPr>
            <w:tcW w:w="0" w:type="auto"/>
            <w:tcBorders>
              <w:top w:val="single" w:color="auto" w:sz="4" w:space="0"/>
              <w:left w:val="nil"/>
              <w:bottom w:val="single" w:color="auto" w:sz="4" w:space="0"/>
              <w:right w:val="nil"/>
            </w:tcBorders>
            <w:vAlign w:val="center"/>
          </w:tcPr>
          <w:p w14:paraId="7AF5FC1A">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SOC (mean)</w:t>
            </w:r>
          </w:p>
        </w:tc>
        <w:tc>
          <w:tcPr>
            <w:tcW w:w="0" w:type="auto"/>
            <w:tcBorders>
              <w:top w:val="single" w:color="auto" w:sz="4" w:space="0"/>
              <w:left w:val="nil"/>
              <w:bottom w:val="single" w:color="auto" w:sz="4" w:space="0"/>
              <w:right w:val="nil"/>
            </w:tcBorders>
            <w:vAlign w:val="center"/>
          </w:tcPr>
          <w:p w14:paraId="49D56549">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N (mean)</w:t>
            </w:r>
          </w:p>
        </w:tc>
        <w:tc>
          <w:tcPr>
            <w:tcW w:w="0" w:type="auto"/>
            <w:tcBorders>
              <w:top w:val="single" w:color="auto" w:sz="4" w:space="0"/>
              <w:left w:val="nil"/>
              <w:bottom w:val="single" w:color="auto" w:sz="4" w:space="0"/>
              <w:right w:val="nil"/>
            </w:tcBorders>
            <w:vAlign w:val="center"/>
          </w:tcPr>
          <w:p w14:paraId="1A9B7478">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Bulk Density (mean)</w:t>
            </w:r>
          </w:p>
        </w:tc>
        <w:tc>
          <w:tcPr>
            <w:tcW w:w="0" w:type="auto"/>
            <w:tcBorders>
              <w:top w:val="single" w:color="auto" w:sz="4" w:space="0"/>
              <w:left w:val="nil"/>
              <w:bottom w:val="single" w:color="auto" w:sz="4" w:space="0"/>
              <w:right w:val="nil"/>
            </w:tcBorders>
            <w:vAlign w:val="center"/>
          </w:tcPr>
          <w:p w14:paraId="58CFD5FE">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pH (mean)</w:t>
            </w:r>
          </w:p>
        </w:tc>
        <w:tc>
          <w:tcPr>
            <w:tcW w:w="0" w:type="auto"/>
            <w:tcBorders>
              <w:top w:val="single" w:color="auto" w:sz="4" w:space="0"/>
              <w:left w:val="nil"/>
              <w:bottom w:val="single" w:color="auto" w:sz="4" w:space="0"/>
              <w:right w:val="nil"/>
            </w:tcBorders>
            <w:vAlign w:val="center"/>
          </w:tcPr>
          <w:p w14:paraId="3851462B">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CEC (mean)</w:t>
            </w:r>
          </w:p>
        </w:tc>
      </w:tr>
      <w:tr w14:paraId="48B01A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472" w:hRule="atLeast"/>
        </w:trPr>
        <w:tc>
          <w:tcPr>
            <w:tcW w:w="0" w:type="auto"/>
            <w:tcBorders>
              <w:top w:val="single" w:color="auto" w:sz="4" w:space="0"/>
              <w:left w:val="nil"/>
              <w:bottom w:val="nil"/>
              <w:right w:val="nil"/>
            </w:tcBorders>
            <w:vAlign w:val="center"/>
          </w:tcPr>
          <w:p w14:paraId="3F98A2D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Peri-Urban</w:t>
            </w:r>
          </w:p>
        </w:tc>
        <w:tc>
          <w:tcPr>
            <w:tcW w:w="0" w:type="auto"/>
            <w:tcBorders>
              <w:top w:val="single" w:color="auto" w:sz="4" w:space="0"/>
              <w:left w:val="nil"/>
              <w:bottom w:val="nil"/>
              <w:right w:val="nil"/>
            </w:tcBorders>
            <w:vAlign w:val="center"/>
          </w:tcPr>
          <w:p w14:paraId="5DACADC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171.18</w:t>
            </w:r>
          </w:p>
        </w:tc>
        <w:tc>
          <w:tcPr>
            <w:tcW w:w="0" w:type="auto"/>
            <w:tcBorders>
              <w:top w:val="single" w:color="auto" w:sz="4" w:space="0"/>
              <w:left w:val="nil"/>
              <w:bottom w:val="nil"/>
              <w:right w:val="nil"/>
            </w:tcBorders>
            <w:vAlign w:val="center"/>
          </w:tcPr>
          <w:p w14:paraId="4493C605">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1331.15</w:t>
            </w:r>
          </w:p>
        </w:tc>
        <w:tc>
          <w:tcPr>
            <w:tcW w:w="0" w:type="auto"/>
            <w:tcBorders>
              <w:top w:val="single" w:color="auto" w:sz="4" w:space="0"/>
              <w:left w:val="nil"/>
              <w:bottom w:val="nil"/>
              <w:right w:val="nil"/>
            </w:tcBorders>
            <w:vAlign w:val="center"/>
          </w:tcPr>
          <w:p w14:paraId="74208B0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136.38</w:t>
            </w:r>
          </w:p>
        </w:tc>
        <w:tc>
          <w:tcPr>
            <w:tcW w:w="0" w:type="auto"/>
            <w:tcBorders>
              <w:top w:val="single" w:color="auto" w:sz="4" w:space="0"/>
              <w:left w:val="nil"/>
              <w:bottom w:val="nil"/>
              <w:right w:val="nil"/>
            </w:tcBorders>
            <w:vAlign w:val="center"/>
          </w:tcPr>
          <w:p w14:paraId="1F8263E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56.82</w:t>
            </w:r>
          </w:p>
        </w:tc>
        <w:tc>
          <w:tcPr>
            <w:tcW w:w="0" w:type="auto"/>
            <w:tcBorders>
              <w:top w:val="single" w:color="auto" w:sz="4" w:space="0"/>
              <w:left w:val="nil"/>
              <w:bottom w:val="nil"/>
              <w:right w:val="nil"/>
            </w:tcBorders>
            <w:vAlign w:val="center"/>
          </w:tcPr>
          <w:p w14:paraId="683EB4E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100.30</w:t>
            </w:r>
          </w:p>
        </w:tc>
      </w:tr>
      <w:tr w14:paraId="5B6FC59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472" w:hRule="atLeast"/>
        </w:trPr>
        <w:tc>
          <w:tcPr>
            <w:tcW w:w="0" w:type="auto"/>
            <w:tcBorders>
              <w:top w:val="nil"/>
              <w:left w:val="nil"/>
              <w:bottom w:val="nil"/>
              <w:right w:val="nil"/>
            </w:tcBorders>
            <w:vAlign w:val="center"/>
          </w:tcPr>
          <w:p w14:paraId="2703EC5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Rural</w:t>
            </w:r>
          </w:p>
        </w:tc>
        <w:tc>
          <w:tcPr>
            <w:tcW w:w="0" w:type="auto"/>
            <w:tcBorders>
              <w:top w:val="nil"/>
              <w:left w:val="nil"/>
              <w:bottom w:val="nil"/>
              <w:right w:val="nil"/>
            </w:tcBorders>
            <w:vAlign w:val="center"/>
          </w:tcPr>
          <w:p w14:paraId="5C8EFE87">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166.27</w:t>
            </w:r>
          </w:p>
        </w:tc>
        <w:tc>
          <w:tcPr>
            <w:tcW w:w="0" w:type="auto"/>
            <w:tcBorders>
              <w:top w:val="nil"/>
              <w:left w:val="nil"/>
              <w:bottom w:val="nil"/>
              <w:right w:val="nil"/>
            </w:tcBorders>
            <w:vAlign w:val="center"/>
          </w:tcPr>
          <w:p w14:paraId="74C765F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1269.96</w:t>
            </w:r>
          </w:p>
        </w:tc>
        <w:tc>
          <w:tcPr>
            <w:tcW w:w="0" w:type="auto"/>
            <w:tcBorders>
              <w:top w:val="nil"/>
              <w:left w:val="nil"/>
              <w:bottom w:val="nil"/>
              <w:right w:val="nil"/>
            </w:tcBorders>
            <w:vAlign w:val="center"/>
          </w:tcPr>
          <w:p w14:paraId="209FCEA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136.68</w:t>
            </w:r>
          </w:p>
        </w:tc>
        <w:tc>
          <w:tcPr>
            <w:tcW w:w="0" w:type="auto"/>
            <w:tcBorders>
              <w:top w:val="nil"/>
              <w:left w:val="nil"/>
              <w:bottom w:val="nil"/>
              <w:right w:val="nil"/>
            </w:tcBorders>
            <w:vAlign w:val="center"/>
          </w:tcPr>
          <w:p w14:paraId="2DC6FA4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57.05</w:t>
            </w:r>
          </w:p>
        </w:tc>
        <w:tc>
          <w:tcPr>
            <w:tcW w:w="0" w:type="auto"/>
            <w:tcBorders>
              <w:top w:val="nil"/>
              <w:left w:val="nil"/>
              <w:bottom w:val="nil"/>
              <w:right w:val="nil"/>
            </w:tcBorders>
            <w:vAlign w:val="center"/>
          </w:tcPr>
          <w:p w14:paraId="457CAFC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88.51</w:t>
            </w:r>
          </w:p>
        </w:tc>
      </w:tr>
      <w:tr w14:paraId="6B4F37E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472" w:hRule="atLeast"/>
        </w:trPr>
        <w:tc>
          <w:tcPr>
            <w:tcW w:w="0" w:type="auto"/>
            <w:tcBorders>
              <w:top w:val="nil"/>
              <w:left w:val="nil"/>
              <w:bottom w:val="single" w:color="auto" w:sz="4" w:space="0"/>
              <w:right w:val="nil"/>
            </w:tcBorders>
            <w:vAlign w:val="center"/>
          </w:tcPr>
          <w:p w14:paraId="69FC5EC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Urban</w:t>
            </w:r>
          </w:p>
        </w:tc>
        <w:tc>
          <w:tcPr>
            <w:tcW w:w="0" w:type="auto"/>
            <w:tcBorders>
              <w:top w:val="nil"/>
              <w:left w:val="nil"/>
              <w:bottom w:val="single" w:color="auto" w:sz="4" w:space="0"/>
              <w:right w:val="nil"/>
            </w:tcBorders>
            <w:vAlign w:val="center"/>
          </w:tcPr>
          <w:p w14:paraId="11CD4DE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211.99</w:t>
            </w:r>
          </w:p>
        </w:tc>
        <w:tc>
          <w:tcPr>
            <w:tcW w:w="0" w:type="auto"/>
            <w:tcBorders>
              <w:top w:val="nil"/>
              <w:left w:val="nil"/>
              <w:bottom w:val="single" w:color="auto" w:sz="4" w:space="0"/>
              <w:right w:val="nil"/>
            </w:tcBorders>
            <w:vAlign w:val="center"/>
          </w:tcPr>
          <w:p w14:paraId="0C32DE6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1435.58</w:t>
            </w:r>
          </w:p>
        </w:tc>
        <w:tc>
          <w:tcPr>
            <w:tcW w:w="0" w:type="auto"/>
            <w:tcBorders>
              <w:top w:val="nil"/>
              <w:left w:val="nil"/>
              <w:bottom w:val="single" w:color="auto" w:sz="4" w:space="0"/>
              <w:right w:val="nil"/>
            </w:tcBorders>
            <w:vAlign w:val="center"/>
          </w:tcPr>
          <w:p w14:paraId="1689F6F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135.87</w:t>
            </w:r>
          </w:p>
        </w:tc>
        <w:tc>
          <w:tcPr>
            <w:tcW w:w="0" w:type="auto"/>
            <w:tcBorders>
              <w:top w:val="nil"/>
              <w:left w:val="nil"/>
              <w:bottom w:val="single" w:color="auto" w:sz="4" w:space="0"/>
              <w:right w:val="nil"/>
            </w:tcBorders>
            <w:vAlign w:val="center"/>
          </w:tcPr>
          <w:p w14:paraId="45D3753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58.87</w:t>
            </w:r>
          </w:p>
        </w:tc>
        <w:tc>
          <w:tcPr>
            <w:tcW w:w="0" w:type="auto"/>
            <w:tcBorders>
              <w:top w:val="nil"/>
              <w:left w:val="nil"/>
              <w:bottom w:val="single" w:color="auto" w:sz="4" w:space="0"/>
              <w:right w:val="nil"/>
            </w:tcBorders>
            <w:vAlign w:val="center"/>
          </w:tcPr>
          <w:p w14:paraId="5C45580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102.57</w:t>
            </w:r>
          </w:p>
        </w:tc>
      </w:tr>
    </w:tbl>
    <w:p w14:paraId="59212CBA">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 </w:t>
      </w:r>
    </w:p>
    <w:tbl>
      <w:tblPr>
        <w:tblStyle w:val="19"/>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4675"/>
        <w:gridCol w:w="4675"/>
      </w:tblGrid>
      <w:tr w14:paraId="03850A8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4675" w:type="dxa"/>
            <w:tcBorders>
              <w:top w:val="nil"/>
              <w:left w:val="nil"/>
              <w:bottom w:val="nil"/>
              <w:right w:val="nil"/>
            </w:tcBorders>
            <w:vAlign w:val="center"/>
          </w:tcPr>
          <w:p w14:paraId="68BDCD3C">
            <w:pPr>
              <w:spacing w:before="100" w:beforeAutospacing="1" w:after="0" w:line="273" w:lineRule="auto"/>
              <w:jc w:val="center"/>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drawing>
                <wp:inline distT="0" distB="0" distL="0" distR="0">
                  <wp:extent cx="2743200" cy="1828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743200" cy="1828800"/>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547765B1">
            <w:pPr>
              <w:spacing w:before="100" w:beforeAutospacing="1" w:after="0" w:line="273" w:lineRule="auto"/>
              <w:jc w:val="center"/>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drawing>
                <wp:inline distT="0" distB="0" distL="0" distR="0">
                  <wp:extent cx="2743200" cy="1828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743200" cy="1828800"/>
                          </a:xfrm>
                          <a:prstGeom prst="rect">
                            <a:avLst/>
                          </a:prstGeom>
                          <a:noFill/>
                          <a:ln>
                            <a:noFill/>
                          </a:ln>
                        </pic:spPr>
                      </pic:pic>
                    </a:graphicData>
                  </a:graphic>
                </wp:inline>
              </w:drawing>
            </w:r>
          </w:p>
        </w:tc>
      </w:tr>
      <w:tr w14:paraId="0B9B1F7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4675" w:type="dxa"/>
            <w:tcBorders>
              <w:top w:val="nil"/>
              <w:left w:val="nil"/>
              <w:bottom w:val="nil"/>
              <w:right w:val="nil"/>
            </w:tcBorders>
            <w:vAlign w:val="center"/>
          </w:tcPr>
          <w:p w14:paraId="21F26F22">
            <w:pPr>
              <w:spacing w:before="100" w:beforeAutospacing="1" w:after="0" w:line="273" w:lineRule="auto"/>
              <w:jc w:val="center"/>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a. SOC Trend</w:t>
            </w:r>
          </w:p>
        </w:tc>
        <w:tc>
          <w:tcPr>
            <w:tcW w:w="4675" w:type="dxa"/>
            <w:tcBorders>
              <w:top w:val="nil"/>
              <w:left w:val="nil"/>
              <w:bottom w:val="nil"/>
              <w:right w:val="nil"/>
            </w:tcBorders>
            <w:vAlign w:val="center"/>
          </w:tcPr>
          <w:p w14:paraId="6C9E2FC2">
            <w:pPr>
              <w:spacing w:before="100" w:beforeAutospacing="1" w:after="0" w:line="273" w:lineRule="auto"/>
              <w:jc w:val="center"/>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b. N Trend</w:t>
            </w:r>
          </w:p>
        </w:tc>
      </w:tr>
      <w:tr w14:paraId="6A50E72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4675" w:type="dxa"/>
            <w:tcBorders>
              <w:top w:val="nil"/>
              <w:left w:val="nil"/>
              <w:bottom w:val="nil"/>
              <w:right w:val="nil"/>
            </w:tcBorders>
            <w:vAlign w:val="center"/>
          </w:tcPr>
          <w:p w14:paraId="5912C09E">
            <w:pPr>
              <w:spacing w:before="100" w:beforeAutospacing="1" w:after="0" w:line="273" w:lineRule="auto"/>
              <w:jc w:val="center"/>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drawing>
                <wp:inline distT="0" distB="0" distL="0" distR="0">
                  <wp:extent cx="2743200"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743200" cy="1828800"/>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3F744391">
            <w:pPr>
              <w:spacing w:before="100" w:beforeAutospacing="1" w:after="0" w:line="273" w:lineRule="auto"/>
              <w:jc w:val="center"/>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drawing>
                <wp:inline distT="0" distB="0" distL="0" distR="0">
                  <wp:extent cx="2743200" cy="1828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743200" cy="1828800"/>
                          </a:xfrm>
                          <a:prstGeom prst="rect">
                            <a:avLst/>
                          </a:prstGeom>
                          <a:noFill/>
                          <a:ln>
                            <a:noFill/>
                          </a:ln>
                        </pic:spPr>
                      </pic:pic>
                    </a:graphicData>
                  </a:graphic>
                </wp:inline>
              </w:drawing>
            </w:r>
          </w:p>
        </w:tc>
      </w:tr>
      <w:tr w14:paraId="3042C96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4675" w:type="dxa"/>
            <w:tcBorders>
              <w:top w:val="nil"/>
              <w:left w:val="nil"/>
              <w:bottom w:val="nil"/>
              <w:right w:val="nil"/>
            </w:tcBorders>
            <w:vAlign w:val="center"/>
          </w:tcPr>
          <w:p w14:paraId="3CC14020">
            <w:pPr>
              <w:spacing w:before="100" w:beforeAutospacing="1" w:after="0" w:line="273" w:lineRule="auto"/>
              <w:jc w:val="center"/>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c. BD Trend</w:t>
            </w:r>
          </w:p>
        </w:tc>
        <w:tc>
          <w:tcPr>
            <w:tcW w:w="4675" w:type="dxa"/>
            <w:tcBorders>
              <w:top w:val="nil"/>
              <w:left w:val="nil"/>
              <w:bottom w:val="nil"/>
              <w:right w:val="nil"/>
            </w:tcBorders>
            <w:vAlign w:val="center"/>
          </w:tcPr>
          <w:p w14:paraId="5CC5EDDB">
            <w:pPr>
              <w:spacing w:before="100" w:beforeAutospacing="1" w:after="0" w:line="273" w:lineRule="auto"/>
              <w:jc w:val="center"/>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d. pH Trend</w:t>
            </w:r>
          </w:p>
        </w:tc>
      </w:tr>
      <w:tr w14:paraId="67C7C5A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9350" w:type="dxa"/>
            <w:gridSpan w:val="2"/>
            <w:tcBorders>
              <w:top w:val="nil"/>
              <w:left w:val="nil"/>
              <w:bottom w:val="nil"/>
              <w:right w:val="nil"/>
            </w:tcBorders>
            <w:vAlign w:val="center"/>
          </w:tcPr>
          <w:p w14:paraId="0D35E611">
            <w:pPr>
              <w:spacing w:before="100" w:beforeAutospacing="1" w:after="0" w:line="273" w:lineRule="auto"/>
              <w:jc w:val="center"/>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drawing>
                <wp:inline distT="0" distB="0" distL="0" distR="0">
                  <wp:extent cx="2743200" cy="1828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743200" cy="1828800"/>
                          </a:xfrm>
                          <a:prstGeom prst="rect">
                            <a:avLst/>
                          </a:prstGeom>
                          <a:noFill/>
                          <a:ln>
                            <a:noFill/>
                          </a:ln>
                        </pic:spPr>
                      </pic:pic>
                    </a:graphicData>
                  </a:graphic>
                </wp:inline>
              </w:drawing>
            </w:r>
          </w:p>
        </w:tc>
      </w:tr>
      <w:tr w14:paraId="6FB40DB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9350" w:type="dxa"/>
            <w:gridSpan w:val="2"/>
            <w:tcBorders>
              <w:top w:val="nil"/>
              <w:left w:val="nil"/>
              <w:bottom w:val="nil"/>
              <w:right w:val="nil"/>
            </w:tcBorders>
            <w:vAlign w:val="center"/>
          </w:tcPr>
          <w:p w14:paraId="75F5BF2D">
            <w:pPr>
              <w:spacing w:before="100" w:beforeAutospacing="1" w:after="0" w:line="273" w:lineRule="auto"/>
              <w:jc w:val="center"/>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e. CEC Trend</w:t>
            </w:r>
          </w:p>
        </w:tc>
      </w:tr>
    </w:tbl>
    <w:p w14:paraId="697E3250">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sz w:val="28"/>
          <w:szCs w:val="28"/>
          <w14:ligatures w14:val="none"/>
        </w:rPr>
        <w:t xml:space="preserve">Figure 3.3: </w:t>
      </w:r>
      <w:r>
        <w:rPr>
          <w:rFonts w:ascii="Times New Roman" w:hAnsi="Times New Roman" w:eastAsia="Calibri" w:cs="Times New Roman"/>
          <w:sz w:val="28"/>
          <w:szCs w:val="28"/>
          <w14:ligatures w14:val="none"/>
        </w:rPr>
        <w:t>Soil Variables Trends across Urban Gradients:</w:t>
      </w:r>
      <w:r>
        <w:rPr>
          <w:rFonts w:ascii="Times New Roman" w:hAnsi="Times New Roman" w:eastAsia="Calibri" w:cs="Times New Roman"/>
          <w:sz w:val="24"/>
          <w:szCs w:val="24"/>
          <w14:ligatures w14:val="none"/>
        </w:rPr>
        <w:t xml:space="preserve"> Author source</w:t>
      </w:r>
    </w:p>
    <w:p w14:paraId="295D2060">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63" w:name="_Toc215220514"/>
      <w:r>
        <w:rPr>
          <w:rFonts w:ascii="Times New Roman" w:hAnsi="Times New Roman" w:eastAsia="DengXian Light" w:cs="Times New Roman"/>
          <w:b/>
          <w:bCs/>
          <w:sz w:val="32"/>
          <w:szCs w:val="32"/>
          <w14:ligatures w14:val="none"/>
        </w:rPr>
        <w:t>3.3.2 Statistical Differences Across Zones</w:t>
      </w:r>
      <w:bookmarkEnd w:id="63"/>
    </w:p>
    <w:p w14:paraId="74AFB945">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ANOVA findings as shown in Table 3.7 shows that among the five measured soil variables, only pH differed significantly across zones (F = 4.061, p = 0.037, η² = 0.337). Post-hoc comparisons (Table 3.8) reveal that this significant difference occurs between Peri-Urban and Urban zones. The findings further shows that other soil properties, including SOC, N, BD, and CEC, showed no statistically significant variation between zones. Overall, these findings suggest that urbanization had a limited impact on soil chemical and physical properties except for soil pH, which may reflect localized anthropogenic influences.</w:t>
      </w:r>
    </w:p>
    <w:p w14:paraId="43FE5FE1">
      <w:pPr>
        <w:spacing w:before="100" w:beforeAutospacing="1" w:line="273" w:lineRule="auto"/>
        <w:jc w:val="both"/>
        <w:rPr>
          <w:rFonts w:ascii="Times New Roman" w:hAnsi="Times New Roman" w:eastAsia="Calibri" w:cs="Times New Roman"/>
          <w:sz w:val="24"/>
          <w:szCs w:val="24"/>
          <w14:ligatures w14:val="none"/>
        </w:rPr>
      </w:pPr>
      <w:r>
        <w:rPr>
          <w:rFonts w:ascii="Times New Roman" w:hAnsi="Times New Roman" w:eastAsia="Calibri" w:cs="Times New Roman"/>
          <w:sz w:val="28"/>
          <w:szCs w:val="28"/>
          <w14:ligatures w14:val="none"/>
        </w:rPr>
        <w:t xml:space="preserve"> </w:t>
      </w:r>
      <w:r>
        <w:rPr>
          <w:rFonts w:ascii="Times New Roman" w:hAnsi="Times New Roman" w:eastAsia="Calibri" w:cs="Times New Roman"/>
          <w:b/>
          <w:bCs/>
          <w:sz w:val="28"/>
          <w:szCs w:val="28"/>
          <w14:ligatures w14:val="none"/>
        </w:rPr>
        <w:t>Table 3.7:</w:t>
      </w:r>
      <w:r>
        <w:rPr>
          <w:rFonts w:ascii="Times New Roman" w:hAnsi="Times New Roman" w:eastAsia="Calibri" w:cs="Times New Roman"/>
          <w:sz w:val="28"/>
          <w:szCs w:val="28"/>
          <w14:ligatures w14:val="none"/>
        </w:rPr>
        <w:t xml:space="preserve"> ANOVA Results and Effect Sizes for Soil Variables Across Zones:</w:t>
      </w:r>
      <w:r>
        <w:rPr>
          <w:rFonts w:ascii="Times New Roman" w:hAnsi="Times New Roman" w:eastAsia="Calibri" w:cs="Times New Roman"/>
          <w:sz w:val="24"/>
          <w:szCs w:val="24"/>
          <w14:ligatures w14:val="none"/>
        </w:rPr>
        <w:t xml:space="preserve"> Author source</w:t>
      </w:r>
    </w:p>
    <w:tbl>
      <w:tblPr>
        <w:tblStyle w:val="19"/>
        <w:tblW w:w="9405"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1659"/>
        <w:gridCol w:w="1472"/>
        <w:gridCol w:w="1451"/>
        <w:gridCol w:w="2625"/>
        <w:gridCol w:w="2198"/>
      </w:tblGrid>
      <w:tr w14:paraId="5B49FBC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63" w:hRule="atLeast"/>
        </w:trPr>
        <w:tc>
          <w:tcPr>
            <w:tcW w:w="0" w:type="auto"/>
            <w:tcBorders>
              <w:top w:val="single" w:color="auto" w:sz="4" w:space="0"/>
              <w:left w:val="nil"/>
              <w:bottom w:val="single" w:color="auto" w:sz="4" w:space="0"/>
              <w:right w:val="nil"/>
            </w:tcBorders>
            <w:vAlign w:val="center"/>
          </w:tcPr>
          <w:p w14:paraId="10B11495">
            <w:pPr>
              <w:spacing w:before="100" w:beforeAutospacing="1" w:after="0" w:line="256" w:lineRule="auto"/>
              <w:rPr>
                <w:rFonts w:ascii="Times New Roman" w:hAnsi="Times New Roman" w:eastAsia="SimSun" w:cs="Times New Roman"/>
                <w:b/>
                <w:bCs/>
                <w:kern w:val="0"/>
                <w:sz w:val="28"/>
                <w:szCs w:val="28"/>
                <w14:ligatures w14:val="none"/>
              </w:rPr>
            </w:pPr>
            <w:r>
              <w:rPr>
                <w:rFonts w:ascii="Times New Roman" w:hAnsi="Times New Roman" w:eastAsia="Times New Roman" w:cs="Times New Roman"/>
                <w:b/>
                <w:bCs/>
                <w:kern w:val="0"/>
                <w:sz w:val="28"/>
                <w:szCs w:val="28"/>
                <w14:ligatures w14:val="none"/>
              </w:rPr>
              <w:t>Variable</w:t>
            </w:r>
          </w:p>
        </w:tc>
        <w:tc>
          <w:tcPr>
            <w:tcW w:w="0" w:type="auto"/>
            <w:tcBorders>
              <w:top w:val="single" w:color="auto" w:sz="4" w:space="0"/>
              <w:left w:val="nil"/>
              <w:bottom w:val="single" w:color="auto" w:sz="4" w:space="0"/>
              <w:right w:val="nil"/>
            </w:tcBorders>
            <w:vAlign w:val="center"/>
          </w:tcPr>
          <w:p w14:paraId="746F436F">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F-value</w:t>
            </w:r>
          </w:p>
        </w:tc>
        <w:tc>
          <w:tcPr>
            <w:tcW w:w="0" w:type="auto"/>
            <w:tcBorders>
              <w:top w:val="single" w:color="auto" w:sz="4" w:space="0"/>
              <w:left w:val="nil"/>
              <w:bottom w:val="single" w:color="auto" w:sz="4" w:space="0"/>
              <w:right w:val="nil"/>
            </w:tcBorders>
            <w:vAlign w:val="center"/>
          </w:tcPr>
          <w:p w14:paraId="6B7AF913">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p-value</w:t>
            </w:r>
          </w:p>
        </w:tc>
        <w:tc>
          <w:tcPr>
            <w:tcW w:w="0" w:type="auto"/>
            <w:tcBorders>
              <w:top w:val="single" w:color="auto" w:sz="4" w:space="0"/>
              <w:left w:val="nil"/>
              <w:bottom w:val="single" w:color="auto" w:sz="4" w:space="0"/>
              <w:right w:val="nil"/>
            </w:tcBorders>
            <w:vAlign w:val="center"/>
          </w:tcPr>
          <w:p w14:paraId="67B24290">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η² (Effect Size)</w:t>
            </w:r>
          </w:p>
        </w:tc>
        <w:tc>
          <w:tcPr>
            <w:tcW w:w="0" w:type="auto"/>
            <w:tcBorders>
              <w:top w:val="single" w:color="auto" w:sz="4" w:space="0"/>
              <w:left w:val="nil"/>
              <w:bottom w:val="single" w:color="auto" w:sz="4" w:space="0"/>
              <w:right w:val="nil"/>
            </w:tcBorders>
            <w:vAlign w:val="center"/>
          </w:tcPr>
          <w:p w14:paraId="3CB08779">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Significance</w:t>
            </w:r>
          </w:p>
        </w:tc>
      </w:tr>
      <w:tr w14:paraId="26A51B7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63" w:hRule="atLeast"/>
        </w:trPr>
        <w:tc>
          <w:tcPr>
            <w:tcW w:w="0" w:type="auto"/>
            <w:tcBorders>
              <w:top w:val="single" w:color="auto" w:sz="4" w:space="0"/>
              <w:left w:val="nil"/>
              <w:bottom w:val="nil"/>
              <w:right w:val="nil"/>
            </w:tcBorders>
            <w:vAlign w:val="center"/>
          </w:tcPr>
          <w:p w14:paraId="404D04C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SOC</w:t>
            </w:r>
          </w:p>
        </w:tc>
        <w:tc>
          <w:tcPr>
            <w:tcW w:w="0" w:type="auto"/>
            <w:tcBorders>
              <w:top w:val="single" w:color="auto" w:sz="4" w:space="0"/>
              <w:left w:val="nil"/>
              <w:bottom w:val="nil"/>
              <w:right w:val="nil"/>
            </w:tcBorders>
            <w:vAlign w:val="center"/>
          </w:tcPr>
          <w:p w14:paraId="65BDB11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0.799</w:t>
            </w:r>
          </w:p>
        </w:tc>
        <w:tc>
          <w:tcPr>
            <w:tcW w:w="0" w:type="auto"/>
            <w:tcBorders>
              <w:top w:val="single" w:color="auto" w:sz="4" w:space="0"/>
              <w:left w:val="nil"/>
              <w:bottom w:val="nil"/>
              <w:right w:val="nil"/>
            </w:tcBorders>
            <w:vAlign w:val="center"/>
          </w:tcPr>
          <w:p w14:paraId="3940AFC7">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0.467</w:t>
            </w:r>
          </w:p>
        </w:tc>
        <w:tc>
          <w:tcPr>
            <w:tcW w:w="0" w:type="auto"/>
            <w:tcBorders>
              <w:top w:val="single" w:color="auto" w:sz="4" w:space="0"/>
              <w:left w:val="nil"/>
              <w:bottom w:val="nil"/>
              <w:right w:val="nil"/>
            </w:tcBorders>
            <w:vAlign w:val="center"/>
          </w:tcPr>
          <w:p w14:paraId="01A4440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0.091</w:t>
            </w:r>
          </w:p>
        </w:tc>
        <w:tc>
          <w:tcPr>
            <w:tcW w:w="0" w:type="auto"/>
            <w:tcBorders>
              <w:top w:val="single" w:color="auto" w:sz="4" w:space="0"/>
              <w:left w:val="nil"/>
              <w:bottom w:val="nil"/>
              <w:right w:val="nil"/>
            </w:tcBorders>
            <w:vAlign w:val="center"/>
          </w:tcPr>
          <w:p w14:paraId="15D1A49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NS</w:t>
            </w:r>
          </w:p>
        </w:tc>
      </w:tr>
      <w:tr w14:paraId="6C77D4B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63" w:hRule="atLeast"/>
        </w:trPr>
        <w:tc>
          <w:tcPr>
            <w:tcW w:w="0" w:type="auto"/>
            <w:tcBorders>
              <w:top w:val="nil"/>
              <w:left w:val="nil"/>
              <w:bottom w:val="nil"/>
              <w:right w:val="nil"/>
            </w:tcBorders>
            <w:vAlign w:val="center"/>
          </w:tcPr>
          <w:p w14:paraId="271B6FF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w:t>
            </w:r>
          </w:p>
        </w:tc>
        <w:tc>
          <w:tcPr>
            <w:tcW w:w="0" w:type="auto"/>
            <w:tcBorders>
              <w:top w:val="nil"/>
              <w:left w:val="nil"/>
              <w:bottom w:val="nil"/>
              <w:right w:val="nil"/>
            </w:tcBorders>
            <w:vAlign w:val="center"/>
          </w:tcPr>
          <w:p w14:paraId="62A2729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0.940</w:t>
            </w:r>
          </w:p>
        </w:tc>
        <w:tc>
          <w:tcPr>
            <w:tcW w:w="0" w:type="auto"/>
            <w:tcBorders>
              <w:top w:val="nil"/>
              <w:left w:val="nil"/>
              <w:bottom w:val="nil"/>
              <w:right w:val="nil"/>
            </w:tcBorders>
            <w:vAlign w:val="center"/>
          </w:tcPr>
          <w:p w14:paraId="0D12DA9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0.411</w:t>
            </w:r>
          </w:p>
        </w:tc>
        <w:tc>
          <w:tcPr>
            <w:tcW w:w="0" w:type="auto"/>
            <w:tcBorders>
              <w:top w:val="nil"/>
              <w:left w:val="nil"/>
              <w:bottom w:val="nil"/>
              <w:right w:val="nil"/>
            </w:tcBorders>
            <w:vAlign w:val="center"/>
          </w:tcPr>
          <w:p w14:paraId="2759B3C5">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0.105</w:t>
            </w:r>
          </w:p>
        </w:tc>
        <w:tc>
          <w:tcPr>
            <w:tcW w:w="0" w:type="auto"/>
            <w:tcBorders>
              <w:top w:val="nil"/>
              <w:left w:val="nil"/>
              <w:bottom w:val="nil"/>
              <w:right w:val="nil"/>
            </w:tcBorders>
            <w:vAlign w:val="center"/>
          </w:tcPr>
          <w:p w14:paraId="3752544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NS</w:t>
            </w:r>
          </w:p>
        </w:tc>
      </w:tr>
      <w:tr w14:paraId="1BABBF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63" w:hRule="atLeast"/>
        </w:trPr>
        <w:tc>
          <w:tcPr>
            <w:tcW w:w="0" w:type="auto"/>
            <w:tcBorders>
              <w:top w:val="nil"/>
              <w:left w:val="nil"/>
              <w:bottom w:val="nil"/>
              <w:right w:val="nil"/>
            </w:tcBorders>
            <w:vAlign w:val="center"/>
          </w:tcPr>
          <w:p w14:paraId="4C29A2F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BD</w:t>
            </w:r>
          </w:p>
        </w:tc>
        <w:tc>
          <w:tcPr>
            <w:tcW w:w="0" w:type="auto"/>
            <w:tcBorders>
              <w:top w:val="nil"/>
              <w:left w:val="nil"/>
              <w:bottom w:val="nil"/>
              <w:right w:val="nil"/>
            </w:tcBorders>
            <w:vAlign w:val="center"/>
          </w:tcPr>
          <w:p w14:paraId="745EAAA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0.235</w:t>
            </w:r>
          </w:p>
        </w:tc>
        <w:tc>
          <w:tcPr>
            <w:tcW w:w="0" w:type="auto"/>
            <w:tcBorders>
              <w:top w:val="nil"/>
              <w:left w:val="nil"/>
              <w:bottom w:val="nil"/>
              <w:right w:val="nil"/>
            </w:tcBorders>
            <w:vAlign w:val="center"/>
          </w:tcPr>
          <w:p w14:paraId="6EC50A2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0.793</w:t>
            </w:r>
          </w:p>
        </w:tc>
        <w:tc>
          <w:tcPr>
            <w:tcW w:w="0" w:type="auto"/>
            <w:tcBorders>
              <w:top w:val="nil"/>
              <w:left w:val="nil"/>
              <w:bottom w:val="nil"/>
              <w:right w:val="nil"/>
            </w:tcBorders>
            <w:vAlign w:val="center"/>
          </w:tcPr>
          <w:p w14:paraId="18244DF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0.029</w:t>
            </w:r>
          </w:p>
        </w:tc>
        <w:tc>
          <w:tcPr>
            <w:tcW w:w="0" w:type="auto"/>
            <w:tcBorders>
              <w:top w:val="nil"/>
              <w:left w:val="nil"/>
              <w:bottom w:val="nil"/>
              <w:right w:val="nil"/>
            </w:tcBorders>
            <w:vAlign w:val="center"/>
          </w:tcPr>
          <w:p w14:paraId="43CFF30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NS</w:t>
            </w:r>
          </w:p>
        </w:tc>
      </w:tr>
      <w:tr w14:paraId="2378842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63" w:hRule="atLeast"/>
        </w:trPr>
        <w:tc>
          <w:tcPr>
            <w:tcW w:w="0" w:type="auto"/>
            <w:tcBorders>
              <w:top w:val="nil"/>
              <w:left w:val="nil"/>
              <w:bottom w:val="nil"/>
              <w:right w:val="nil"/>
            </w:tcBorders>
            <w:vAlign w:val="center"/>
          </w:tcPr>
          <w:p w14:paraId="26E0FDF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pH</w:t>
            </w:r>
          </w:p>
        </w:tc>
        <w:tc>
          <w:tcPr>
            <w:tcW w:w="0" w:type="auto"/>
            <w:tcBorders>
              <w:top w:val="nil"/>
              <w:left w:val="nil"/>
              <w:bottom w:val="nil"/>
              <w:right w:val="nil"/>
            </w:tcBorders>
            <w:vAlign w:val="center"/>
          </w:tcPr>
          <w:p w14:paraId="207B898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4.061</w:t>
            </w:r>
          </w:p>
        </w:tc>
        <w:tc>
          <w:tcPr>
            <w:tcW w:w="0" w:type="auto"/>
            <w:tcBorders>
              <w:top w:val="nil"/>
              <w:left w:val="nil"/>
              <w:bottom w:val="nil"/>
              <w:right w:val="nil"/>
            </w:tcBorders>
            <w:vAlign w:val="center"/>
          </w:tcPr>
          <w:p w14:paraId="3E56EA1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0.037</w:t>
            </w:r>
          </w:p>
        </w:tc>
        <w:tc>
          <w:tcPr>
            <w:tcW w:w="0" w:type="auto"/>
            <w:tcBorders>
              <w:top w:val="nil"/>
              <w:left w:val="nil"/>
              <w:bottom w:val="nil"/>
              <w:right w:val="nil"/>
            </w:tcBorders>
            <w:vAlign w:val="center"/>
          </w:tcPr>
          <w:p w14:paraId="2760229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0.337</w:t>
            </w:r>
          </w:p>
        </w:tc>
        <w:tc>
          <w:tcPr>
            <w:tcW w:w="0" w:type="auto"/>
            <w:tcBorders>
              <w:top w:val="nil"/>
              <w:left w:val="nil"/>
              <w:bottom w:val="nil"/>
              <w:right w:val="nil"/>
            </w:tcBorders>
            <w:vAlign w:val="center"/>
          </w:tcPr>
          <w:p w14:paraId="2E1CD73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i/>
                <w:iCs/>
                <w:kern w:val="0"/>
                <w:sz w:val="28"/>
                <w:szCs w:val="28"/>
                <w14:ligatures w14:val="none"/>
              </w:rPr>
              <w:t>Significant</w:t>
            </w:r>
          </w:p>
        </w:tc>
      </w:tr>
      <w:tr w14:paraId="251BF6C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63" w:hRule="atLeast"/>
        </w:trPr>
        <w:tc>
          <w:tcPr>
            <w:tcW w:w="0" w:type="auto"/>
            <w:tcBorders>
              <w:top w:val="nil"/>
              <w:left w:val="nil"/>
              <w:bottom w:val="single" w:color="auto" w:sz="4" w:space="0"/>
              <w:right w:val="nil"/>
            </w:tcBorders>
            <w:vAlign w:val="center"/>
          </w:tcPr>
          <w:p w14:paraId="6173016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CEC</w:t>
            </w:r>
          </w:p>
        </w:tc>
        <w:tc>
          <w:tcPr>
            <w:tcW w:w="0" w:type="auto"/>
            <w:tcBorders>
              <w:top w:val="nil"/>
              <w:left w:val="nil"/>
              <w:bottom w:val="single" w:color="auto" w:sz="4" w:space="0"/>
              <w:right w:val="nil"/>
            </w:tcBorders>
            <w:vAlign w:val="center"/>
          </w:tcPr>
          <w:p w14:paraId="140A4EA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0.923</w:t>
            </w:r>
          </w:p>
        </w:tc>
        <w:tc>
          <w:tcPr>
            <w:tcW w:w="0" w:type="auto"/>
            <w:tcBorders>
              <w:top w:val="nil"/>
              <w:left w:val="nil"/>
              <w:bottom w:val="single" w:color="auto" w:sz="4" w:space="0"/>
              <w:right w:val="nil"/>
            </w:tcBorders>
            <w:vAlign w:val="center"/>
          </w:tcPr>
          <w:p w14:paraId="6A77010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0.418</w:t>
            </w:r>
          </w:p>
        </w:tc>
        <w:tc>
          <w:tcPr>
            <w:tcW w:w="0" w:type="auto"/>
            <w:tcBorders>
              <w:top w:val="nil"/>
              <w:left w:val="nil"/>
              <w:bottom w:val="single" w:color="auto" w:sz="4" w:space="0"/>
              <w:right w:val="nil"/>
            </w:tcBorders>
            <w:vAlign w:val="center"/>
          </w:tcPr>
          <w:p w14:paraId="7270410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0.103</w:t>
            </w:r>
          </w:p>
        </w:tc>
        <w:tc>
          <w:tcPr>
            <w:tcW w:w="0" w:type="auto"/>
            <w:tcBorders>
              <w:top w:val="nil"/>
              <w:left w:val="nil"/>
              <w:bottom w:val="single" w:color="auto" w:sz="4" w:space="0"/>
              <w:right w:val="nil"/>
            </w:tcBorders>
            <w:vAlign w:val="center"/>
          </w:tcPr>
          <w:p w14:paraId="577B028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NS</w:t>
            </w:r>
          </w:p>
        </w:tc>
      </w:tr>
    </w:tbl>
    <w:p w14:paraId="3CD77AC0">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sz w:val="28"/>
          <w:szCs w:val="28"/>
          <w14:ligatures w14:val="none"/>
        </w:rPr>
        <w:t xml:space="preserve">Table 3.8: </w:t>
      </w:r>
      <w:r>
        <w:rPr>
          <w:rFonts w:ascii="Times New Roman" w:hAnsi="Times New Roman" w:eastAsia="Calibri" w:cs="Times New Roman"/>
          <w:sz w:val="28"/>
          <w:szCs w:val="28"/>
          <w14:ligatures w14:val="none"/>
        </w:rPr>
        <w:t>Tukey Post-hoc Comparisons Between Zones for Soil Variables:</w:t>
      </w:r>
      <w:r>
        <w:rPr>
          <w:rFonts w:ascii="Times New Roman" w:hAnsi="Times New Roman" w:eastAsia="Calibri" w:cs="Times New Roman"/>
          <w:sz w:val="24"/>
          <w:szCs w:val="24"/>
          <w14:ligatures w14:val="none"/>
        </w:rPr>
        <w:t xml:space="preserve"> Author source</w:t>
      </w:r>
    </w:p>
    <w:tbl>
      <w:tblPr>
        <w:tblStyle w:val="19"/>
        <w:tblW w:w="9547"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1327"/>
        <w:gridCol w:w="2704"/>
        <w:gridCol w:w="2347"/>
        <w:gridCol w:w="1576"/>
        <w:gridCol w:w="1593"/>
      </w:tblGrid>
      <w:tr w14:paraId="4F8CCD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2" w:hRule="atLeast"/>
        </w:trPr>
        <w:tc>
          <w:tcPr>
            <w:tcW w:w="0" w:type="auto"/>
            <w:tcBorders>
              <w:top w:val="single" w:color="auto" w:sz="4" w:space="0"/>
              <w:left w:val="nil"/>
              <w:bottom w:val="single" w:color="auto" w:sz="4" w:space="0"/>
              <w:right w:val="nil"/>
            </w:tcBorders>
            <w:vAlign w:val="center"/>
          </w:tcPr>
          <w:p w14:paraId="318CE9A6">
            <w:pPr>
              <w:spacing w:before="100" w:beforeAutospacing="1" w:after="0" w:line="256" w:lineRule="auto"/>
              <w:rPr>
                <w:rFonts w:ascii="Times New Roman" w:hAnsi="Times New Roman" w:eastAsia="SimSun" w:cs="Times New Roman"/>
                <w:b/>
                <w:bCs/>
                <w:kern w:val="0"/>
                <w:sz w:val="28"/>
                <w:szCs w:val="28"/>
                <w14:ligatures w14:val="none"/>
              </w:rPr>
            </w:pPr>
            <w:r>
              <w:rPr>
                <w:rFonts w:ascii="Times New Roman" w:hAnsi="Times New Roman" w:eastAsia="Times New Roman" w:cs="Times New Roman"/>
                <w:b/>
                <w:bCs/>
                <w:kern w:val="0"/>
                <w:sz w:val="28"/>
                <w:szCs w:val="28"/>
                <w14:ligatures w14:val="none"/>
              </w:rPr>
              <w:t>Variable</w:t>
            </w:r>
          </w:p>
        </w:tc>
        <w:tc>
          <w:tcPr>
            <w:tcW w:w="0" w:type="auto"/>
            <w:tcBorders>
              <w:top w:val="single" w:color="auto" w:sz="4" w:space="0"/>
              <w:left w:val="nil"/>
              <w:bottom w:val="single" w:color="auto" w:sz="4" w:space="0"/>
              <w:right w:val="nil"/>
            </w:tcBorders>
            <w:vAlign w:val="center"/>
          </w:tcPr>
          <w:p w14:paraId="05EC4D3D">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Comparison</w:t>
            </w:r>
          </w:p>
        </w:tc>
        <w:tc>
          <w:tcPr>
            <w:tcW w:w="0" w:type="auto"/>
            <w:tcBorders>
              <w:top w:val="single" w:color="auto" w:sz="4" w:space="0"/>
              <w:left w:val="nil"/>
              <w:bottom w:val="single" w:color="auto" w:sz="4" w:space="0"/>
              <w:right w:val="nil"/>
            </w:tcBorders>
            <w:vAlign w:val="center"/>
          </w:tcPr>
          <w:p w14:paraId="555BDF05">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Mean Difference</w:t>
            </w:r>
          </w:p>
        </w:tc>
        <w:tc>
          <w:tcPr>
            <w:tcW w:w="0" w:type="auto"/>
            <w:tcBorders>
              <w:top w:val="single" w:color="auto" w:sz="4" w:space="0"/>
              <w:left w:val="nil"/>
              <w:bottom w:val="single" w:color="auto" w:sz="4" w:space="0"/>
              <w:right w:val="nil"/>
            </w:tcBorders>
            <w:vAlign w:val="center"/>
          </w:tcPr>
          <w:p w14:paraId="4087B60E">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p-adjusted</w:t>
            </w:r>
          </w:p>
        </w:tc>
        <w:tc>
          <w:tcPr>
            <w:tcW w:w="0" w:type="auto"/>
            <w:tcBorders>
              <w:top w:val="single" w:color="auto" w:sz="4" w:space="0"/>
              <w:left w:val="nil"/>
              <w:bottom w:val="single" w:color="auto" w:sz="4" w:space="0"/>
              <w:right w:val="nil"/>
            </w:tcBorders>
            <w:vAlign w:val="center"/>
          </w:tcPr>
          <w:p w14:paraId="31601EDD">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Significant</w:t>
            </w:r>
          </w:p>
        </w:tc>
      </w:tr>
      <w:tr w14:paraId="00EE578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2" w:hRule="atLeast"/>
        </w:trPr>
        <w:tc>
          <w:tcPr>
            <w:tcW w:w="0" w:type="auto"/>
            <w:tcBorders>
              <w:top w:val="single" w:color="auto" w:sz="4" w:space="0"/>
              <w:left w:val="nil"/>
              <w:bottom w:val="nil"/>
              <w:right w:val="nil"/>
            </w:tcBorders>
            <w:vAlign w:val="center"/>
          </w:tcPr>
          <w:p w14:paraId="67BCBF9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SOC</w:t>
            </w:r>
          </w:p>
        </w:tc>
        <w:tc>
          <w:tcPr>
            <w:tcW w:w="0" w:type="auto"/>
            <w:tcBorders>
              <w:top w:val="single" w:color="auto" w:sz="4" w:space="0"/>
              <w:left w:val="nil"/>
              <w:bottom w:val="nil"/>
              <w:right w:val="nil"/>
            </w:tcBorders>
            <w:vAlign w:val="center"/>
          </w:tcPr>
          <w:p w14:paraId="4F0FFDF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Peri-Urban vs Rural</w:t>
            </w:r>
          </w:p>
        </w:tc>
        <w:tc>
          <w:tcPr>
            <w:tcW w:w="0" w:type="auto"/>
            <w:tcBorders>
              <w:top w:val="single" w:color="auto" w:sz="4" w:space="0"/>
              <w:left w:val="nil"/>
              <w:bottom w:val="nil"/>
              <w:right w:val="nil"/>
            </w:tcBorders>
            <w:vAlign w:val="center"/>
          </w:tcPr>
          <w:p w14:paraId="338DF5D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-4.91</w:t>
            </w:r>
          </w:p>
        </w:tc>
        <w:tc>
          <w:tcPr>
            <w:tcW w:w="0" w:type="auto"/>
            <w:tcBorders>
              <w:top w:val="single" w:color="auto" w:sz="4" w:space="0"/>
              <w:left w:val="nil"/>
              <w:bottom w:val="nil"/>
              <w:right w:val="nil"/>
            </w:tcBorders>
            <w:vAlign w:val="center"/>
          </w:tcPr>
          <w:p w14:paraId="681C490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0.991</w:t>
            </w:r>
          </w:p>
        </w:tc>
        <w:tc>
          <w:tcPr>
            <w:tcW w:w="0" w:type="auto"/>
            <w:tcBorders>
              <w:top w:val="single" w:color="auto" w:sz="4" w:space="0"/>
              <w:left w:val="nil"/>
              <w:bottom w:val="nil"/>
              <w:right w:val="nil"/>
            </w:tcBorders>
            <w:vAlign w:val="center"/>
          </w:tcPr>
          <w:p w14:paraId="2029DC1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No</w:t>
            </w:r>
          </w:p>
        </w:tc>
      </w:tr>
      <w:tr w14:paraId="5316A4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2" w:hRule="atLeast"/>
        </w:trPr>
        <w:tc>
          <w:tcPr>
            <w:tcW w:w="0" w:type="auto"/>
            <w:tcBorders>
              <w:top w:val="nil"/>
              <w:left w:val="nil"/>
              <w:bottom w:val="nil"/>
              <w:right w:val="nil"/>
            </w:tcBorders>
            <w:vAlign w:val="center"/>
          </w:tcPr>
          <w:p w14:paraId="52A157D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SOC</w:t>
            </w:r>
          </w:p>
        </w:tc>
        <w:tc>
          <w:tcPr>
            <w:tcW w:w="0" w:type="auto"/>
            <w:tcBorders>
              <w:top w:val="nil"/>
              <w:left w:val="nil"/>
              <w:bottom w:val="nil"/>
              <w:right w:val="nil"/>
            </w:tcBorders>
            <w:vAlign w:val="center"/>
          </w:tcPr>
          <w:p w14:paraId="12B4E0D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Peri-Urban vs Urban</w:t>
            </w:r>
          </w:p>
        </w:tc>
        <w:tc>
          <w:tcPr>
            <w:tcW w:w="0" w:type="auto"/>
            <w:tcBorders>
              <w:top w:val="nil"/>
              <w:left w:val="nil"/>
              <w:bottom w:val="nil"/>
              <w:right w:val="nil"/>
            </w:tcBorders>
            <w:vAlign w:val="center"/>
          </w:tcPr>
          <w:p w14:paraId="4021E9A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40.81</w:t>
            </w:r>
          </w:p>
        </w:tc>
        <w:tc>
          <w:tcPr>
            <w:tcW w:w="0" w:type="auto"/>
            <w:tcBorders>
              <w:top w:val="nil"/>
              <w:left w:val="nil"/>
              <w:bottom w:val="nil"/>
              <w:right w:val="nil"/>
            </w:tcBorders>
            <w:vAlign w:val="center"/>
          </w:tcPr>
          <w:p w14:paraId="700D6DD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0.553</w:t>
            </w:r>
          </w:p>
        </w:tc>
        <w:tc>
          <w:tcPr>
            <w:tcW w:w="0" w:type="auto"/>
            <w:tcBorders>
              <w:top w:val="nil"/>
              <w:left w:val="nil"/>
              <w:bottom w:val="nil"/>
              <w:right w:val="nil"/>
            </w:tcBorders>
            <w:vAlign w:val="center"/>
          </w:tcPr>
          <w:p w14:paraId="4E3B46C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No</w:t>
            </w:r>
          </w:p>
        </w:tc>
      </w:tr>
      <w:tr w14:paraId="5AE423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2" w:hRule="atLeast"/>
        </w:trPr>
        <w:tc>
          <w:tcPr>
            <w:tcW w:w="0" w:type="auto"/>
            <w:tcBorders>
              <w:top w:val="nil"/>
              <w:left w:val="nil"/>
              <w:bottom w:val="nil"/>
              <w:right w:val="nil"/>
            </w:tcBorders>
            <w:vAlign w:val="center"/>
          </w:tcPr>
          <w:p w14:paraId="26B726C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SOC</w:t>
            </w:r>
          </w:p>
        </w:tc>
        <w:tc>
          <w:tcPr>
            <w:tcW w:w="0" w:type="auto"/>
            <w:tcBorders>
              <w:top w:val="nil"/>
              <w:left w:val="nil"/>
              <w:bottom w:val="nil"/>
              <w:right w:val="nil"/>
            </w:tcBorders>
            <w:vAlign w:val="center"/>
          </w:tcPr>
          <w:p w14:paraId="5B58970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Rural vs Urban</w:t>
            </w:r>
          </w:p>
        </w:tc>
        <w:tc>
          <w:tcPr>
            <w:tcW w:w="0" w:type="auto"/>
            <w:tcBorders>
              <w:top w:val="nil"/>
              <w:left w:val="nil"/>
              <w:bottom w:val="nil"/>
              <w:right w:val="nil"/>
            </w:tcBorders>
            <w:vAlign w:val="center"/>
          </w:tcPr>
          <w:p w14:paraId="70A6105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45.71</w:t>
            </w:r>
          </w:p>
        </w:tc>
        <w:tc>
          <w:tcPr>
            <w:tcW w:w="0" w:type="auto"/>
            <w:tcBorders>
              <w:top w:val="nil"/>
              <w:left w:val="nil"/>
              <w:bottom w:val="nil"/>
              <w:right w:val="nil"/>
            </w:tcBorders>
            <w:vAlign w:val="center"/>
          </w:tcPr>
          <w:p w14:paraId="2DCD2FD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0.504</w:t>
            </w:r>
          </w:p>
        </w:tc>
        <w:tc>
          <w:tcPr>
            <w:tcW w:w="0" w:type="auto"/>
            <w:tcBorders>
              <w:top w:val="nil"/>
              <w:left w:val="nil"/>
              <w:bottom w:val="nil"/>
              <w:right w:val="nil"/>
            </w:tcBorders>
            <w:vAlign w:val="center"/>
          </w:tcPr>
          <w:p w14:paraId="33B2514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No</w:t>
            </w:r>
          </w:p>
        </w:tc>
      </w:tr>
      <w:tr w14:paraId="2A4A370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2" w:hRule="atLeast"/>
        </w:trPr>
        <w:tc>
          <w:tcPr>
            <w:tcW w:w="0" w:type="auto"/>
            <w:tcBorders>
              <w:top w:val="nil"/>
              <w:left w:val="nil"/>
              <w:bottom w:val="nil"/>
              <w:right w:val="nil"/>
            </w:tcBorders>
            <w:vAlign w:val="center"/>
          </w:tcPr>
          <w:p w14:paraId="7D2912A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w:t>
            </w:r>
          </w:p>
        </w:tc>
        <w:tc>
          <w:tcPr>
            <w:tcW w:w="0" w:type="auto"/>
            <w:tcBorders>
              <w:top w:val="nil"/>
              <w:left w:val="nil"/>
              <w:bottom w:val="nil"/>
              <w:right w:val="nil"/>
            </w:tcBorders>
            <w:vAlign w:val="center"/>
          </w:tcPr>
          <w:p w14:paraId="2BBDB10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Peri-Urban vs Rural</w:t>
            </w:r>
          </w:p>
        </w:tc>
        <w:tc>
          <w:tcPr>
            <w:tcW w:w="0" w:type="auto"/>
            <w:tcBorders>
              <w:top w:val="nil"/>
              <w:left w:val="nil"/>
              <w:bottom w:val="nil"/>
              <w:right w:val="nil"/>
            </w:tcBorders>
            <w:vAlign w:val="center"/>
          </w:tcPr>
          <w:p w14:paraId="273CB53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-61.19</w:t>
            </w:r>
          </w:p>
        </w:tc>
        <w:tc>
          <w:tcPr>
            <w:tcW w:w="0" w:type="auto"/>
            <w:tcBorders>
              <w:top w:val="nil"/>
              <w:left w:val="nil"/>
              <w:bottom w:val="nil"/>
              <w:right w:val="nil"/>
            </w:tcBorders>
            <w:vAlign w:val="center"/>
          </w:tcPr>
          <w:p w14:paraId="5F00620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0.863</w:t>
            </w:r>
          </w:p>
        </w:tc>
        <w:tc>
          <w:tcPr>
            <w:tcW w:w="0" w:type="auto"/>
            <w:tcBorders>
              <w:top w:val="nil"/>
              <w:left w:val="nil"/>
              <w:bottom w:val="nil"/>
              <w:right w:val="nil"/>
            </w:tcBorders>
            <w:vAlign w:val="center"/>
          </w:tcPr>
          <w:p w14:paraId="2CBEAEF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No</w:t>
            </w:r>
          </w:p>
        </w:tc>
      </w:tr>
      <w:tr w14:paraId="62F42B5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2" w:hRule="atLeast"/>
        </w:trPr>
        <w:tc>
          <w:tcPr>
            <w:tcW w:w="0" w:type="auto"/>
            <w:tcBorders>
              <w:top w:val="nil"/>
              <w:left w:val="nil"/>
              <w:bottom w:val="nil"/>
              <w:right w:val="nil"/>
            </w:tcBorders>
            <w:vAlign w:val="center"/>
          </w:tcPr>
          <w:p w14:paraId="7C2EF65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w:t>
            </w:r>
          </w:p>
        </w:tc>
        <w:tc>
          <w:tcPr>
            <w:tcW w:w="0" w:type="auto"/>
            <w:tcBorders>
              <w:top w:val="nil"/>
              <w:left w:val="nil"/>
              <w:bottom w:val="nil"/>
              <w:right w:val="nil"/>
            </w:tcBorders>
            <w:vAlign w:val="center"/>
          </w:tcPr>
          <w:p w14:paraId="30AC604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Peri-Urban vs Urban</w:t>
            </w:r>
          </w:p>
        </w:tc>
        <w:tc>
          <w:tcPr>
            <w:tcW w:w="0" w:type="auto"/>
            <w:tcBorders>
              <w:top w:val="nil"/>
              <w:left w:val="nil"/>
              <w:bottom w:val="nil"/>
              <w:right w:val="nil"/>
            </w:tcBorders>
            <w:vAlign w:val="center"/>
          </w:tcPr>
          <w:p w14:paraId="5FF6A8D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104.43</w:t>
            </w:r>
          </w:p>
        </w:tc>
        <w:tc>
          <w:tcPr>
            <w:tcW w:w="0" w:type="auto"/>
            <w:tcBorders>
              <w:top w:val="nil"/>
              <w:left w:val="nil"/>
              <w:bottom w:val="nil"/>
              <w:right w:val="nil"/>
            </w:tcBorders>
            <w:vAlign w:val="center"/>
          </w:tcPr>
          <w:p w14:paraId="14B8DFA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0.657</w:t>
            </w:r>
          </w:p>
        </w:tc>
        <w:tc>
          <w:tcPr>
            <w:tcW w:w="0" w:type="auto"/>
            <w:tcBorders>
              <w:top w:val="nil"/>
              <w:left w:val="nil"/>
              <w:bottom w:val="nil"/>
              <w:right w:val="nil"/>
            </w:tcBorders>
            <w:vAlign w:val="center"/>
          </w:tcPr>
          <w:p w14:paraId="1369F54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No</w:t>
            </w:r>
          </w:p>
        </w:tc>
      </w:tr>
      <w:tr w14:paraId="447E2A1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2" w:hRule="atLeast"/>
        </w:trPr>
        <w:tc>
          <w:tcPr>
            <w:tcW w:w="0" w:type="auto"/>
            <w:tcBorders>
              <w:top w:val="nil"/>
              <w:left w:val="nil"/>
              <w:bottom w:val="nil"/>
              <w:right w:val="nil"/>
            </w:tcBorders>
            <w:vAlign w:val="center"/>
          </w:tcPr>
          <w:p w14:paraId="4C2F946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w:t>
            </w:r>
          </w:p>
        </w:tc>
        <w:tc>
          <w:tcPr>
            <w:tcW w:w="0" w:type="auto"/>
            <w:tcBorders>
              <w:top w:val="nil"/>
              <w:left w:val="nil"/>
              <w:bottom w:val="nil"/>
              <w:right w:val="nil"/>
            </w:tcBorders>
            <w:vAlign w:val="center"/>
          </w:tcPr>
          <w:p w14:paraId="585E020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Rural vs Urban</w:t>
            </w:r>
          </w:p>
        </w:tc>
        <w:tc>
          <w:tcPr>
            <w:tcW w:w="0" w:type="auto"/>
            <w:tcBorders>
              <w:top w:val="nil"/>
              <w:left w:val="nil"/>
              <w:bottom w:val="nil"/>
              <w:right w:val="nil"/>
            </w:tcBorders>
            <w:vAlign w:val="center"/>
          </w:tcPr>
          <w:p w14:paraId="2981682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165.62</w:t>
            </w:r>
          </w:p>
        </w:tc>
        <w:tc>
          <w:tcPr>
            <w:tcW w:w="0" w:type="auto"/>
            <w:tcBorders>
              <w:top w:val="nil"/>
              <w:left w:val="nil"/>
              <w:bottom w:val="nil"/>
              <w:right w:val="nil"/>
            </w:tcBorders>
            <w:vAlign w:val="center"/>
          </w:tcPr>
          <w:p w14:paraId="6485087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0.387</w:t>
            </w:r>
          </w:p>
        </w:tc>
        <w:tc>
          <w:tcPr>
            <w:tcW w:w="0" w:type="auto"/>
            <w:tcBorders>
              <w:top w:val="nil"/>
              <w:left w:val="nil"/>
              <w:bottom w:val="nil"/>
              <w:right w:val="nil"/>
            </w:tcBorders>
            <w:vAlign w:val="center"/>
          </w:tcPr>
          <w:p w14:paraId="5EA3945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No</w:t>
            </w:r>
          </w:p>
        </w:tc>
      </w:tr>
      <w:tr w14:paraId="3FE1FF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309" w:hRule="atLeast"/>
        </w:trPr>
        <w:tc>
          <w:tcPr>
            <w:tcW w:w="0" w:type="auto"/>
            <w:tcBorders>
              <w:top w:val="nil"/>
              <w:left w:val="nil"/>
              <w:bottom w:val="nil"/>
              <w:right w:val="nil"/>
            </w:tcBorders>
            <w:vAlign w:val="center"/>
          </w:tcPr>
          <w:p w14:paraId="37218A7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BD</w:t>
            </w:r>
          </w:p>
        </w:tc>
        <w:tc>
          <w:tcPr>
            <w:tcW w:w="0" w:type="auto"/>
            <w:tcBorders>
              <w:top w:val="nil"/>
              <w:left w:val="nil"/>
              <w:bottom w:val="nil"/>
              <w:right w:val="nil"/>
            </w:tcBorders>
            <w:vAlign w:val="center"/>
          </w:tcPr>
          <w:p w14:paraId="1CC92C4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Peri-Urban vs Rural</w:t>
            </w:r>
          </w:p>
        </w:tc>
        <w:tc>
          <w:tcPr>
            <w:tcW w:w="0" w:type="auto"/>
            <w:tcBorders>
              <w:top w:val="nil"/>
              <w:left w:val="nil"/>
              <w:bottom w:val="nil"/>
              <w:right w:val="nil"/>
            </w:tcBorders>
            <w:vAlign w:val="center"/>
          </w:tcPr>
          <w:p w14:paraId="6CB56D9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0.297</w:t>
            </w:r>
          </w:p>
        </w:tc>
        <w:tc>
          <w:tcPr>
            <w:tcW w:w="0" w:type="auto"/>
            <w:tcBorders>
              <w:top w:val="nil"/>
              <w:left w:val="nil"/>
              <w:bottom w:val="nil"/>
              <w:right w:val="nil"/>
            </w:tcBorders>
            <w:vAlign w:val="center"/>
          </w:tcPr>
          <w:p w14:paraId="073A687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0.964</w:t>
            </w:r>
          </w:p>
        </w:tc>
        <w:tc>
          <w:tcPr>
            <w:tcW w:w="0" w:type="auto"/>
            <w:tcBorders>
              <w:top w:val="nil"/>
              <w:left w:val="nil"/>
              <w:bottom w:val="nil"/>
              <w:right w:val="nil"/>
            </w:tcBorders>
            <w:vAlign w:val="center"/>
          </w:tcPr>
          <w:p w14:paraId="66C57337">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No</w:t>
            </w:r>
          </w:p>
        </w:tc>
      </w:tr>
      <w:tr w14:paraId="199BEE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2" w:hRule="atLeast"/>
        </w:trPr>
        <w:tc>
          <w:tcPr>
            <w:tcW w:w="0" w:type="auto"/>
            <w:tcBorders>
              <w:top w:val="nil"/>
              <w:left w:val="nil"/>
              <w:bottom w:val="nil"/>
              <w:right w:val="nil"/>
            </w:tcBorders>
            <w:vAlign w:val="center"/>
          </w:tcPr>
          <w:p w14:paraId="5C1BD72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BD</w:t>
            </w:r>
          </w:p>
        </w:tc>
        <w:tc>
          <w:tcPr>
            <w:tcW w:w="0" w:type="auto"/>
            <w:tcBorders>
              <w:top w:val="nil"/>
              <w:left w:val="nil"/>
              <w:bottom w:val="nil"/>
              <w:right w:val="nil"/>
            </w:tcBorders>
            <w:vAlign w:val="center"/>
          </w:tcPr>
          <w:p w14:paraId="331B1FC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Peri-Urban vs Urban</w:t>
            </w:r>
          </w:p>
        </w:tc>
        <w:tc>
          <w:tcPr>
            <w:tcW w:w="0" w:type="auto"/>
            <w:tcBorders>
              <w:top w:val="nil"/>
              <w:left w:val="nil"/>
              <w:bottom w:val="nil"/>
              <w:right w:val="nil"/>
            </w:tcBorders>
            <w:vAlign w:val="center"/>
          </w:tcPr>
          <w:p w14:paraId="329E2EB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-0.512</w:t>
            </w:r>
          </w:p>
        </w:tc>
        <w:tc>
          <w:tcPr>
            <w:tcW w:w="0" w:type="auto"/>
            <w:tcBorders>
              <w:top w:val="nil"/>
              <w:left w:val="nil"/>
              <w:bottom w:val="nil"/>
              <w:right w:val="nil"/>
            </w:tcBorders>
            <w:vAlign w:val="center"/>
          </w:tcPr>
          <w:p w14:paraId="7973092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0.898</w:t>
            </w:r>
          </w:p>
        </w:tc>
        <w:tc>
          <w:tcPr>
            <w:tcW w:w="0" w:type="auto"/>
            <w:tcBorders>
              <w:top w:val="nil"/>
              <w:left w:val="nil"/>
              <w:bottom w:val="nil"/>
              <w:right w:val="nil"/>
            </w:tcBorders>
            <w:vAlign w:val="center"/>
          </w:tcPr>
          <w:p w14:paraId="4D32315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No</w:t>
            </w:r>
          </w:p>
        </w:tc>
      </w:tr>
      <w:tr w14:paraId="3BE7C37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2" w:hRule="atLeast"/>
        </w:trPr>
        <w:tc>
          <w:tcPr>
            <w:tcW w:w="0" w:type="auto"/>
            <w:tcBorders>
              <w:top w:val="nil"/>
              <w:left w:val="nil"/>
              <w:bottom w:val="nil"/>
              <w:right w:val="nil"/>
            </w:tcBorders>
            <w:vAlign w:val="center"/>
          </w:tcPr>
          <w:p w14:paraId="0E1EABC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BD</w:t>
            </w:r>
          </w:p>
        </w:tc>
        <w:tc>
          <w:tcPr>
            <w:tcW w:w="0" w:type="auto"/>
            <w:tcBorders>
              <w:top w:val="nil"/>
              <w:left w:val="nil"/>
              <w:bottom w:val="nil"/>
              <w:right w:val="nil"/>
            </w:tcBorders>
            <w:vAlign w:val="center"/>
          </w:tcPr>
          <w:p w14:paraId="49AF91A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Rural vs Urban</w:t>
            </w:r>
          </w:p>
        </w:tc>
        <w:tc>
          <w:tcPr>
            <w:tcW w:w="0" w:type="auto"/>
            <w:tcBorders>
              <w:top w:val="nil"/>
              <w:left w:val="nil"/>
              <w:bottom w:val="nil"/>
              <w:right w:val="nil"/>
            </w:tcBorders>
            <w:vAlign w:val="center"/>
          </w:tcPr>
          <w:p w14:paraId="6F72C61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-0.809</w:t>
            </w:r>
          </w:p>
        </w:tc>
        <w:tc>
          <w:tcPr>
            <w:tcW w:w="0" w:type="auto"/>
            <w:tcBorders>
              <w:top w:val="nil"/>
              <w:left w:val="nil"/>
              <w:bottom w:val="nil"/>
              <w:right w:val="nil"/>
            </w:tcBorders>
            <w:vAlign w:val="center"/>
          </w:tcPr>
          <w:p w14:paraId="21277E0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0.780</w:t>
            </w:r>
          </w:p>
        </w:tc>
        <w:tc>
          <w:tcPr>
            <w:tcW w:w="0" w:type="auto"/>
            <w:tcBorders>
              <w:top w:val="nil"/>
              <w:left w:val="nil"/>
              <w:bottom w:val="nil"/>
              <w:right w:val="nil"/>
            </w:tcBorders>
            <w:vAlign w:val="center"/>
          </w:tcPr>
          <w:p w14:paraId="031AF2F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No</w:t>
            </w:r>
          </w:p>
        </w:tc>
      </w:tr>
      <w:tr w14:paraId="5FE3234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2" w:hRule="atLeast"/>
        </w:trPr>
        <w:tc>
          <w:tcPr>
            <w:tcW w:w="0" w:type="auto"/>
            <w:tcBorders>
              <w:top w:val="nil"/>
              <w:left w:val="nil"/>
              <w:bottom w:val="nil"/>
              <w:right w:val="nil"/>
            </w:tcBorders>
            <w:vAlign w:val="center"/>
          </w:tcPr>
          <w:p w14:paraId="4541E4D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pH</w:t>
            </w:r>
          </w:p>
        </w:tc>
        <w:tc>
          <w:tcPr>
            <w:tcW w:w="0" w:type="auto"/>
            <w:tcBorders>
              <w:top w:val="nil"/>
              <w:left w:val="nil"/>
              <w:bottom w:val="nil"/>
              <w:right w:val="nil"/>
            </w:tcBorders>
            <w:vAlign w:val="center"/>
          </w:tcPr>
          <w:p w14:paraId="0BF45F87">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Peri-Urban vs Rural</w:t>
            </w:r>
          </w:p>
        </w:tc>
        <w:tc>
          <w:tcPr>
            <w:tcW w:w="0" w:type="auto"/>
            <w:tcBorders>
              <w:top w:val="nil"/>
              <w:left w:val="nil"/>
              <w:bottom w:val="nil"/>
              <w:right w:val="nil"/>
            </w:tcBorders>
            <w:vAlign w:val="center"/>
          </w:tcPr>
          <w:p w14:paraId="39016E9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0.224</w:t>
            </w:r>
          </w:p>
        </w:tc>
        <w:tc>
          <w:tcPr>
            <w:tcW w:w="0" w:type="auto"/>
            <w:tcBorders>
              <w:top w:val="nil"/>
              <w:left w:val="nil"/>
              <w:bottom w:val="nil"/>
              <w:right w:val="nil"/>
            </w:tcBorders>
            <w:vAlign w:val="center"/>
          </w:tcPr>
          <w:p w14:paraId="06FCB20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0.955</w:t>
            </w:r>
          </w:p>
        </w:tc>
        <w:tc>
          <w:tcPr>
            <w:tcW w:w="0" w:type="auto"/>
            <w:tcBorders>
              <w:top w:val="nil"/>
              <w:left w:val="nil"/>
              <w:bottom w:val="nil"/>
              <w:right w:val="nil"/>
            </w:tcBorders>
            <w:vAlign w:val="center"/>
          </w:tcPr>
          <w:p w14:paraId="2746BD9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No</w:t>
            </w:r>
          </w:p>
        </w:tc>
      </w:tr>
      <w:tr w14:paraId="0A34941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2" w:hRule="atLeast"/>
        </w:trPr>
        <w:tc>
          <w:tcPr>
            <w:tcW w:w="0" w:type="auto"/>
            <w:tcBorders>
              <w:top w:val="nil"/>
              <w:left w:val="nil"/>
              <w:bottom w:val="nil"/>
              <w:right w:val="nil"/>
            </w:tcBorders>
            <w:vAlign w:val="center"/>
          </w:tcPr>
          <w:p w14:paraId="27CDAFE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pH</w:t>
            </w:r>
          </w:p>
        </w:tc>
        <w:tc>
          <w:tcPr>
            <w:tcW w:w="0" w:type="auto"/>
            <w:tcBorders>
              <w:top w:val="nil"/>
              <w:left w:val="nil"/>
              <w:bottom w:val="nil"/>
              <w:right w:val="nil"/>
            </w:tcBorders>
            <w:vAlign w:val="center"/>
          </w:tcPr>
          <w:p w14:paraId="18E187C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Peri-Urban vs Urban</w:t>
            </w:r>
          </w:p>
        </w:tc>
        <w:tc>
          <w:tcPr>
            <w:tcW w:w="0" w:type="auto"/>
            <w:tcBorders>
              <w:top w:val="nil"/>
              <w:left w:val="nil"/>
              <w:bottom w:val="nil"/>
              <w:right w:val="nil"/>
            </w:tcBorders>
            <w:vAlign w:val="center"/>
          </w:tcPr>
          <w:p w14:paraId="1F22E83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2.050</w:t>
            </w:r>
          </w:p>
        </w:tc>
        <w:tc>
          <w:tcPr>
            <w:tcW w:w="0" w:type="auto"/>
            <w:tcBorders>
              <w:top w:val="nil"/>
              <w:left w:val="nil"/>
              <w:bottom w:val="nil"/>
              <w:right w:val="nil"/>
            </w:tcBorders>
            <w:vAlign w:val="center"/>
          </w:tcPr>
          <w:p w14:paraId="1933305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0.044</w:t>
            </w:r>
          </w:p>
        </w:tc>
        <w:tc>
          <w:tcPr>
            <w:tcW w:w="0" w:type="auto"/>
            <w:tcBorders>
              <w:top w:val="nil"/>
              <w:left w:val="nil"/>
              <w:bottom w:val="nil"/>
              <w:right w:val="nil"/>
            </w:tcBorders>
            <w:vAlign w:val="center"/>
          </w:tcPr>
          <w:p w14:paraId="5BD15EF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Yes</w:t>
            </w:r>
          </w:p>
        </w:tc>
      </w:tr>
      <w:tr w14:paraId="08241BA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2" w:hRule="atLeast"/>
        </w:trPr>
        <w:tc>
          <w:tcPr>
            <w:tcW w:w="0" w:type="auto"/>
            <w:tcBorders>
              <w:top w:val="nil"/>
              <w:left w:val="nil"/>
              <w:bottom w:val="nil"/>
              <w:right w:val="nil"/>
            </w:tcBorders>
            <w:vAlign w:val="center"/>
          </w:tcPr>
          <w:p w14:paraId="1E218A2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pH</w:t>
            </w:r>
          </w:p>
        </w:tc>
        <w:tc>
          <w:tcPr>
            <w:tcW w:w="0" w:type="auto"/>
            <w:tcBorders>
              <w:top w:val="nil"/>
              <w:left w:val="nil"/>
              <w:bottom w:val="nil"/>
              <w:right w:val="nil"/>
            </w:tcBorders>
            <w:vAlign w:val="center"/>
          </w:tcPr>
          <w:p w14:paraId="07BDA73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Rural vs Urban</w:t>
            </w:r>
          </w:p>
        </w:tc>
        <w:tc>
          <w:tcPr>
            <w:tcW w:w="0" w:type="auto"/>
            <w:tcBorders>
              <w:top w:val="nil"/>
              <w:left w:val="nil"/>
              <w:bottom w:val="nil"/>
              <w:right w:val="nil"/>
            </w:tcBorders>
            <w:vAlign w:val="center"/>
          </w:tcPr>
          <w:p w14:paraId="11C42FB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1.826</w:t>
            </w:r>
          </w:p>
        </w:tc>
        <w:tc>
          <w:tcPr>
            <w:tcW w:w="0" w:type="auto"/>
            <w:tcBorders>
              <w:top w:val="nil"/>
              <w:left w:val="nil"/>
              <w:bottom w:val="nil"/>
              <w:right w:val="nil"/>
            </w:tcBorders>
            <w:vAlign w:val="center"/>
          </w:tcPr>
          <w:p w14:paraId="2E6821D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0.089</w:t>
            </w:r>
          </w:p>
        </w:tc>
        <w:tc>
          <w:tcPr>
            <w:tcW w:w="0" w:type="auto"/>
            <w:tcBorders>
              <w:top w:val="nil"/>
              <w:left w:val="nil"/>
              <w:bottom w:val="nil"/>
              <w:right w:val="nil"/>
            </w:tcBorders>
            <w:vAlign w:val="center"/>
          </w:tcPr>
          <w:p w14:paraId="6BE6966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No</w:t>
            </w:r>
          </w:p>
        </w:tc>
      </w:tr>
      <w:tr w14:paraId="3F673EA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2" w:hRule="atLeast"/>
        </w:trPr>
        <w:tc>
          <w:tcPr>
            <w:tcW w:w="0" w:type="auto"/>
            <w:tcBorders>
              <w:top w:val="nil"/>
              <w:left w:val="nil"/>
              <w:bottom w:val="nil"/>
              <w:right w:val="nil"/>
            </w:tcBorders>
            <w:vAlign w:val="center"/>
          </w:tcPr>
          <w:p w14:paraId="6C4668E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CEC</w:t>
            </w:r>
          </w:p>
        </w:tc>
        <w:tc>
          <w:tcPr>
            <w:tcW w:w="0" w:type="auto"/>
            <w:tcBorders>
              <w:top w:val="nil"/>
              <w:left w:val="nil"/>
              <w:bottom w:val="nil"/>
              <w:right w:val="nil"/>
            </w:tcBorders>
            <w:vAlign w:val="center"/>
          </w:tcPr>
          <w:p w14:paraId="64325FF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Peri-Urban vs Rural</w:t>
            </w:r>
          </w:p>
        </w:tc>
        <w:tc>
          <w:tcPr>
            <w:tcW w:w="0" w:type="auto"/>
            <w:tcBorders>
              <w:top w:val="nil"/>
              <w:left w:val="nil"/>
              <w:bottom w:val="nil"/>
              <w:right w:val="nil"/>
            </w:tcBorders>
            <w:vAlign w:val="center"/>
          </w:tcPr>
          <w:p w14:paraId="7B97A97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-11.79</w:t>
            </w:r>
          </w:p>
        </w:tc>
        <w:tc>
          <w:tcPr>
            <w:tcW w:w="0" w:type="auto"/>
            <w:tcBorders>
              <w:top w:val="nil"/>
              <w:left w:val="nil"/>
              <w:bottom w:val="nil"/>
              <w:right w:val="nil"/>
            </w:tcBorders>
            <w:vAlign w:val="center"/>
          </w:tcPr>
          <w:p w14:paraId="044C4EC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0.532</w:t>
            </w:r>
          </w:p>
        </w:tc>
        <w:tc>
          <w:tcPr>
            <w:tcW w:w="0" w:type="auto"/>
            <w:tcBorders>
              <w:top w:val="nil"/>
              <w:left w:val="nil"/>
              <w:bottom w:val="nil"/>
              <w:right w:val="nil"/>
            </w:tcBorders>
            <w:vAlign w:val="center"/>
          </w:tcPr>
          <w:p w14:paraId="7E773CD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No</w:t>
            </w:r>
          </w:p>
        </w:tc>
      </w:tr>
      <w:tr w14:paraId="6DC851D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2" w:hRule="atLeast"/>
        </w:trPr>
        <w:tc>
          <w:tcPr>
            <w:tcW w:w="0" w:type="auto"/>
            <w:tcBorders>
              <w:top w:val="nil"/>
              <w:left w:val="nil"/>
              <w:bottom w:val="nil"/>
              <w:right w:val="nil"/>
            </w:tcBorders>
            <w:vAlign w:val="center"/>
          </w:tcPr>
          <w:p w14:paraId="76DA9DF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CEC</w:t>
            </w:r>
          </w:p>
        </w:tc>
        <w:tc>
          <w:tcPr>
            <w:tcW w:w="0" w:type="auto"/>
            <w:tcBorders>
              <w:top w:val="nil"/>
              <w:left w:val="nil"/>
              <w:bottom w:val="nil"/>
              <w:right w:val="nil"/>
            </w:tcBorders>
            <w:vAlign w:val="center"/>
          </w:tcPr>
          <w:p w14:paraId="3BEC34F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Peri-Urban vs Urban</w:t>
            </w:r>
          </w:p>
        </w:tc>
        <w:tc>
          <w:tcPr>
            <w:tcW w:w="0" w:type="auto"/>
            <w:tcBorders>
              <w:top w:val="nil"/>
              <w:left w:val="nil"/>
              <w:bottom w:val="nil"/>
              <w:right w:val="nil"/>
            </w:tcBorders>
            <w:vAlign w:val="center"/>
          </w:tcPr>
          <w:p w14:paraId="6FB91FA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2.28</w:t>
            </w:r>
          </w:p>
        </w:tc>
        <w:tc>
          <w:tcPr>
            <w:tcW w:w="0" w:type="auto"/>
            <w:tcBorders>
              <w:top w:val="nil"/>
              <w:left w:val="nil"/>
              <w:bottom w:val="nil"/>
              <w:right w:val="nil"/>
            </w:tcBorders>
            <w:vAlign w:val="center"/>
          </w:tcPr>
          <w:p w14:paraId="2C012D47">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0.976</w:t>
            </w:r>
          </w:p>
        </w:tc>
        <w:tc>
          <w:tcPr>
            <w:tcW w:w="0" w:type="auto"/>
            <w:tcBorders>
              <w:top w:val="nil"/>
              <w:left w:val="nil"/>
              <w:bottom w:val="nil"/>
              <w:right w:val="nil"/>
            </w:tcBorders>
            <w:vAlign w:val="center"/>
          </w:tcPr>
          <w:p w14:paraId="4432D95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No</w:t>
            </w:r>
          </w:p>
        </w:tc>
      </w:tr>
      <w:tr w14:paraId="7A2CEF7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2" w:hRule="atLeast"/>
        </w:trPr>
        <w:tc>
          <w:tcPr>
            <w:tcW w:w="0" w:type="auto"/>
            <w:tcBorders>
              <w:top w:val="nil"/>
              <w:left w:val="nil"/>
              <w:bottom w:val="single" w:color="auto" w:sz="4" w:space="0"/>
              <w:right w:val="nil"/>
            </w:tcBorders>
            <w:vAlign w:val="center"/>
          </w:tcPr>
          <w:p w14:paraId="38F9902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CEC</w:t>
            </w:r>
          </w:p>
        </w:tc>
        <w:tc>
          <w:tcPr>
            <w:tcW w:w="0" w:type="auto"/>
            <w:tcBorders>
              <w:top w:val="nil"/>
              <w:left w:val="nil"/>
              <w:bottom w:val="single" w:color="auto" w:sz="4" w:space="0"/>
              <w:right w:val="nil"/>
            </w:tcBorders>
            <w:vAlign w:val="center"/>
          </w:tcPr>
          <w:p w14:paraId="591B442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Rural vs Urban</w:t>
            </w:r>
          </w:p>
        </w:tc>
        <w:tc>
          <w:tcPr>
            <w:tcW w:w="0" w:type="auto"/>
            <w:tcBorders>
              <w:top w:val="nil"/>
              <w:left w:val="nil"/>
              <w:bottom w:val="single" w:color="auto" w:sz="4" w:space="0"/>
              <w:right w:val="nil"/>
            </w:tcBorders>
            <w:vAlign w:val="center"/>
          </w:tcPr>
          <w:p w14:paraId="0611E01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14.06</w:t>
            </w:r>
          </w:p>
        </w:tc>
        <w:tc>
          <w:tcPr>
            <w:tcW w:w="0" w:type="auto"/>
            <w:tcBorders>
              <w:top w:val="nil"/>
              <w:left w:val="nil"/>
              <w:bottom w:val="single" w:color="auto" w:sz="4" w:space="0"/>
              <w:right w:val="nil"/>
            </w:tcBorders>
            <w:vAlign w:val="center"/>
          </w:tcPr>
          <w:p w14:paraId="76CF738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0.439</w:t>
            </w:r>
          </w:p>
        </w:tc>
        <w:tc>
          <w:tcPr>
            <w:tcW w:w="0" w:type="auto"/>
            <w:tcBorders>
              <w:top w:val="nil"/>
              <w:left w:val="nil"/>
              <w:bottom w:val="single" w:color="auto" w:sz="4" w:space="0"/>
              <w:right w:val="nil"/>
            </w:tcBorders>
            <w:vAlign w:val="center"/>
          </w:tcPr>
          <w:p w14:paraId="0F8EF3D5">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No</w:t>
            </w:r>
          </w:p>
        </w:tc>
      </w:tr>
    </w:tbl>
    <w:p w14:paraId="28EAC3AE">
      <w:pPr>
        <w:spacing w:before="100" w:beforeAutospacing="1" w:line="273" w:lineRule="auto"/>
        <w:jc w:val="both"/>
        <w:rPr>
          <w:rFonts w:ascii="Times New Roman" w:hAnsi="Times New Roman" w:eastAsia="Calibri" w:cs="Times New Roman"/>
          <w:sz w:val="32"/>
          <w:szCs w:val="32"/>
          <w14:ligatures w14:val="none"/>
        </w:rPr>
      </w:pPr>
      <w:r>
        <w:rPr>
          <w:rFonts w:ascii="Times New Roman" w:hAnsi="Times New Roman" w:eastAsia="Calibri" w:cs="Times New Roman"/>
          <w:sz w:val="28"/>
          <w:szCs w:val="28"/>
          <w14:ligatures w14:val="none"/>
        </w:rPr>
        <w:t xml:space="preserve"> </w:t>
      </w:r>
    </w:p>
    <w:p w14:paraId="5161A6FA">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64" w:name="_Toc215220515"/>
      <w:r>
        <w:rPr>
          <w:rFonts w:ascii="Times New Roman" w:hAnsi="Times New Roman" w:eastAsia="DengXian Light" w:cs="Times New Roman"/>
          <w:b/>
          <w:bCs/>
          <w:sz w:val="32"/>
          <w:szCs w:val="32"/>
          <w14:ligatures w14:val="none"/>
        </w:rPr>
        <w:t>3.4 Vegetation Index (NDVI/EVI) Results</w:t>
      </w:r>
      <w:bookmarkEnd w:id="64"/>
    </w:p>
    <w:p w14:paraId="2A4FAA93">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65" w:name="_Toc215220516"/>
      <w:r>
        <w:rPr>
          <w:rFonts w:ascii="Times New Roman" w:hAnsi="Times New Roman" w:eastAsia="DengXian Light" w:cs="Times New Roman"/>
          <w:b/>
          <w:bCs/>
          <w:sz w:val="32"/>
          <w:szCs w:val="32"/>
          <w14:ligatures w14:val="none"/>
        </w:rPr>
        <w:t>3.4.1 NDVI and EVI Summary by Zone</w:t>
      </w:r>
      <w:bookmarkEnd w:id="65"/>
    </w:p>
    <w:p w14:paraId="110D2D09">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Vegetation dynamics across the urban gradient were assessed using the NDVI and the EVI. Mean values and standard deviations were calculated for each zone (Rural, Peri-Urban, and Urban) to evaluate the response of vegetation cover to urbanization pressures see Table 3.9 and Figure 3.4. </w:t>
      </w:r>
    </w:p>
    <w:p w14:paraId="014DA92F">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findings shows that rural areas exhibit the highest vegetation indices, with a mean NDVI of 0.48 and a mean EVI of 0.31, reflecting relatively dense and healthy vegetation cover. Also, the Peri-urban gradients shows the intermediate values of (NDVI = 0.43, EVI = 0.28), suggesting partial modification of the landscape due to human activity. Urban zones have the lowest indices (NDVI = 0.28, EVI = 0.17), highlighting the reduction in vegetation cover associated with intensive urbanization.</w:t>
      </w:r>
    </w:p>
    <w:p w14:paraId="1B602D25">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sz w:val="28"/>
          <w:szCs w:val="28"/>
          <w14:ligatures w14:val="none"/>
        </w:rPr>
        <w:t>Table 3.9:</w:t>
      </w:r>
      <w:r>
        <w:rPr>
          <w:rFonts w:ascii="Times New Roman" w:hAnsi="Times New Roman" w:eastAsia="Calibri" w:cs="Times New Roman"/>
          <w:sz w:val="28"/>
          <w:szCs w:val="28"/>
          <w14:ligatures w14:val="none"/>
        </w:rPr>
        <w:t xml:space="preserve"> Mean NDVI and EVI Across Zones:</w:t>
      </w:r>
      <w:r>
        <w:rPr>
          <w:rFonts w:ascii="Times New Roman" w:hAnsi="Times New Roman" w:eastAsia="Calibri" w:cs="Times New Roman"/>
          <w:sz w:val="24"/>
          <w:szCs w:val="24"/>
          <w14:ligatures w14:val="none"/>
        </w:rPr>
        <w:t xml:space="preserve"> Author source</w:t>
      </w:r>
    </w:p>
    <w:tbl>
      <w:tblPr>
        <w:tblStyle w:val="7"/>
        <w:tblW w:w="9804" w:type="dxa"/>
        <w:tblCellSpacing w:w="15" w:type="dxa"/>
        <w:tblInd w:w="63" w:type="dxa"/>
        <w:tblBorders>
          <w:top w:val="single" w:color="auto" w:sz="4" w:space="0"/>
          <w:left w:val="outset" w:color="auto" w:sz="6" w:space="0"/>
          <w:bottom w:val="single" w:color="auto" w:sz="4" w:space="0"/>
          <w:right w:val="outset" w:color="auto" w:sz="6" w:space="0"/>
          <w:insideH w:val="none" w:color="auto" w:sz="0" w:space="0"/>
          <w:insideV w:val="none" w:color="auto" w:sz="0" w:space="0"/>
        </w:tblBorders>
        <w:tblLayout w:type="autofit"/>
        <w:tblCellMar>
          <w:top w:w="15" w:type="dxa"/>
          <w:left w:w="15" w:type="dxa"/>
          <w:bottom w:w="15" w:type="dxa"/>
          <w:right w:w="15" w:type="dxa"/>
        </w:tblCellMar>
      </w:tblPr>
      <w:tblGrid>
        <w:gridCol w:w="2222"/>
        <w:gridCol w:w="3969"/>
        <w:gridCol w:w="3613"/>
      </w:tblGrid>
      <w:tr w14:paraId="07E4AD33">
        <w:tblPrEx>
          <w:tblBorders>
            <w:top w:val="single" w:color="auto" w:sz="4" w:space="0"/>
            <w:left w:val="outset" w:color="auto" w:sz="6" w:space="0"/>
            <w:bottom w:val="single" w:color="auto" w:sz="4" w:space="0"/>
            <w:right w:val="outset" w:color="auto" w:sz="6" w:space="0"/>
            <w:insideH w:val="none" w:color="auto" w:sz="0" w:space="0"/>
            <w:insideV w:val="none" w:color="auto" w:sz="0" w:space="0"/>
          </w:tblBorders>
          <w:tblCellMar>
            <w:top w:w="15" w:type="dxa"/>
            <w:left w:w="15" w:type="dxa"/>
            <w:bottom w:w="15" w:type="dxa"/>
            <w:right w:w="15" w:type="dxa"/>
          </w:tblCellMar>
        </w:tblPrEx>
        <w:trPr>
          <w:trHeight w:val="407" w:hRule="atLeast"/>
          <w:tblCellSpacing w:w="15" w:type="dxa"/>
        </w:trPr>
        <w:tc>
          <w:tcPr>
            <w:tcW w:w="0" w:type="auto"/>
            <w:tcBorders>
              <w:top w:val="single" w:color="auto" w:sz="4" w:space="0"/>
              <w:left w:val="nil"/>
              <w:bottom w:val="single" w:color="auto" w:sz="4" w:space="0"/>
              <w:right w:val="nil"/>
            </w:tcBorders>
            <w:vAlign w:val="center"/>
          </w:tcPr>
          <w:p w14:paraId="53B09957">
            <w:pPr>
              <w:spacing w:before="100" w:beforeAutospacing="1" w:after="0" w:line="256" w:lineRule="auto"/>
              <w:rPr>
                <w:rFonts w:ascii="Times New Roman" w:hAnsi="Times New Roman" w:eastAsia="SimSun" w:cs="Times New Roman"/>
                <w:b/>
                <w:bCs/>
                <w:kern w:val="0"/>
                <w:sz w:val="28"/>
                <w:szCs w:val="28"/>
                <w14:ligatures w14:val="none"/>
              </w:rPr>
            </w:pPr>
            <w:r>
              <w:rPr>
                <w:rFonts w:ascii="Times New Roman" w:hAnsi="Times New Roman" w:eastAsia="SimSun" w:cs="Times New Roman"/>
                <w:b/>
                <w:bCs/>
                <w:kern w:val="0"/>
                <w:sz w:val="28"/>
                <w:szCs w:val="28"/>
                <w14:ligatures w14:val="none"/>
              </w:rPr>
              <w:t>Zone</w:t>
            </w:r>
          </w:p>
        </w:tc>
        <w:tc>
          <w:tcPr>
            <w:tcW w:w="0" w:type="auto"/>
            <w:tcBorders>
              <w:top w:val="single" w:color="auto" w:sz="4" w:space="0"/>
              <w:left w:val="nil"/>
              <w:bottom w:val="single" w:color="auto" w:sz="4" w:space="0"/>
              <w:right w:val="nil"/>
            </w:tcBorders>
            <w:vAlign w:val="center"/>
          </w:tcPr>
          <w:p w14:paraId="38F78D17">
            <w:pPr>
              <w:spacing w:before="100" w:beforeAutospacing="1" w:after="0" w:line="256" w:lineRule="auto"/>
              <w:rPr>
                <w:rFonts w:ascii="Times New Roman" w:hAnsi="Times New Roman" w:eastAsia="SimSun" w:cs="Times New Roman"/>
                <w:b/>
                <w:bCs/>
                <w:kern w:val="0"/>
                <w:sz w:val="28"/>
                <w:szCs w:val="28"/>
                <w14:ligatures w14:val="none"/>
              </w:rPr>
            </w:pPr>
            <w:r>
              <w:rPr>
                <w:rFonts w:ascii="Times New Roman" w:hAnsi="Times New Roman" w:eastAsia="SimSun" w:cs="Times New Roman"/>
                <w:b/>
                <w:bCs/>
                <w:kern w:val="0"/>
                <w:sz w:val="28"/>
                <w:szCs w:val="28"/>
                <w14:ligatures w14:val="none"/>
              </w:rPr>
              <w:t>NDVI (mean ± SD)</w:t>
            </w:r>
          </w:p>
        </w:tc>
        <w:tc>
          <w:tcPr>
            <w:tcW w:w="0" w:type="auto"/>
            <w:tcBorders>
              <w:top w:val="single" w:color="auto" w:sz="4" w:space="0"/>
              <w:left w:val="nil"/>
              <w:bottom w:val="single" w:color="auto" w:sz="4" w:space="0"/>
              <w:right w:val="nil"/>
            </w:tcBorders>
            <w:vAlign w:val="center"/>
          </w:tcPr>
          <w:p w14:paraId="0BEC6B7F">
            <w:pPr>
              <w:spacing w:before="100" w:beforeAutospacing="1" w:after="0" w:line="256" w:lineRule="auto"/>
              <w:rPr>
                <w:rFonts w:ascii="Times New Roman" w:hAnsi="Times New Roman" w:eastAsia="SimSun" w:cs="Times New Roman"/>
                <w:b/>
                <w:bCs/>
                <w:kern w:val="0"/>
                <w:sz w:val="28"/>
                <w:szCs w:val="28"/>
                <w14:ligatures w14:val="none"/>
              </w:rPr>
            </w:pPr>
            <w:r>
              <w:rPr>
                <w:rFonts w:ascii="Times New Roman" w:hAnsi="Times New Roman" w:eastAsia="SimSun" w:cs="Times New Roman"/>
                <w:b/>
                <w:bCs/>
                <w:kern w:val="0"/>
                <w:sz w:val="28"/>
                <w:szCs w:val="28"/>
                <w14:ligatures w14:val="none"/>
              </w:rPr>
              <w:t>EVI (mean ± SD)</w:t>
            </w:r>
          </w:p>
        </w:tc>
      </w:tr>
      <w:tr w14:paraId="521F3741">
        <w:tblPrEx>
          <w:tblBorders>
            <w:top w:val="single" w:color="auto" w:sz="4" w:space="0"/>
            <w:left w:val="outset" w:color="auto" w:sz="6" w:space="0"/>
            <w:bottom w:val="single" w:color="auto" w:sz="4" w:space="0"/>
            <w:right w:val="outset" w:color="auto" w:sz="6" w:space="0"/>
            <w:insideH w:val="none" w:color="auto" w:sz="0" w:space="0"/>
            <w:insideV w:val="none" w:color="auto" w:sz="0" w:space="0"/>
          </w:tblBorders>
          <w:tblCellMar>
            <w:top w:w="15" w:type="dxa"/>
            <w:left w:w="15" w:type="dxa"/>
            <w:bottom w:w="15" w:type="dxa"/>
            <w:right w:w="15" w:type="dxa"/>
          </w:tblCellMar>
        </w:tblPrEx>
        <w:trPr>
          <w:trHeight w:val="430" w:hRule="atLeast"/>
          <w:tblCellSpacing w:w="15" w:type="dxa"/>
        </w:trPr>
        <w:tc>
          <w:tcPr>
            <w:tcW w:w="0" w:type="auto"/>
            <w:tcBorders>
              <w:top w:val="nil"/>
              <w:left w:val="nil"/>
              <w:bottom w:val="nil"/>
              <w:right w:val="nil"/>
            </w:tcBorders>
            <w:vAlign w:val="center"/>
          </w:tcPr>
          <w:p w14:paraId="6AD52AA2">
            <w:pPr>
              <w:spacing w:before="100" w:beforeAutospacing="1" w:after="0" w:line="256" w:lineRule="auto"/>
              <w:rPr>
                <w:rFonts w:ascii="Times New Roman" w:hAnsi="Times New Roman" w:eastAsia="SimSun" w:cs="Times New Roman"/>
                <w:kern w:val="0"/>
                <w:sz w:val="28"/>
                <w:szCs w:val="28"/>
                <w14:ligatures w14:val="none"/>
              </w:rPr>
            </w:pPr>
            <w:r>
              <w:rPr>
                <w:rFonts w:ascii="Times New Roman" w:hAnsi="Times New Roman" w:eastAsia="SimSun" w:cs="Times New Roman"/>
                <w:kern w:val="0"/>
                <w:sz w:val="28"/>
                <w:szCs w:val="28"/>
                <w14:ligatures w14:val="none"/>
              </w:rPr>
              <w:t>Peri-Urban</w:t>
            </w:r>
          </w:p>
        </w:tc>
        <w:tc>
          <w:tcPr>
            <w:tcW w:w="0" w:type="auto"/>
            <w:tcBorders>
              <w:top w:val="nil"/>
              <w:left w:val="nil"/>
              <w:bottom w:val="nil"/>
              <w:right w:val="nil"/>
            </w:tcBorders>
            <w:vAlign w:val="center"/>
          </w:tcPr>
          <w:p w14:paraId="0ED17008">
            <w:pPr>
              <w:spacing w:before="100" w:beforeAutospacing="1" w:after="0" w:line="256" w:lineRule="auto"/>
              <w:rPr>
                <w:rFonts w:ascii="Times New Roman" w:hAnsi="Times New Roman" w:eastAsia="SimSun" w:cs="Times New Roman"/>
                <w:kern w:val="0"/>
                <w:sz w:val="28"/>
                <w:szCs w:val="28"/>
                <w14:ligatures w14:val="none"/>
              </w:rPr>
            </w:pPr>
            <w:r>
              <w:rPr>
                <w:rFonts w:ascii="Times New Roman" w:hAnsi="Times New Roman" w:eastAsia="SimSun" w:cs="Times New Roman"/>
                <w:kern w:val="0"/>
                <w:sz w:val="28"/>
                <w:szCs w:val="28"/>
                <w14:ligatures w14:val="none"/>
              </w:rPr>
              <w:t>0.427 ± 0.027</w:t>
            </w:r>
          </w:p>
        </w:tc>
        <w:tc>
          <w:tcPr>
            <w:tcW w:w="0" w:type="auto"/>
            <w:tcBorders>
              <w:top w:val="nil"/>
              <w:left w:val="nil"/>
              <w:bottom w:val="nil"/>
              <w:right w:val="nil"/>
            </w:tcBorders>
            <w:vAlign w:val="center"/>
          </w:tcPr>
          <w:p w14:paraId="13C39B08">
            <w:pPr>
              <w:spacing w:before="100" w:beforeAutospacing="1" w:after="0" w:line="256" w:lineRule="auto"/>
              <w:rPr>
                <w:rFonts w:ascii="Times New Roman" w:hAnsi="Times New Roman" w:eastAsia="SimSun" w:cs="Times New Roman"/>
                <w:kern w:val="0"/>
                <w:sz w:val="28"/>
                <w:szCs w:val="28"/>
                <w14:ligatures w14:val="none"/>
              </w:rPr>
            </w:pPr>
            <w:r>
              <w:rPr>
                <w:rFonts w:ascii="Times New Roman" w:hAnsi="Times New Roman" w:eastAsia="SimSun" w:cs="Times New Roman"/>
                <w:kern w:val="0"/>
                <w:sz w:val="28"/>
                <w:szCs w:val="28"/>
                <w14:ligatures w14:val="none"/>
              </w:rPr>
              <w:t>0.283 ± 0.012</w:t>
            </w:r>
          </w:p>
        </w:tc>
      </w:tr>
      <w:tr w14:paraId="6D3E59EE">
        <w:tblPrEx>
          <w:tblBorders>
            <w:top w:val="single" w:color="auto" w:sz="4" w:space="0"/>
            <w:left w:val="outset" w:color="auto" w:sz="6" w:space="0"/>
            <w:bottom w:val="single" w:color="auto" w:sz="4" w:space="0"/>
            <w:right w:val="outset" w:color="auto" w:sz="6" w:space="0"/>
            <w:insideH w:val="none" w:color="auto" w:sz="0" w:space="0"/>
            <w:insideV w:val="none" w:color="auto" w:sz="0" w:space="0"/>
          </w:tblBorders>
          <w:tblCellMar>
            <w:top w:w="15" w:type="dxa"/>
            <w:left w:w="15" w:type="dxa"/>
            <w:bottom w:w="15" w:type="dxa"/>
            <w:right w:w="15" w:type="dxa"/>
          </w:tblCellMar>
        </w:tblPrEx>
        <w:trPr>
          <w:trHeight w:val="407" w:hRule="atLeast"/>
          <w:tblCellSpacing w:w="15" w:type="dxa"/>
        </w:trPr>
        <w:tc>
          <w:tcPr>
            <w:tcW w:w="0" w:type="auto"/>
            <w:tcBorders>
              <w:top w:val="nil"/>
              <w:left w:val="nil"/>
              <w:bottom w:val="nil"/>
              <w:right w:val="nil"/>
            </w:tcBorders>
            <w:vAlign w:val="center"/>
          </w:tcPr>
          <w:p w14:paraId="12979F0B">
            <w:pPr>
              <w:spacing w:before="100" w:beforeAutospacing="1" w:after="0" w:line="256" w:lineRule="auto"/>
              <w:rPr>
                <w:rFonts w:ascii="Times New Roman" w:hAnsi="Times New Roman" w:eastAsia="SimSun" w:cs="Times New Roman"/>
                <w:kern w:val="0"/>
                <w:sz w:val="28"/>
                <w:szCs w:val="28"/>
                <w14:ligatures w14:val="none"/>
              </w:rPr>
            </w:pPr>
            <w:r>
              <w:rPr>
                <w:rFonts w:ascii="Times New Roman" w:hAnsi="Times New Roman" w:eastAsia="SimSun" w:cs="Times New Roman"/>
                <w:kern w:val="0"/>
                <w:sz w:val="28"/>
                <w:szCs w:val="28"/>
                <w14:ligatures w14:val="none"/>
              </w:rPr>
              <w:t>Rural</w:t>
            </w:r>
          </w:p>
        </w:tc>
        <w:tc>
          <w:tcPr>
            <w:tcW w:w="0" w:type="auto"/>
            <w:tcBorders>
              <w:top w:val="nil"/>
              <w:left w:val="nil"/>
              <w:bottom w:val="nil"/>
              <w:right w:val="nil"/>
            </w:tcBorders>
            <w:vAlign w:val="center"/>
          </w:tcPr>
          <w:p w14:paraId="5DBD2816">
            <w:pPr>
              <w:spacing w:before="100" w:beforeAutospacing="1" w:after="0" w:line="256" w:lineRule="auto"/>
              <w:rPr>
                <w:rFonts w:ascii="Times New Roman" w:hAnsi="Times New Roman" w:eastAsia="SimSun" w:cs="Times New Roman"/>
                <w:kern w:val="0"/>
                <w:sz w:val="28"/>
                <w:szCs w:val="28"/>
                <w14:ligatures w14:val="none"/>
              </w:rPr>
            </w:pPr>
            <w:r>
              <w:rPr>
                <w:rFonts w:ascii="Times New Roman" w:hAnsi="Times New Roman" w:eastAsia="SimSun" w:cs="Times New Roman"/>
                <w:kern w:val="0"/>
                <w:sz w:val="28"/>
                <w:szCs w:val="28"/>
                <w14:ligatures w14:val="none"/>
              </w:rPr>
              <w:t>0.482 ± 0.023</w:t>
            </w:r>
          </w:p>
        </w:tc>
        <w:tc>
          <w:tcPr>
            <w:tcW w:w="0" w:type="auto"/>
            <w:tcBorders>
              <w:top w:val="nil"/>
              <w:left w:val="nil"/>
              <w:bottom w:val="nil"/>
              <w:right w:val="nil"/>
            </w:tcBorders>
            <w:vAlign w:val="center"/>
          </w:tcPr>
          <w:p w14:paraId="3CB7AB95">
            <w:pPr>
              <w:spacing w:before="100" w:beforeAutospacing="1" w:after="0" w:line="256" w:lineRule="auto"/>
              <w:rPr>
                <w:rFonts w:ascii="Times New Roman" w:hAnsi="Times New Roman" w:eastAsia="SimSun" w:cs="Times New Roman"/>
                <w:kern w:val="0"/>
                <w:sz w:val="28"/>
                <w:szCs w:val="28"/>
                <w14:ligatures w14:val="none"/>
              </w:rPr>
            </w:pPr>
            <w:r>
              <w:rPr>
                <w:rFonts w:ascii="Times New Roman" w:hAnsi="Times New Roman" w:eastAsia="SimSun" w:cs="Times New Roman"/>
                <w:kern w:val="0"/>
                <w:sz w:val="28"/>
                <w:szCs w:val="28"/>
                <w14:ligatures w14:val="none"/>
              </w:rPr>
              <w:t>0.312 ± 0.025</w:t>
            </w:r>
          </w:p>
        </w:tc>
      </w:tr>
      <w:tr w14:paraId="2520E1E5">
        <w:tblPrEx>
          <w:tblBorders>
            <w:top w:val="single" w:color="auto" w:sz="4" w:space="0"/>
            <w:left w:val="outset" w:color="auto" w:sz="6" w:space="0"/>
            <w:bottom w:val="single" w:color="auto" w:sz="4" w:space="0"/>
            <w:right w:val="outset" w:color="auto" w:sz="6" w:space="0"/>
            <w:insideH w:val="none" w:color="auto" w:sz="0" w:space="0"/>
            <w:insideV w:val="none" w:color="auto" w:sz="0" w:space="0"/>
          </w:tblBorders>
          <w:tblCellMar>
            <w:top w:w="15" w:type="dxa"/>
            <w:left w:w="15" w:type="dxa"/>
            <w:bottom w:w="15" w:type="dxa"/>
            <w:right w:w="15" w:type="dxa"/>
          </w:tblCellMar>
        </w:tblPrEx>
        <w:trPr>
          <w:trHeight w:val="430" w:hRule="atLeast"/>
          <w:tblCellSpacing w:w="15" w:type="dxa"/>
        </w:trPr>
        <w:tc>
          <w:tcPr>
            <w:tcW w:w="0" w:type="auto"/>
            <w:tcBorders>
              <w:top w:val="nil"/>
              <w:left w:val="nil"/>
              <w:bottom w:val="nil"/>
              <w:right w:val="nil"/>
            </w:tcBorders>
            <w:vAlign w:val="center"/>
          </w:tcPr>
          <w:p w14:paraId="0C0CE165">
            <w:pPr>
              <w:spacing w:before="100" w:beforeAutospacing="1" w:after="0" w:line="256" w:lineRule="auto"/>
              <w:rPr>
                <w:rFonts w:ascii="Times New Roman" w:hAnsi="Times New Roman" w:eastAsia="SimSun" w:cs="Times New Roman"/>
                <w:kern w:val="0"/>
                <w:sz w:val="28"/>
                <w:szCs w:val="28"/>
                <w14:ligatures w14:val="none"/>
              </w:rPr>
            </w:pPr>
            <w:r>
              <w:rPr>
                <w:rFonts w:ascii="Times New Roman" w:hAnsi="Times New Roman" w:eastAsia="SimSun" w:cs="Times New Roman"/>
                <w:kern w:val="0"/>
                <w:sz w:val="28"/>
                <w:szCs w:val="28"/>
                <w14:ligatures w14:val="none"/>
              </w:rPr>
              <w:t>Urban</w:t>
            </w:r>
          </w:p>
        </w:tc>
        <w:tc>
          <w:tcPr>
            <w:tcW w:w="0" w:type="auto"/>
            <w:tcBorders>
              <w:top w:val="nil"/>
              <w:left w:val="nil"/>
              <w:bottom w:val="nil"/>
              <w:right w:val="nil"/>
            </w:tcBorders>
            <w:vAlign w:val="center"/>
          </w:tcPr>
          <w:p w14:paraId="652FA2C0">
            <w:pPr>
              <w:spacing w:before="100" w:beforeAutospacing="1" w:after="0" w:line="256" w:lineRule="auto"/>
              <w:rPr>
                <w:rFonts w:ascii="Times New Roman" w:hAnsi="Times New Roman" w:eastAsia="SimSun" w:cs="Times New Roman"/>
                <w:kern w:val="0"/>
                <w:sz w:val="28"/>
                <w:szCs w:val="28"/>
                <w14:ligatures w14:val="none"/>
              </w:rPr>
            </w:pPr>
            <w:r>
              <w:rPr>
                <w:rFonts w:ascii="Times New Roman" w:hAnsi="Times New Roman" w:eastAsia="SimSun" w:cs="Times New Roman"/>
                <w:kern w:val="0"/>
                <w:sz w:val="28"/>
                <w:szCs w:val="28"/>
                <w14:ligatures w14:val="none"/>
              </w:rPr>
              <w:t>0.277 ± 0.076</w:t>
            </w:r>
          </w:p>
        </w:tc>
        <w:tc>
          <w:tcPr>
            <w:tcW w:w="0" w:type="auto"/>
            <w:tcBorders>
              <w:top w:val="nil"/>
              <w:left w:val="nil"/>
              <w:bottom w:val="nil"/>
              <w:right w:val="nil"/>
            </w:tcBorders>
            <w:vAlign w:val="center"/>
          </w:tcPr>
          <w:p w14:paraId="6F838F64">
            <w:pPr>
              <w:spacing w:before="100" w:beforeAutospacing="1" w:after="0" w:line="256" w:lineRule="auto"/>
              <w:rPr>
                <w:rFonts w:ascii="Times New Roman" w:hAnsi="Times New Roman" w:eastAsia="SimSun" w:cs="Times New Roman"/>
                <w:kern w:val="0"/>
                <w:sz w:val="28"/>
                <w:szCs w:val="28"/>
                <w14:ligatures w14:val="none"/>
              </w:rPr>
            </w:pPr>
            <w:r>
              <w:rPr>
                <w:rFonts w:ascii="Times New Roman" w:hAnsi="Times New Roman" w:eastAsia="SimSun" w:cs="Times New Roman"/>
                <w:kern w:val="0"/>
                <w:sz w:val="28"/>
                <w:szCs w:val="28"/>
                <w14:ligatures w14:val="none"/>
              </w:rPr>
              <w:t>0.173 ± 0.051</w:t>
            </w:r>
          </w:p>
        </w:tc>
      </w:tr>
    </w:tbl>
    <w:p w14:paraId="7986DDB0">
      <w:pPr>
        <w:spacing w:before="100" w:beforeAutospacing="1" w:after="100" w:afterAutospacing="1" w:line="256" w:lineRule="auto"/>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i/>
          <w:iCs/>
          <w:kern w:val="0"/>
          <w:sz w:val="28"/>
          <w:szCs w:val="28"/>
          <w14:ligatures w14:val="none"/>
        </w:rPr>
        <w:t>Note:</w:t>
      </w:r>
      <w:r>
        <w:rPr>
          <w:rFonts w:ascii="Times New Roman" w:hAnsi="Times New Roman" w:eastAsia="Times New Roman" w:cs="Times New Roman"/>
          <w:kern w:val="0"/>
          <w:sz w:val="28"/>
          <w:szCs w:val="28"/>
          <w14:ligatures w14:val="none"/>
        </w:rPr>
        <w:t xml:space="preserve"> NDVI and EVI are </w:t>
      </w:r>
      <w:r>
        <w:rPr>
          <w:rFonts w:ascii="Times New Roman" w:hAnsi="Times New Roman" w:eastAsia="Times New Roman" w:cs="Times New Roman"/>
          <w:b/>
          <w:bCs/>
          <w:kern w:val="0"/>
          <w:sz w:val="28"/>
          <w:szCs w:val="28"/>
          <w14:ligatures w14:val="none"/>
        </w:rPr>
        <w:t>unitless indices</w:t>
      </w:r>
      <w:r>
        <w:rPr>
          <w:rFonts w:ascii="Times New Roman" w:hAnsi="Times New Roman" w:eastAsia="Times New Roman" w:cs="Times New Roman"/>
          <w:kern w:val="0"/>
          <w:sz w:val="28"/>
          <w:szCs w:val="28"/>
          <w14:ligatures w14:val="none"/>
        </w:rPr>
        <w:t xml:space="preserve"> ranging from 0 to 1, where higher values indicate greater vegetation density and greenness.</w:t>
      </w:r>
    </w:p>
    <w:tbl>
      <w:tblPr>
        <w:tblStyle w:val="19"/>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4675"/>
        <w:gridCol w:w="4675"/>
      </w:tblGrid>
      <w:tr w14:paraId="728AC7C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4675" w:type="dxa"/>
            <w:tcBorders>
              <w:top w:val="nil"/>
              <w:left w:val="nil"/>
              <w:bottom w:val="nil"/>
              <w:right w:val="nil"/>
            </w:tcBorders>
            <w:vAlign w:val="center"/>
          </w:tcPr>
          <w:p w14:paraId="45F39E6D">
            <w:pPr>
              <w:spacing w:before="100" w:beforeAutospacing="1" w:after="0" w:line="273" w:lineRule="auto"/>
              <w:jc w:val="center"/>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drawing>
                <wp:inline distT="0" distB="0" distL="0" distR="0">
                  <wp:extent cx="2743200" cy="182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743200" cy="1828800"/>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2E118E3F">
            <w:pPr>
              <w:spacing w:before="100" w:beforeAutospacing="1" w:after="0" w:line="273" w:lineRule="auto"/>
              <w:jc w:val="center"/>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drawing>
                <wp:inline distT="0" distB="0" distL="0" distR="0">
                  <wp:extent cx="274320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743200" cy="1828800"/>
                          </a:xfrm>
                          <a:prstGeom prst="rect">
                            <a:avLst/>
                          </a:prstGeom>
                          <a:noFill/>
                          <a:ln>
                            <a:noFill/>
                          </a:ln>
                        </pic:spPr>
                      </pic:pic>
                    </a:graphicData>
                  </a:graphic>
                </wp:inline>
              </w:drawing>
            </w:r>
          </w:p>
        </w:tc>
      </w:tr>
      <w:tr w14:paraId="39817B9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4675" w:type="dxa"/>
            <w:tcBorders>
              <w:top w:val="nil"/>
              <w:left w:val="nil"/>
              <w:bottom w:val="nil"/>
              <w:right w:val="nil"/>
            </w:tcBorders>
            <w:vAlign w:val="center"/>
          </w:tcPr>
          <w:p w14:paraId="511EDC4F">
            <w:pPr>
              <w:spacing w:before="100" w:beforeAutospacing="1" w:after="0" w:line="273" w:lineRule="auto"/>
              <w:jc w:val="center"/>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a. NDVI Trend</w:t>
            </w:r>
          </w:p>
        </w:tc>
        <w:tc>
          <w:tcPr>
            <w:tcW w:w="4675" w:type="dxa"/>
            <w:tcBorders>
              <w:top w:val="nil"/>
              <w:left w:val="nil"/>
              <w:bottom w:val="nil"/>
              <w:right w:val="nil"/>
            </w:tcBorders>
            <w:vAlign w:val="center"/>
          </w:tcPr>
          <w:p w14:paraId="27F69366">
            <w:pPr>
              <w:spacing w:before="100" w:beforeAutospacing="1" w:after="0" w:line="273" w:lineRule="auto"/>
              <w:jc w:val="center"/>
              <w:rPr>
                <w:rFonts w:ascii="Times New Roman" w:hAnsi="Times New Roman" w:eastAsia="Calibri" w:cs="Times New Roman"/>
                <w:b/>
                <w:bCs/>
                <w:kern w:val="0"/>
                <w:sz w:val="28"/>
                <w:szCs w:val="28"/>
                <w14:ligatures w14:val="none"/>
              </w:rPr>
            </w:pPr>
            <w:r>
              <w:rPr>
                <w:rFonts w:ascii="Times New Roman" w:hAnsi="Times New Roman" w:eastAsia="Calibri" w:cs="Times New Roman"/>
                <w:b/>
                <w:bCs/>
                <w:kern w:val="0"/>
                <w:sz w:val="28"/>
                <w:szCs w:val="28"/>
                <w14:ligatures w14:val="none"/>
              </w:rPr>
              <w:t>b. EVI Trend</w:t>
            </w:r>
          </w:p>
        </w:tc>
      </w:tr>
    </w:tbl>
    <w:p w14:paraId="376EE091">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sz w:val="28"/>
          <w:szCs w:val="28"/>
          <w14:ligatures w14:val="none"/>
        </w:rPr>
        <w:t>Figure 3.4:</w:t>
      </w:r>
      <w:r>
        <w:rPr>
          <w:rFonts w:ascii="Times New Roman" w:hAnsi="Times New Roman" w:eastAsia="Calibri" w:cs="Times New Roman"/>
          <w:sz w:val="28"/>
          <w:szCs w:val="28"/>
          <w14:ligatures w14:val="none"/>
        </w:rPr>
        <w:t xml:space="preserve"> Bar chart showing mean NDVI and EVI across Urban Zones:</w:t>
      </w:r>
      <w:r>
        <w:rPr>
          <w:rFonts w:ascii="Times New Roman" w:hAnsi="Times New Roman" w:eastAsia="Calibri" w:cs="Times New Roman"/>
          <w:sz w:val="24"/>
          <w:szCs w:val="24"/>
          <w14:ligatures w14:val="none"/>
        </w:rPr>
        <w:t xml:space="preserve"> Author source</w:t>
      </w:r>
    </w:p>
    <w:p w14:paraId="33A9E18F">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bar chart illustrates the decline in vegetation indices from rural to urban zones, visually reinforcing the quantitative trends shown in Table 3.9. NDVI and EVI both decrease as built-up intensity increases, highlighting the impact of urbanization on ecosystem functioning.</w:t>
      </w:r>
    </w:p>
    <w:p w14:paraId="173EFE59">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66" w:name="_Toc215220517"/>
      <w:r>
        <w:rPr>
          <w:rFonts w:ascii="Times New Roman" w:hAnsi="Times New Roman" w:eastAsia="DengXian Light" w:cs="Times New Roman"/>
          <w:b/>
          <w:bCs/>
          <w:sz w:val="32"/>
          <w:szCs w:val="32"/>
          <w14:ligatures w14:val="none"/>
        </w:rPr>
        <w:t>3.4.2 Zone Comparison Statistics</w:t>
      </w:r>
      <w:bookmarkEnd w:id="66"/>
    </w:p>
    <w:p w14:paraId="66B0562D">
      <w:pPr>
        <w:spacing w:before="100" w:beforeAutospacing="1" w:line="273" w:lineRule="auto"/>
        <w:jc w:val="both"/>
        <w:rPr>
          <w:rFonts w:ascii="Times New Roman" w:hAnsi="Times New Roman" w:eastAsia="Calibri" w:cs="Times New Roman"/>
          <w:sz w:val="28"/>
          <w:szCs w:val="28"/>
          <w14:ligatures w14:val="none"/>
        </w:rPr>
      </w:pPr>
      <w:bookmarkStart w:id="67" w:name="_Hlk215216595"/>
      <w:r>
        <w:rPr>
          <w:rFonts w:ascii="Times New Roman" w:hAnsi="Times New Roman" w:eastAsia="Calibri" w:cs="Times New Roman"/>
          <w:sz w:val="28"/>
          <w:szCs w:val="28"/>
          <w14:ligatures w14:val="none"/>
        </w:rPr>
        <w:t>To assess whether vegetation indices differ significantly across the urban gradient, one-way ANOVA tests were conducted for NDVI and EVI see Table 3.10. The findings shows that a highly significant differences among the zones for both indices (NDVI: F = 31.04, p &lt; 0.001, η² = 0.75; EVI: F = 32.52, p &lt; 0.001, η² = 0.76) exist, demonstrating that urbanization has a substantial effect on vegetation cover and greenness.</w:t>
      </w:r>
    </w:p>
    <w:bookmarkEnd w:id="67"/>
    <w:p w14:paraId="5501321B">
      <w:pPr>
        <w:spacing w:before="100" w:beforeAutospacing="1" w:line="273" w:lineRule="auto"/>
        <w:jc w:val="both"/>
        <w:rPr>
          <w:rFonts w:ascii="Times New Roman" w:hAnsi="Times New Roman" w:eastAsia="Calibri" w:cs="Times New Roman"/>
          <w:sz w:val="24"/>
          <w:szCs w:val="24"/>
          <w14:ligatures w14:val="none"/>
        </w:rPr>
      </w:pPr>
      <w:r>
        <w:rPr>
          <w:rFonts w:ascii="Times New Roman" w:hAnsi="Times New Roman" w:eastAsia="Calibri" w:cs="Times New Roman"/>
          <w:sz w:val="28"/>
          <w:szCs w:val="28"/>
          <w14:ligatures w14:val="none"/>
        </w:rPr>
        <w:t xml:space="preserve"> </w:t>
      </w:r>
      <w:r>
        <w:rPr>
          <w:rFonts w:ascii="Times New Roman" w:hAnsi="Times New Roman" w:eastAsia="Calibri" w:cs="Times New Roman"/>
          <w:b/>
          <w:bCs/>
          <w:sz w:val="28"/>
          <w:szCs w:val="28"/>
          <w14:ligatures w14:val="none"/>
        </w:rPr>
        <w:t>Table 3.10</w:t>
      </w:r>
      <w:r>
        <w:rPr>
          <w:rFonts w:ascii="Times New Roman" w:hAnsi="Times New Roman" w:eastAsia="Calibri" w:cs="Times New Roman"/>
          <w:sz w:val="28"/>
          <w:szCs w:val="28"/>
          <w14:ligatures w14:val="none"/>
        </w:rPr>
        <w:t>: ANOVA Results for NDVI and EVI Across Zones</w:t>
      </w:r>
      <w:r>
        <w:rPr>
          <w:rFonts w:ascii="Times New Roman" w:hAnsi="Times New Roman" w:eastAsia="Calibri" w:cs="Times New Roman"/>
          <w:sz w:val="24"/>
          <w:szCs w:val="24"/>
          <w14:ligatures w14:val="none"/>
        </w:rPr>
        <w:t xml:space="preserve"> :Author source</w:t>
      </w:r>
    </w:p>
    <w:tbl>
      <w:tblPr>
        <w:tblStyle w:val="19"/>
        <w:tblW w:w="9014" w:type="dxa"/>
        <w:tblInd w:w="0" w:type="dxa"/>
        <w:tblBorders>
          <w:top w:val="single" w:color="auto" w:sz="4" w:space="0"/>
          <w:left w:val="none" w:color="auto" w:sz="0" w:space="0"/>
          <w:bottom w:val="none" w:color="auto" w:sz="0"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2424"/>
        <w:gridCol w:w="2151"/>
        <w:gridCol w:w="2821"/>
        <w:gridCol w:w="1618"/>
      </w:tblGrid>
      <w:tr w14:paraId="29BC04DA">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60" w:hRule="atLeast"/>
        </w:trPr>
        <w:tc>
          <w:tcPr>
            <w:tcW w:w="0" w:type="auto"/>
            <w:tcBorders>
              <w:top w:val="single" w:color="auto" w:sz="4" w:space="0"/>
              <w:left w:val="nil"/>
              <w:bottom w:val="single" w:color="auto" w:sz="4" w:space="0"/>
              <w:right w:val="nil"/>
            </w:tcBorders>
            <w:vAlign w:val="center"/>
          </w:tcPr>
          <w:p w14:paraId="29EC23E1">
            <w:pPr>
              <w:spacing w:before="100" w:beforeAutospacing="1" w:after="0" w:line="256" w:lineRule="auto"/>
              <w:rPr>
                <w:rFonts w:ascii="Times New Roman" w:hAnsi="Times New Roman" w:eastAsia="SimSun" w:cs="Times New Roman"/>
                <w:b/>
                <w:bCs/>
                <w:kern w:val="0"/>
                <w:sz w:val="28"/>
                <w:szCs w:val="28"/>
                <w14:ligatures w14:val="none"/>
              </w:rPr>
            </w:pPr>
            <w:r>
              <w:rPr>
                <w:rFonts w:ascii="Times New Roman" w:hAnsi="Times New Roman" w:eastAsia="Times New Roman" w:cs="Times New Roman"/>
                <w:b/>
                <w:bCs/>
                <w:kern w:val="0"/>
                <w:sz w:val="28"/>
                <w:szCs w:val="28"/>
                <w14:ligatures w14:val="none"/>
              </w:rPr>
              <w:t>Variable</w:t>
            </w:r>
          </w:p>
        </w:tc>
        <w:tc>
          <w:tcPr>
            <w:tcW w:w="0" w:type="auto"/>
            <w:tcBorders>
              <w:top w:val="single" w:color="auto" w:sz="4" w:space="0"/>
              <w:left w:val="nil"/>
              <w:bottom w:val="single" w:color="auto" w:sz="4" w:space="0"/>
              <w:right w:val="nil"/>
            </w:tcBorders>
            <w:vAlign w:val="center"/>
          </w:tcPr>
          <w:p w14:paraId="6329420F">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F-value</w:t>
            </w:r>
          </w:p>
        </w:tc>
        <w:tc>
          <w:tcPr>
            <w:tcW w:w="0" w:type="auto"/>
            <w:tcBorders>
              <w:top w:val="single" w:color="auto" w:sz="4" w:space="0"/>
              <w:left w:val="nil"/>
              <w:bottom w:val="single" w:color="auto" w:sz="4" w:space="0"/>
              <w:right w:val="nil"/>
            </w:tcBorders>
            <w:vAlign w:val="center"/>
          </w:tcPr>
          <w:p w14:paraId="40D812B0">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p-value</w:t>
            </w:r>
          </w:p>
        </w:tc>
        <w:tc>
          <w:tcPr>
            <w:tcW w:w="0" w:type="auto"/>
            <w:tcBorders>
              <w:top w:val="single" w:color="auto" w:sz="4" w:space="0"/>
              <w:left w:val="nil"/>
              <w:bottom w:val="single" w:color="auto" w:sz="4" w:space="0"/>
              <w:right w:val="nil"/>
            </w:tcBorders>
            <w:vAlign w:val="center"/>
          </w:tcPr>
          <w:p w14:paraId="3C51D097">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η²</w:t>
            </w:r>
          </w:p>
        </w:tc>
      </w:tr>
      <w:tr w14:paraId="00203118">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60" w:hRule="atLeast"/>
        </w:trPr>
        <w:tc>
          <w:tcPr>
            <w:tcW w:w="0" w:type="auto"/>
            <w:tcBorders>
              <w:top w:val="single" w:color="auto" w:sz="4" w:space="0"/>
              <w:left w:val="nil"/>
              <w:bottom w:val="nil"/>
              <w:right w:val="nil"/>
            </w:tcBorders>
            <w:vAlign w:val="center"/>
          </w:tcPr>
          <w:p w14:paraId="2D12EA6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NDVI</w:t>
            </w:r>
          </w:p>
        </w:tc>
        <w:tc>
          <w:tcPr>
            <w:tcW w:w="0" w:type="auto"/>
            <w:tcBorders>
              <w:top w:val="single" w:color="auto" w:sz="4" w:space="0"/>
              <w:left w:val="nil"/>
              <w:bottom w:val="nil"/>
              <w:right w:val="nil"/>
            </w:tcBorders>
            <w:vAlign w:val="center"/>
          </w:tcPr>
          <w:p w14:paraId="49B8192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31.04</w:t>
            </w:r>
          </w:p>
        </w:tc>
        <w:tc>
          <w:tcPr>
            <w:tcW w:w="0" w:type="auto"/>
            <w:tcBorders>
              <w:top w:val="single" w:color="auto" w:sz="4" w:space="0"/>
              <w:left w:val="nil"/>
              <w:bottom w:val="nil"/>
              <w:right w:val="nil"/>
            </w:tcBorders>
            <w:vAlign w:val="center"/>
          </w:tcPr>
          <w:p w14:paraId="36AA114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5.35 × 10⁻⁷</w:t>
            </w:r>
          </w:p>
        </w:tc>
        <w:tc>
          <w:tcPr>
            <w:tcW w:w="0" w:type="auto"/>
            <w:tcBorders>
              <w:top w:val="single" w:color="auto" w:sz="4" w:space="0"/>
              <w:left w:val="nil"/>
              <w:bottom w:val="nil"/>
              <w:right w:val="nil"/>
            </w:tcBorders>
            <w:vAlign w:val="center"/>
          </w:tcPr>
          <w:p w14:paraId="3565093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0.747</w:t>
            </w:r>
          </w:p>
        </w:tc>
      </w:tr>
      <w:tr w14:paraId="53C4F05F">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60" w:hRule="atLeast"/>
        </w:trPr>
        <w:tc>
          <w:tcPr>
            <w:tcW w:w="0" w:type="auto"/>
            <w:tcBorders>
              <w:top w:val="nil"/>
              <w:left w:val="nil"/>
              <w:bottom w:val="nil"/>
              <w:right w:val="nil"/>
            </w:tcBorders>
            <w:vAlign w:val="center"/>
          </w:tcPr>
          <w:p w14:paraId="6E08279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EVI</w:t>
            </w:r>
          </w:p>
        </w:tc>
        <w:tc>
          <w:tcPr>
            <w:tcW w:w="0" w:type="auto"/>
            <w:tcBorders>
              <w:top w:val="nil"/>
              <w:left w:val="nil"/>
              <w:bottom w:val="nil"/>
              <w:right w:val="nil"/>
            </w:tcBorders>
            <w:vAlign w:val="center"/>
          </w:tcPr>
          <w:p w14:paraId="49E34C0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32.52</w:t>
            </w:r>
          </w:p>
        </w:tc>
        <w:tc>
          <w:tcPr>
            <w:tcW w:w="0" w:type="auto"/>
            <w:tcBorders>
              <w:top w:val="nil"/>
              <w:left w:val="nil"/>
              <w:bottom w:val="nil"/>
              <w:right w:val="nil"/>
            </w:tcBorders>
            <w:vAlign w:val="center"/>
          </w:tcPr>
          <w:p w14:paraId="2FE7B887">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3.71 × 10⁻⁷</w:t>
            </w:r>
          </w:p>
        </w:tc>
        <w:tc>
          <w:tcPr>
            <w:tcW w:w="0" w:type="auto"/>
            <w:tcBorders>
              <w:top w:val="nil"/>
              <w:left w:val="nil"/>
              <w:bottom w:val="nil"/>
              <w:right w:val="nil"/>
            </w:tcBorders>
            <w:vAlign w:val="center"/>
          </w:tcPr>
          <w:p w14:paraId="679ED7A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0.756</w:t>
            </w:r>
          </w:p>
        </w:tc>
      </w:tr>
    </w:tbl>
    <w:p w14:paraId="45465543">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Post-hoc pairwise comparisons using Tukey’s test further highlighted the significant differences between specific zone pairs see Table 3.11. NDVI and EVI values in urban areas were significantly lower than in rural zones, while differences between peri-urban and rural areas were not always significant.</w:t>
      </w:r>
    </w:p>
    <w:p w14:paraId="3641C2A2">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sz w:val="28"/>
          <w:szCs w:val="28"/>
          <w14:ligatures w14:val="none"/>
        </w:rPr>
        <w:t>Table 3.11:</w:t>
      </w:r>
      <w:r>
        <w:rPr>
          <w:rFonts w:ascii="Times New Roman" w:hAnsi="Times New Roman" w:eastAsia="Calibri" w:cs="Times New Roman"/>
          <w:sz w:val="28"/>
          <w:szCs w:val="28"/>
          <w14:ligatures w14:val="none"/>
        </w:rPr>
        <w:t xml:space="preserve"> Tukey Post-hoc Comparisons for NDVI and EVI:</w:t>
      </w:r>
      <w:r>
        <w:rPr>
          <w:rFonts w:ascii="Times New Roman" w:hAnsi="Times New Roman" w:eastAsia="Calibri" w:cs="Times New Roman"/>
          <w:sz w:val="24"/>
          <w:szCs w:val="24"/>
          <w14:ligatures w14:val="none"/>
        </w:rPr>
        <w:t xml:space="preserve"> Author source</w:t>
      </w:r>
    </w:p>
    <w:tbl>
      <w:tblPr>
        <w:tblStyle w:val="19"/>
        <w:tblW w:w="9021"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1254"/>
        <w:gridCol w:w="2555"/>
        <w:gridCol w:w="2217"/>
        <w:gridCol w:w="1489"/>
        <w:gridCol w:w="1506"/>
      </w:tblGrid>
      <w:tr w14:paraId="2899247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193" w:hRule="atLeast"/>
        </w:trPr>
        <w:tc>
          <w:tcPr>
            <w:tcW w:w="0" w:type="auto"/>
            <w:tcBorders>
              <w:top w:val="single" w:color="auto" w:sz="4" w:space="0"/>
              <w:left w:val="nil"/>
              <w:bottom w:val="single" w:color="auto" w:sz="4" w:space="0"/>
              <w:right w:val="nil"/>
            </w:tcBorders>
            <w:vAlign w:val="center"/>
          </w:tcPr>
          <w:p w14:paraId="13D48BC8">
            <w:pPr>
              <w:spacing w:before="100" w:beforeAutospacing="1" w:after="0" w:line="256" w:lineRule="auto"/>
              <w:rPr>
                <w:rFonts w:ascii="Times New Roman" w:hAnsi="Times New Roman" w:eastAsia="SimSun" w:cs="Times New Roman"/>
                <w:b/>
                <w:bCs/>
                <w:kern w:val="0"/>
                <w:sz w:val="28"/>
                <w:szCs w:val="28"/>
                <w14:ligatures w14:val="none"/>
              </w:rPr>
            </w:pPr>
            <w:r>
              <w:rPr>
                <w:rFonts w:ascii="Times New Roman" w:hAnsi="Times New Roman" w:eastAsia="Times New Roman" w:cs="Times New Roman"/>
                <w:b/>
                <w:bCs/>
                <w:kern w:val="0"/>
                <w:sz w:val="28"/>
                <w:szCs w:val="28"/>
                <w14:ligatures w14:val="none"/>
              </w:rPr>
              <w:t>Variable</w:t>
            </w:r>
          </w:p>
        </w:tc>
        <w:tc>
          <w:tcPr>
            <w:tcW w:w="0" w:type="auto"/>
            <w:tcBorders>
              <w:top w:val="single" w:color="auto" w:sz="4" w:space="0"/>
              <w:left w:val="nil"/>
              <w:bottom w:val="single" w:color="auto" w:sz="4" w:space="0"/>
              <w:right w:val="nil"/>
            </w:tcBorders>
            <w:vAlign w:val="center"/>
          </w:tcPr>
          <w:p w14:paraId="5C0343B5">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Comparison</w:t>
            </w:r>
          </w:p>
        </w:tc>
        <w:tc>
          <w:tcPr>
            <w:tcW w:w="0" w:type="auto"/>
            <w:tcBorders>
              <w:top w:val="single" w:color="auto" w:sz="4" w:space="0"/>
              <w:left w:val="nil"/>
              <w:bottom w:val="single" w:color="auto" w:sz="4" w:space="0"/>
              <w:right w:val="nil"/>
            </w:tcBorders>
            <w:vAlign w:val="center"/>
          </w:tcPr>
          <w:p w14:paraId="04495E9C">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Mean Difference</w:t>
            </w:r>
          </w:p>
        </w:tc>
        <w:tc>
          <w:tcPr>
            <w:tcW w:w="0" w:type="auto"/>
            <w:tcBorders>
              <w:top w:val="single" w:color="auto" w:sz="4" w:space="0"/>
              <w:left w:val="nil"/>
              <w:bottom w:val="single" w:color="auto" w:sz="4" w:space="0"/>
              <w:right w:val="nil"/>
            </w:tcBorders>
            <w:vAlign w:val="center"/>
          </w:tcPr>
          <w:p w14:paraId="0DBF30B6">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p-adjusted</w:t>
            </w:r>
          </w:p>
        </w:tc>
        <w:tc>
          <w:tcPr>
            <w:tcW w:w="0" w:type="auto"/>
            <w:tcBorders>
              <w:top w:val="single" w:color="auto" w:sz="4" w:space="0"/>
              <w:left w:val="nil"/>
              <w:bottom w:val="single" w:color="auto" w:sz="4" w:space="0"/>
              <w:right w:val="nil"/>
            </w:tcBorders>
            <w:vAlign w:val="center"/>
          </w:tcPr>
          <w:p w14:paraId="7ABC65C5">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Significant</w:t>
            </w:r>
          </w:p>
        </w:tc>
      </w:tr>
      <w:tr w14:paraId="768AD8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03" w:hRule="atLeast"/>
        </w:trPr>
        <w:tc>
          <w:tcPr>
            <w:tcW w:w="0" w:type="auto"/>
            <w:tcBorders>
              <w:top w:val="single" w:color="auto" w:sz="4" w:space="0"/>
              <w:left w:val="nil"/>
              <w:bottom w:val="nil"/>
              <w:right w:val="nil"/>
            </w:tcBorders>
            <w:vAlign w:val="center"/>
          </w:tcPr>
          <w:p w14:paraId="161994D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NDVI</w:t>
            </w:r>
          </w:p>
        </w:tc>
        <w:tc>
          <w:tcPr>
            <w:tcW w:w="0" w:type="auto"/>
            <w:tcBorders>
              <w:top w:val="single" w:color="auto" w:sz="4" w:space="0"/>
              <w:left w:val="nil"/>
              <w:bottom w:val="nil"/>
              <w:right w:val="nil"/>
            </w:tcBorders>
            <w:vAlign w:val="center"/>
          </w:tcPr>
          <w:p w14:paraId="6E70F11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Peri-Urban vs Rural</w:t>
            </w:r>
          </w:p>
        </w:tc>
        <w:tc>
          <w:tcPr>
            <w:tcW w:w="0" w:type="auto"/>
            <w:tcBorders>
              <w:top w:val="single" w:color="auto" w:sz="4" w:space="0"/>
              <w:left w:val="nil"/>
              <w:bottom w:val="nil"/>
              <w:right w:val="nil"/>
            </w:tcBorders>
            <w:vAlign w:val="center"/>
          </w:tcPr>
          <w:p w14:paraId="7DDE2DD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0.056</w:t>
            </w:r>
          </w:p>
        </w:tc>
        <w:tc>
          <w:tcPr>
            <w:tcW w:w="0" w:type="auto"/>
            <w:tcBorders>
              <w:top w:val="single" w:color="auto" w:sz="4" w:space="0"/>
              <w:left w:val="nil"/>
              <w:bottom w:val="nil"/>
              <w:right w:val="nil"/>
            </w:tcBorders>
            <w:vAlign w:val="center"/>
          </w:tcPr>
          <w:p w14:paraId="4F9252C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0.1941</w:t>
            </w:r>
          </w:p>
        </w:tc>
        <w:tc>
          <w:tcPr>
            <w:tcW w:w="0" w:type="auto"/>
            <w:tcBorders>
              <w:top w:val="single" w:color="auto" w:sz="4" w:space="0"/>
              <w:left w:val="nil"/>
              <w:bottom w:val="nil"/>
              <w:right w:val="nil"/>
            </w:tcBorders>
            <w:vAlign w:val="center"/>
          </w:tcPr>
          <w:p w14:paraId="3B7E4787">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No</w:t>
            </w:r>
          </w:p>
        </w:tc>
      </w:tr>
      <w:tr w14:paraId="6B51ED4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193" w:hRule="atLeast"/>
        </w:trPr>
        <w:tc>
          <w:tcPr>
            <w:tcW w:w="0" w:type="auto"/>
            <w:tcBorders>
              <w:top w:val="nil"/>
              <w:left w:val="nil"/>
              <w:bottom w:val="nil"/>
              <w:right w:val="nil"/>
            </w:tcBorders>
            <w:vAlign w:val="center"/>
          </w:tcPr>
          <w:p w14:paraId="479F1F9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NDVI</w:t>
            </w:r>
          </w:p>
        </w:tc>
        <w:tc>
          <w:tcPr>
            <w:tcW w:w="0" w:type="auto"/>
            <w:tcBorders>
              <w:top w:val="nil"/>
              <w:left w:val="nil"/>
              <w:bottom w:val="nil"/>
              <w:right w:val="nil"/>
            </w:tcBorders>
            <w:vAlign w:val="center"/>
          </w:tcPr>
          <w:p w14:paraId="3E8B3C3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Peri-Urban vs Urban</w:t>
            </w:r>
          </w:p>
        </w:tc>
        <w:tc>
          <w:tcPr>
            <w:tcW w:w="0" w:type="auto"/>
            <w:tcBorders>
              <w:top w:val="nil"/>
              <w:left w:val="nil"/>
              <w:bottom w:val="nil"/>
              <w:right w:val="nil"/>
            </w:tcBorders>
            <w:vAlign w:val="center"/>
          </w:tcPr>
          <w:p w14:paraId="7E9206C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-0.149</w:t>
            </w:r>
          </w:p>
        </w:tc>
        <w:tc>
          <w:tcPr>
            <w:tcW w:w="0" w:type="auto"/>
            <w:tcBorders>
              <w:top w:val="nil"/>
              <w:left w:val="nil"/>
              <w:bottom w:val="nil"/>
              <w:right w:val="nil"/>
            </w:tcBorders>
            <w:vAlign w:val="center"/>
          </w:tcPr>
          <w:p w14:paraId="431C249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0.000</w:t>
            </w:r>
          </w:p>
        </w:tc>
        <w:tc>
          <w:tcPr>
            <w:tcW w:w="0" w:type="auto"/>
            <w:tcBorders>
              <w:top w:val="nil"/>
              <w:left w:val="nil"/>
              <w:bottom w:val="nil"/>
              <w:right w:val="nil"/>
            </w:tcBorders>
            <w:vAlign w:val="center"/>
          </w:tcPr>
          <w:p w14:paraId="29B3A1C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Yes</w:t>
            </w:r>
          </w:p>
        </w:tc>
      </w:tr>
      <w:tr w14:paraId="1C589C7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03" w:hRule="atLeast"/>
        </w:trPr>
        <w:tc>
          <w:tcPr>
            <w:tcW w:w="0" w:type="auto"/>
            <w:tcBorders>
              <w:top w:val="nil"/>
              <w:left w:val="nil"/>
              <w:bottom w:val="nil"/>
              <w:right w:val="nil"/>
            </w:tcBorders>
            <w:vAlign w:val="center"/>
          </w:tcPr>
          <w:p w14:paraId="4108165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NDVI</w:t>
            </w:r>
          </w:p>
        </w:tc>
        <w:tc>
          <w:tcPr>
            <w:tcW w:w="0" w:type="auto"/>
            <w:tcBorders>
              <w:top w:val="nil"/>
              <w:left w:val="nil"/>
              <w:bottom w:val="nil"/>
              <w:right w:val="nil"/>
            </w:tcBorders>
            <w:vAlign w:val="center"/>
          </w:tcPr>
          <w:p w14:paraId="6E4E740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Rural vs Urban</w:t>
            </w:r>
          </w:p>
        </w:tc>
        <w:tc>
          <w:tcPr>
            <w:tcW w:w="0" w:type="auto"/>
            <w:tcBorders>
              <w:top w:val="nil"/>
              <w:left w:val="nil"/>
              <w:bottom w:val="nil"/>
              <w:right w:val="nil"/>
            </w:tcBorders>
            <w:vAlign w:val="center"/>
          </w:tcPr>
          <w:p w14:paraId="52C5272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-0.205</w:t>
            </w:r>
          </w:p>
        </w:tc>
        <w:tc>
          <w:tcPr>
            <w:tcW w:w="0" w:type="auto"/>
            <w:tcBorders>
              <w:top w:val="nil"/>
              <w:left w:val="nil"/>
              <w:bottom w:val="nil"/>
              <w:right w:val="nil"/>
            </w:tcBorders>
            <w:vAlign w:val="center"/>
          </w:tcPr>
          <w:p w14:paraId="707ACBA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0.000</w:t>
            </w:r>
          </w:p>
        </w:tc>
        <w:tc>
          <w:tcPr>
            <w:tcW w:w="0" w:type="auto"/>
            <w:tcBorders>
              <w:top w:val="nil"/>
              <w:left w:val="nil"/>
              <w:bottom w:val="nil"/>
              <w:right w:val="nil"/>
            </w:tcBorders>
            <w:vAlign w:val="center"/>
          </w:tcPr>
          <w:p w14:paraId="31E43F2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Yes</w:t>
            </w:r>
          </w:p>
        </w:tc>
      </w:tr>
      <w:tr w14:paraId="0C7B548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193" w:hRule="atLeast"/>
        </w:trPr>
        <w:tc>
          <w:tcPr>
            <w:tcW w:w="0" w:type="auto"/>
            <w:tcBorders>
              <w:top w:val="nil"/>
              <w:left w:val="nil"/>
              <w:bottom w:val="nil"/>
              <w:right w:val="nil"/>
            </w:tcBorders>
            <w:vAlign w:val="center"/>
          </w:tcPr>
          <w:p w14:paraId="0E76F8B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EVI</w:t>
            </w:r>
          </w:p>
        </w:tc>
        <w:tc>
          <w:tcPr>
            <w:tcW w:w="0" w:type="auto"/>
            <w:tcBorders>
              <w:top w:val="nil"/>
              <w:left w:val="nil"/>
              <w:bottom w:val="nil"/>
              <w:right w:val="nil"/>
            </w:tcBorders>
            <w:vAlign w:val="center"/>
          </w:tcPr>
          <w:p w14:paraId="052F5D05">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Peri-Urban vs Rural</w:t>
            </w:r>
          </w:p>
        </w:tc>
        <w:tc>
          <w:tcPr>
            <w:tcW w:w="0" w:type="auto"/>
            <w:tcBorders>
              <w:top w:val="nil"/>
              <w:left w:val="nil"/>
              <w:bottom w:val="nil"/>
              <w:right w:val="nil"/>
            </w:tcBorders>
            <w:vAlign w:val="center"/>
          </w:tcPr>
          <w:p w14:paraId="05103D9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0.030</w:t>
            </w:r>
          </w:p>
        </w:tc>
        <w:tc>
          <w:tcPr>
            <w:tcW w:w="0" w:type="auto"/>
            <w:tcBorders>
              <w:top w:val="nil"/>
              <w:left w:val="nil"/>
              <w:bottom w:val="nil"/>
              <w:right w:val="nil"/>
            </w:tcBorders>
            <w:vAlign w:val="center"/>
          </w:tcPr>
          <w:p w14:paraId="5B16B8B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0.3512</w:t>
            </w:r>
          </w:p>
        </w:tc>
        <w:tc>
          <w:tcPr>
            <w:tcW w:w="0" w:type="auto"/>
            <w:tcBorders>
              <w:top w:val="nil"/>
              <w:left w:val="nil"/>
              <w:bottom w:val="nil"/>
              <w:right w:val="nil"/>
            </w:tcBorders>
            <w:vAlign w:val="center"/>
          </w:tcPr>
          <w:p w14:paraId="11B94AE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No</w:t>
            </w:r>
          </w:p>
        </w:tc>
      </w:tr>
      <w:tr w14:paraId="323631A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193" w:hRule="atLeast"/>
        </w:trPr>
        <w:tc>
          <w:tcPr>
            <w:tcW w:w="0" w:type="auto"/>
            <w:tcBorders>
              <w:top w:val="nil"/>
              <w:left w:val="nil"/>
              <w:bottom w:val="nil"/>
              <w:right w:val="nil"/>
            </w:tcBorders>
            <w:vAlign w:val="center"/>
          </w:tcPr>
          <w:p w14:paraId="7266023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EVI</w:t>
            </w:r>
          </w:p>
        </w:tc>
        <w:tc>
          <w:tcPr>
            <w:tcW w:w="0" w:type="auto"/>
            <w:tcBorders>
              <w:top w:val="nil"/>
              <w:left w:val="nil"/>
              <w:bottom w:val="nil"/>
              <w:right w:val="nil"/>
            </w:tcBorders>
            <w:vAlign w:val="center"/>
          </w:tcPr>
          <w:p w14:paraId="4E6F4BD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Peri-Urban vs Urban</w:t>
            </w:r>
          </w:p>
        </w:tc>
        <w:tc>
          <w:tcPr>
            <w:tcW w:w="0" w:type="auto"/>
            <w:tcBorders>
              <w:top w:val="nil"/>
              <w:left w:val="nil"/>
              <w:bottom w:val="nil"/>
              <w:right w:val="nil"/>
            </w:tcBorders>
            <w:vAlign w:val="center"/>
          </w:tcPr>
          <w:p w14:paraId="1EBD9E4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-0.110</w:t>
            </w:r>
          </w:p>
        </w:tc>
        <w:tc>
          <w:tcPr>
            <w:tcW w:w="0" w:type="auto"/>
            <w:tcBorders>
              <w:top w:val="nil"/>
              <w:left w:val="nil"/>
              <w:bottom w:val="nil"/>
              <w:right w:val="nil"/>
            </w:tcBorders>
            <w:vAlign w:val="center"/>
          </w:tcPr>
          <w:p w14:paraId="6B6DA01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0.000</w:t>
            </w:r>
          </w:p>
        </w:tc>
        <w:tc>
          <w:tcPr>
            <w:tcW w:w="0" w:type="auto"/>
            <w:tcBorders>
              <w:top w:val="nil"/>
              <w:left w:val="nil"/>
              <w:bottom w:val="nil"/>
              <w:right w:val="nil"/>
            </w:tcBorders>
            <w:vAlign w:val="center"/>
          </w:tcPr>
          <w:p w14:paraId="67A4A40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Yes</w:t>
            </w:r>
          </w:p>
        </w:tc>
      </w:tr>
      <w:tr w14:paraId="33A9959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03" w:hRule="atLeast"/>
        </w:trPr>
        <w:tc>
          <w:tcPr>
            <w:tcW w:w="0" w:type="auto"/>
            <w:tcBorders>
              <w:top w:val="nil"/>
              <w:left w:val="nil"/>
              <w:bottom w:val="single" w:color="auto" w:sz="4" w:space="0"/>
              <w:right w:val="nil"/>
            </w:tcBorders>
            <w:vAlign w:val="center"/>
          </w:tcPr>
          <w:p w14:paraId="641BD6F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EVI</w:t>
            </w:r>
          </w:p>
        </w:tc>
        <w:tc>
          <w:tcPr>
            <w:tcW w:w="0" w:type="auto"/>
            <w:tcBorders>
              <w:top w:val="nil"/>
              <w:left w:val="nil"/>
              <w:bottom w:val="single" w:color="auto" w:sz="4" w:space="0"/>
              <w:right w:val="nil"/>
            </w:tcBorders>
            <w:vAlign w:val="center"/>
          </w:tcPr>
          <w:p w14:paraId="1B11BE6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Rural vs Urban</w:t>
            </w:r>
          </w:p>
        </w:tc>
        <w:tc>
          <w:tcPr>
            <w:tcW w:w="0" w:type="auto"/>
            <w:tcBorders>
              <w:top w:val="nil"/>
              <w:left w:val="nil"/>
              <w:bottom w:val="single" w:color="auto" w:sz="4" w:space="0"/>
              <w:right w:val="nil"/>
            </w:tcBorders>
            <w:vAlign w:val="center"/>
          </w:tcPr>
          <w:p w14:paraId="12C17F7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-0.140</w:t>
            </w:r>
          </w:p>
        </w:tc>
        <w:tc>
          <w:tcPr>
            <w:tcW w:w="0" w:type="auto"/>
            <w:tcBorders>
              <w:top w:val="nil"/>
              <w:left w:val="nil"/>
              <w:bottom w:val="single" w:color="auto" w:sz="4" w:space="0"/>
              <w:right w:val="nil"/>
            </w:tcBorders>
            <w:vAlign w:val="center"/>
          </w:tcPr>
          <w:p w14:paraId="24446F45">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0.000</w:t>
            </w:r>
          </w:p>
        </w:tc>
        <w:tc>
          <w:tcPr>
            <w:tcW w:w="0" w:type="auto"/>
            <w:tcBorders>
              <w:top w:val="nil"/>
              <w:left w:val="nil"/>
              <w:bottom w:val="single" w:color="auto" w:sz="4" w:space="0"/>
              <w:right w:val="nil"/>
            </w:tcBorders>
            <w:vAlign w:val="center"/>
          </w:tcPr>
          <w:p w14:paraId="706D7EE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Yes</w:t>
            </w:r>
          </w:p>
        </w:tc>
      </w:tr>
    </w:tbl>
    <w:p w14:paraId="0BDDAF6F">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These results confirm that urbanization significantly reduces vegetation cover and greenness also seen in Figure 3.5. NDVI and EVI decline progressively from rural to urban zones, with the largest reductions observed in highly built-up urban areas. </w:t>
      </w:r>
    </w:p>
    <w:p w14:paraId="529FF16A">
      <w:pPr>
        <w:spacing w:before="240" w:line="273" w:lineRule="auto"/>
        <w:jc w:val="both"/>
        <w:rPr>
          <w:rFonts w:ascii="Times New Roman" w:hAnsi="Times New Roman" w:eastAsia="Calibri" w:cs="Times New Roman"/>
          <w:sz w:val="28"/>
          <w:szCs w:val="28"/>
          <w14:ligatures w14:val="none"/>
        </w:rPr>
      </w:pPr>
      <w:r>
        <w:rPr>
          <w:rFonts w:ascii="Calibri" w:hAnsi="Calibri" w:eastAsia="Times New Roman" w:cs="Times New Roman"/>
          <w14:ligatures w14:val="none"/>
        </w:rPr>
        <w:drawing>
          <wp:inline distT="0" distB="0" distL="0" distR="0">
            <wp:extent cx="59436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943600" cy="3714750"/>
                    </a:xfrm>
                    <a:prstGeom prst="rect">
                      <a:avLst/>
                    </a:prstGeom>
                    <a:noFill/>
                    <a:ln>
                      <a:noFill/>
                    </a:ln>
                  </pic:spPr>
                </pic:pic>
              </a:graphicData>
            </a:graphic>
          </wp:inline>
        </w:drawing>
      </w:r>
      <w:r>
        <w:rPr>
          <w:rFonts w:ascii="Times New Roman" w:hAnsi="Times New Roman" w:eastAsia="Calibri" w:cs="Times New Roman"/>
          <w:sz w:val="28"/>
          <w:szCs w:val="28"/>
          <w14:ligatures w14:val="none"/>
        </w:rPr>
        <w:t xml:space="preserve"> </w:t>
      </w:r>
    </w:p>
    <w:p w14:paraId="5CFD6345">
      <w:pPr>
        <w:spacing w:before="100" w:beforeAutospacing="1" w:after="0" w:line="273" w:lineRule="auto"/>
        <w:jc w:val="center"/>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figure visually illustrates the sharp decrease in vegetation indices from rural to urban areas, supporting the statistical evidence presented in Tables 3.10 and 3.11.</w:t>
      </w:r>
    </w:p>
    <w:p w14:paraId="7FD64041">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sz w:val="28"/>
          <w:szCs w:val="28"/>
          <w14:ligatures w14:val="none"/>
        </w:rPr>
        <w:t>Figure 3.5:</w:t>
      </w:r>
      <w:r>
        <w:rPr>
          <w:rFonts w:ascii="Times New Roman" w:hAnsi="Times New Roman" w:eastAsia="Calibri" w:cs="Times New Roman"/>
          <w:sz w:val="28"/>
          <w:szCs w:val="28"/>
          <w14:ligatures w14:val="none"/>
        </w:rPr>
        <w:t xml:space="preserve"> Bar chart showing NDVI and EVI differences across zones.:</w:t>
      </w:r>
      <w:r>
        <w:rPr>
          <w:rFonts w:ascii="Times New Roman" w:hAnsi="Times New Roman" w:eastAsia="Calibri" w:cs="Times New Roman"/>
          <w:sz w:val="24"/>
          <w:szCs w:val="24"/>
          <w14:ligatures w14:val="none"/>
        </w:rPr>
        <w:t xml:space="preserve"> Author source</w:t>
      </w:r>
    </w:p>
    <w:p w14:paraId="596BF6EC">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68" w:name="_Toc215220518"/>
      <w:r>
        <w:rPr>
          <w:rFonts w:ascii="Times New Roman" w:hAnsi="Times New Roman" w:eastAsia="DengXian Light" w:cs="Times New Roman"/>
          <w:b/>
          <w:bCs/>
          <w:sz w:val="32"/>
          <w:szCs w:val="32"/>
          <w14:ligatures w14:val="none"/>
        </w:rPr>
        <w:t>3.5 Relationship Between Urbanization Metrics and Ecosystem Functioning</w:t>
      </w:r>
      <w:bookmarkEnd w:id="68"/>
    </w:p>
    <w:p w14:paraId="1DEC9893">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69" w:name="_Toc215220519"/>
      <w:r>
        <w:rPr>
          <w:rFonts w:ascii="Times New Roman" w:hAnsi="Times New Roman" w:eastAsia="DengXian Light" w:cs="Times New Roman"/>
          <w:b/>
          <w:bCs/>
          <w:sz w:val="32"/>
          <w:szCs w:val="32"/>
          <w14:ligatures w14:val="none"/>
        </w:rPr>
        <w:t>3. 5.1 Summary of Urbanization Indicators</w:t>
      </w:r>
      <w:bookmarkEnd w:id="69"/>
    </w:p>
    <w:p w14:paraId="24E46A06">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To establish the basic outline of urban growth across the study wards in both LGAs, there are three key indicators that were summarized: 1) built-up intensity, 2) night-time lights (NTL), and 3) population density (POP). Table 3.12 presents the descriptive statistics for these variables.</w:t>
      </w:r>
    </w:p>
    <w:p w14:paraId="31B10FEB">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built-up percentage (intensity) had average value of 2.64, with values ranging from 2.00 to 5.68, and reflecting the expected gradient from rural to highly urbanized wards. Night-time lights showed a mean of 1.69, but with a relatively large standard deviation (1.69) and a wide spread (0.26–5.68), consistent with strong contrasts in electrification and economic activity within the landscape. The findings falso shows that population density also exhibited substantial variability, with values ranging from 0.64 to 59.13 and an overall mean of 15.36, signaling the coexistence of sparsely settled peri-urban/rural wards and densely populated urban Centre’s.</w:t>
      </w:r>
    </w:p>
    <w:p w14:paraId="70BC8794">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sz w:val="28"/>
          <w:szCs w:val="28"/>
          <w14:ligatures w14:val="none"/>
        </w:rPr>
        <w:t>Table 3.12:</w:t>
      </w:r>
      <w:r>
        <w:rPr>
          <w:rFonts w:ascii="Times New Roman" w:hAnsi="Times New Roman" w:eastAsia="Calibri" w:cs="Times New Roman"/>
          <w:sz w:val="28"/>
          <w:szCs w:val="28"/>
          <w14:ligatures w14:val="none"/>
        </w:rPr>
        <w:t xml:space="preserve"> Descriptive Statistics for Urbanization Variables:</w:t>
      </w:r>
      <w:r>
        <w:rPr>
          <w:rFonts w:ascii="Times New Roman" w:hAnsi="Times New Roman" w:eastAsia="Calibri" w:cs="Times New Roman"/>
          <w:sz w:val="24"/>
          <w:szCs w:val="24"/>
          <w14:ligatures w14:val="none"/>
        </w:rPr>
        <w:t xml:space="preserve"> Author source</w:t>
      </w:r>
    </w:p>
    <w:tbl>
      <w:tblPr>
        <w:tblStyle w:val="19"/>
        <w:tblW w:w="9069"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1762"/>
        <w:gridCol w:w="681"/>
        <w:gridCol w:w="1255"/>
        <w:gridCol w:w="1619"/>
        <w:gridCol w:w="990"/>
        <w:gridCol w:w="1585"/>
        <w:gridCol w:w="1177"/>
      </w:tblGrid>
      <w:tr w14:paraId="28597F5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415" w:hRule="atLeast"/>
        </w:trPr>
        <w:tc>
          <w:tcPr>
            <w:tcW w:w="0" w:type="auto"/>
            <w:tcBorders>
              <w:top w:val="single" w:color="auto" w:sz="4" w:space="0"/>
              <w:left w:val="nil"/>
              <w:bottom w:val="single" w:color="auto" w:sz="4" w:space="0"/>
              <w:right w:val="nil"/>
            </w:tcBorders>
          </w:tcPr>
          <w:p w14:paraId="0BAA3779">
            <w:pPr>
              <w:spacing w:before="100" w:beforeAutospacing="1" w:after="0" w:line="256" w:lineRule="auto"/>
              <w:jc w:val="center"/>
              <w:rPr>
                <w:rFonts w:ascii="Times New Roman" w:hAnsi="Times New Roman" w:eastAsia="SimSun" w:cs="Times New Roman"/>
                <w:b/>
                <w:bCs/>
                <w:kern w:val="0"/>
                <w:sz w:val="28"/>
                <w:szCs w:val="28"/>
                <w14:ligatures w14:val="none"/>
              </w:rPr>
            </w:pPr>
            <w:r>
              <w:rPr>
                <w:rFonts w:ascii="Times New Roman" w:hAnsi="Times New Roman" w:eastAsia="Times New Roman" w:cs="Times New Roman"/>
                <w:b/>
                <w:bCs/>
                <w:kern w:val="0"/>
                <w:sz w:val="28"/>
                <w:szCs w:val="28"/>
                <w14:ligatures w14:val="none"/>
              </w:rPr>
              <w:t>Variable</w:t>
            </w:r>
          </w:p>
        </w:tc>
        <w:tc>
          <w:tcPr>
            <w:tcW w:w="0" w:type="auto"/>
            <w:tcBorders>
              <w:top w:val="single" w:color="auto" w:sz="4" w:space="0"/>
              <w:left w:val="nil"/>
              <w:bottom w:val="single" w:color="auto" w:sz="4" w:space="0"/>
              <w:right w:val="nil"/>
            </w:tcBorders>
          </w:tcPr>
          <w:p w14:paraId="1C1ED66E">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n</w:t>
            </w:r>
          </w:p>
        </w:tc>
        <w:tc>
          <w:tcPr>
            <w:tcW w:w="0" w:type="auto"/>
            <w:tcBorders>
              <w:top w:val="single" w:color="auto" w:sz="4" w:space="0"/>
              <w:left w:val="nil"/>
              <w:bottom w:val="single" w:color="auto" w:sz="4" w:space="0"/>
              <w:right w:val="nil"/>
            </w:tcBorders>
          </w:tcPr>
          <w:p w14:paraId="6614F9A6">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Mean</w:t>
            </w:r>
          </w:p>
        </w:tc>
        <w:tc>
          <w:tcPr>
            <w:tcW w:w="0" w:type="auto"/>
            <w:tcBorders>
              <w:top w:val="single" w:color="auto" w:sz="4" w:space="0"/>
              <w:left w:val="nil"/>
              <w:bottom w:val="single" w:color="auto" w:sz="4" w:space="0"/>
              <w:right w:val="nil"/>
            </w:tcBorders>
          </w:tcPr>
          <w:p w14:paraId="4DBA3E47">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Std Dev</w:t>
            </w:r>
          </w:p>
        </w:tc>
        <w:tc>
          <w:tcPr>
            <w:tcW w:w="0" w:type="auto"/>
            <w:tcBorders>
              <w:top w:val="single" w:color="auto" w:sz="4" w:space="0"/>
              <w:left w:val="nil"/>
              <w:bottom w:val="single" w:color="auto" w:sz="4" w:space="0"/>
              <w:right w:val="nil"/>
            </w:tcBorders>
          </w:tcPr>
          <w:p w14:paraId="7CF415FC">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Min</w:t>
            </w:r>
          </w:p>
        </w:tc>
        <w:tc>
          <w:tcPr>
            <w:tcW w:w="0" w:type="auto"/>
            <w:tcBorders>
              <w:top w:val="single" w:color="auto" w:sz="4" w:space="0"/>
              <w:left w:val="nil"/>
              <w:bottom w:val="single" w:color="auto" w:sz="4" w:space="0"/>
              <w:right w:val="nil"/>
            </w:tcBorders>
          </w:tcPr>
          <w:p w14:paraId="3AFC6FD7">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Median</w:t>
            </w:r>
          </w:p>
        </w:tc>
        <w:tc>
          <w:tcPr>
            <w:tcW w:w="0" w:type="auto"/>
            <w:tcBorders>
              <w:top w:val="single" w:color="auto" w:sz="4" w:space="0"/>
              <w:left w:val="nil"/>
              <w:bottom w:val="single" w:color="auto" w:sz="4" w:space="0"/>
              <w:right w:val="nil"/>
            </w:tcBorders>
          </w:tcPr>
          <w:p w14:paraId="015B585C">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Max</w:t>
            </w:r>
          </w:p>
        </w:tc>
      </w:tr>
      <w:tr w14:paraId="0FED7EC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415" w:hRule="atLeast"/>
        </w:trPr>
        <w:tc>
          <w:tcPr>
            <w:tcW w:w="0" w:type="auto"/>
            <w:tcBorders>
              <w:top w:val="single" w:color="auto" w:sz="4" w:space="0"/>
              <w:left w:val="nil"/>
              <w:bottom w:val="nil"/>
              <w:right w:val="nil"/>
            </w:tcBorders>
          </w:tcPr>
          <w:p w14:paraId="0C75FB4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Built-Up</w:t>
            </w:r>
          </w:p>
        </w:tc>
        <w:tc>
          <w:tcPr>
            <w:tcW w:w="0" w:type="auto"/>
            <w:tcBorders>
              <w:top w:val="single" w:color="auto" w:sz="4" w:space="0"/>
              <w:left w:val="nil"/>
              <w:bottom w:val="nil"/>
              <w:right w:val="nil"/>
            </w:tcBorders>
          </w:tcPr>
          <w:p w14:paraId="2534ADC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24</w:t>
            </w:r>
          </w:p>
        </w:tc>
        <w:tc>
          <w:tcPr>
            <w:tcW w:w="0" w:type="auto"/>
            <w:tcBorders>
              <w:top w:val="single" w:color="auto" w:sz="4" w:space="0"/>
              <w:left w:val="nil"/>
              <w:bottom w:val="nil"/>
              <w:right w:val="nil"/>
            </w:tcBorders>
          </w:tcPr>
          <w:p w14:paraId="70FAFC6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2.64</w:t>
            </w:r>
          </w:p>
        </w:tc>
        <w:tc>
          <w:tcPr>
            <w:tcW w:w="0" w:type="auto"/>
            <w:tcBorders>
              <w:top w:val="single" w:color="auto" w:sz="4" w:space="0"/>
              <w:left w:val="nil"/>
              <w:bottom w:val="nil"/>
              <w:right w:val="nil"/>
            </w:tcBorders>
          </w:tcPr>
          <w:p w14:paraId="67B2B6F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1.02</w:t>
            </w:r>
          </w:p>
        </w:tc>
        <w:tc>
          <w:tcPr>
            <w:tcW w:w="0" w:type="auto"/>
            <w:tcBorders>
              <w:top w:val="single" w:color="auto" w:sz="4" w:space="0"/>
              <w:left w:val="nil"/>
              <w:bottom w:val="nil"/>
              <w:right w:val="nil"/>
            </w:tcBorders>
          </w:tcPr>
          <w:p w14:paraId="4E228117">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2.00</w:t>
            </w:r>
          </w:p>
        </w:tc>
        <w:tc>
          <w:tcPr>
            <w:tcW w:w="0" w:type="auto"/>
            <w:tcBorders>
              <w:top w:val="single" w:color="auto" w:sz="4" w:space="0"/>
              <w:left w:val="nil"/>
              <w:bottom w:val="nil"/>
              <w:right w:val="nil"/>
            </w:tcBorders>
          </w:tcPr>
          <w:p w14:paraId="1CBF3B4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2.01</w:t>
            </w:r>
          </w:p>
        </w:tc>
        <w:tc>
          <w:tcPr>
            <w:tcW w:w="0" w:type="auto"/>
            <w:tcBorders>
              <w:top w:val="single" w:color="auto" w:sz="4" w:space="0"/>
              <w:left w:val="nil"/>
              <w:bottom w:val="nil"/>
              <w:right w:val="nil"/>
            </w:tcBorders>
          </w:tcPr>
          <w:p w14:paraId="6F50F5A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5.68</w:t>
            </w:r>
          </w:p>
        </w:tc>
      </w:tr>
      <w:tr w14:paraId="3A92349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415" w:hRule="atLeast"/>
        </w:trPr>
        <w:tc>
          <w:tcPr>
            <w:tcW w:w="0" w:type="auto"/>
            <w:tcBorders>
              <w:top w:val="nil"/>
              <w:left w:val="nil"/>
              <w:bottom w:val="nil"/>
              <w:right w:val="nil"/>
            </w:tcBorders>
          </w:tcPr>
          <w:p w14:paraId="25259A9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NTL</w:t>
            </w:r>
          </w:p>
        </w:tc>
        <w:tc>
          <w:tcPr>
            <w:tcW w:w="0" w:type="auto"/>
            <w:tcBorders>
              <w:top w:val="nil"/>
              <w:left w:val="nil"/>
              <w:bottom w:val="nil"/>
              <w:right w:val="nil"/>
            </w:tcBorders>
          </w:tcPr>
          <w:p w14:paraId="2EA88E3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24</w:t>
            </w:r>
          </w:p>
        </w:tc>
        <w:tc>
          <w:tcPr>
            <w:tcW w:w="0" w:type="auto"/>
            <w:tcBorders>
              <w:top w:val="nil"/>
              <w:left w:val="nil"/>
              <w:bottom w:val="nil"/>
              <w:right w:val="nil"/>
            </w:tcBorders>
          </w:tcPr>
          <w:p w14:paraId="1363A08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1.69</w:t>
            </w:r>
          </w:p>
        </w:tc>
        <w:tc>
          <w:tcPr>
            <w:tcW w:w="0" w:type="auto"/>
            <w:tcBorders>
              <w:top w:val="nil"/>
              <w:left w:val="nil"/>
              <w:bottom w:val="nil"/>
              <w:right w:val="nil"/>
            </w:tcBorders>
          </w:tcPr>
          <w:p w14:paraId="701233C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1.69</w:t>
            </w:r>
          </w:p>
        </w:tc>
        <w:tc>
          <w:tcPr>
            <w:tcW w:w="0" w:type="auto"/>
            <w:tcBorders>
              <w:top w:val="nil"/>
              <w:left w:val="nil"/>
              <w:bottom w:val="nil"/>
              <w:right w:val="nil"/>
            </w:tcBorders>
          </w:tcPr>
          <w:p w14:paraId="055875B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0.26</w:t>
            </w:r>
          </w:p>
        </w:tc>
        <w:tc>
          <w:tcPr>
            <w:tcW w:w="0" w:type="auto"/>
            <w:tcBorders>
              <w:top w:val="nil"/>
              <w:left w:val="nil"/>
              <w:bottom w:val="nil"/>
              <w:right w:val="nil"/>
            </w:tcBorders>
          </w:tcPr>
          <w:p w14:paraId="2DA8B80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0.73</w:t>
            </w:r>
          </w:p>
        </w:tc>
        <w:tc>
          <w:tcPr>
            <w:tcW w:w="0" w:type="auto"/>
            <w:tcBorders>
              <w:top w:val="nil"/>
              <w:left w:val="nil"/>
              <w:bottom w:val="nil"/>
              <w:right w:val="nil"/>
            </w:tcBorders>
          </w:tcPr>
          <w:p w14:paraId="3CA900D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5.68</w:t>
            </w:r>
          </w:p>
        </w:tc>
      </w:tr>
      <w:tr w14:paraId="05D4F43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415" w:hRule="atLeast"/>
        </w:trPr>
        <w:tc>
          <w:tcPr>
            <w:tcW w:w="0" w:type="auto"/>
            <w:tcBorders>
              <w:top w:val="nil"/>
              <w:left w:val="nil"/>
              <w:bottom w:val="single" w:color="auto" w:sz="4" w:space="0"/>
              <w:right w:val="nil"/>
            </w:tcBorders>
          </w:tcPr>
          <w:p w14:paraId="15F746D7">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POP</w:t>
            </w:r>
          </w:p>
        </w:tc>
        <w:tc>
          <w:tcPr>
            <w:tcW w:w="0" w:type="auto"/>
            <w:tcBorders>
              <w:top w:val="nil"/>
              <w:left w:val="nil"/>
              <w:bottom w:val="single" w:color="auto" w:sz="4" w:space="0"/>
              <w:right w:val="nil"/>
            </w:tcBorders>
          </w:tcPr>
          <w:p w14:paraId="4A65675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24</w:t>
            </w:r>
          </w:p>
        </w:tc>
        <w:tc>
          <w:tcPr>
            <w:tcW w:w="0" w:type="auto"/>
            <w:tcBorders>
              <w:top w:val="nil"/>
              <w:left w:val="nil"/>
              <w:bottom w:val="single" w:color="auto" w:sz="4" w:space="0"/>
              <w:right w:val="nil"/>
            </w:tcBorders>
          </w:tcPr>
          <w:p w14:paraId="2F3B630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15.36</w:t>
            </w:r>
          </w:p>
        </w:tc>
        <w:tc>
          <w:tcPr>
            <w:tcW w:w="0" w:type="auto"/>
            <w:tcBorders>
              <w:top w:val="nil"/>
              <w:left w:val="nil"/>
              <w:bottom w:val="single" w:color="auto" w:sz="4" w:space="0"/>
              <w:right w:val="nil"/>
            </w:tcBorders>
          </w:tcPr>
          <w:p w14:paraId="1451FFB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17.51</w:t>
            </w:r>
          </w:p>
        </w:tc>
        <w:tc>
          <w:tcPr>
            <w:tcW w:w="0" w:type="auto"/>
            <w:tcBorders>
              <w:top w:val="nil"/>
              <w:left w:val="nil"/>
              <w:bottom w:val="single" w:color="auto" w:sz="4" w:space="0"/>
              <w:right w:val="nil"/>
            </w:tcBorders>
          </w:tcPr>
          <w:p w14:paraId="28CD08D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0.64</w:t>
            </w:r>
          </w:p>
        </w:tc>
        <w:tc>
          <w:tcPr>
            <w:tcW w:w="0" w:type="auto"/>
            <w:tcBorders>
              <w:top w:val="nil"/>
              <w:left w:val="nil"/>
              <w:bottom w:val="single" w:color="auto" w:sz="4" w:space="0"/>
              <w:right w:val="nil"/>
            </w:tcBorders>
          </w:tcPr>
          <w:p w14:paraId="5CD8303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3.88</w:t>
            </w:r>
          </w:p>
        </w:tc>
        <w:tc>
          <w:tcPr>
            <w:tcW w:w="0" w:type="auto"/>
            <w:tcBorders>
              <w:top w:val="nil"/>
              <w:left w:val="nil"/>
              <w:bottom w:val="single" w:color="auto" w:sz="4" w:space="0"/>
              <w:right w:val="nil"/>
            </w:tcBorders>
          </w:tcPr>
          <w:p w14:paraId="6CBF66B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59.13</w:t>
            </w:r>
          </w:p>
        </w:tc>
      </w:tr>
    </w:tbl>
    <w:p w14:paraId="55A9CB8E">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To explore the interrelationships among the three indicators, Pearson correlation coefficients were computed (Table 3.13 and Figure 3.6). All three-urbanization metrics were strongly and positively correlated with one another. Built-up intensity was very highly correlated with both NTL (r = 0.84) and population density (r = 0.91). Similarly, NTL and population density were also strongly correlated (r = 0.88).</w:t>
      </w:r>
    </w:p>
    <w:p w14:paraId="6DF2DDCD">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corresponding p-values (Table 3.14) were all statistically significant (p &lt; 0.001), confirming that these associations are unlikely to arise by chance. These patterns indicate that the urbanization indicators are closely interlinked that is, wards with higher population density tend to have more built-up surfaces and stronger night-time illumination. This multicollinearity has diagnostic implications for regression modelling and justifies the use of variance inflation factor (VIF) checks in Section 3.5.3.</w:t>
      </w:r>
    </w:p>
    <w:p w14:paraId="1933EBCC">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b/>
          <w:bCs/>
          <w:sz w:val="28"/>
          <w:szCs w:val="28"/>
          <w14:ligatures w14:val="none"/>
        </w:rPr>
        <w:t>Table 3.13:</w:t>
      </w:r>
      <w:r>
        <w:rPr>
          <w:rFonts w:ascii="Times New Roman" w:hAnsi="Times New Roman" w:eastAsia="Calibri" w:cs="Times New Roman"/>
          <w:sz w:val="28"/>
          <w:szCs w:val="28"/>
          <w14:ligatures w14:val="none"/>
        </w:rPr>
        <w:t xml:space="preserve"> Correlation Matrix for Urbanization Variables</w:t>
      </w:r>
    </w:p>
    <w:tbl>
      <w:tblPr>
        <w:tblStyle w:val="19"/>
        <w:tblW w:w="9227"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2780"/>
        <w:gridCol w:w="2781"/>
        <w:gridCol w:w="1852"/>
        <w:gridCol w:w="1814"/>
      </w:tblGrid>
      <w:tr w14:paraId="42DBE8A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390" w:hRule="atLeast"/>
        </w:trPr>
        <w:tc>
          <w:tcPr>
            <w:tcW w:w="0" w:type="auto"/>
            <w:tcBorders>
              <w:top w:val="single" w:color="auto" w:sz="4" w:space="0"/>
              <w:left w:val="nil"/>
              <w:bottom w:val="single" w:color="auto" w:sz="4" w:space="0"/>
              <w:right w:val="nil"/>
            </w:tcBorders>
          </w:tcPr>
          <w:p w14:paraId="77E9C15B">
            <w:pPr>
              <w:spacing w:before="100" w:beforeAutospacing="1" w:after="0" w:line="256" w:lineRule="auto"/>
              <w:rPr>
                <w:rFonts w:ascii="Times New Roman" w:hAnsi="Times New Roman" w:eastAsia="SimSun" w:cs="Times New Roman"/>
                <w:kern w:val="0"/>
                <w:sz w:val="28"/>
                <w:szCs w:val="28"/>
                <w14:ligatures w14:val="none"/>
              </w:rPr>
            </w:pPr>
          </w:p>
        </w:tc>
        <w:tc>
          <w:tcPr>
            <w:tcW w:w="0" w:type="auto"/>
            <w:tcBorders>
              <w:top w:val="single" w:color="auto" w:sz="4" w:space="0"/>
              <w:left w:val="nil"/>
              <w:bottom w:val="single" w:color="auto" w:sz="4" w:space="0"/>
              <w:right w:val="nil"/>
            </w:tcBorders>
          </w:tcPr>
          <w:p w14:paraId="5DABAE80">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BuiltUP</w:t>
            </w:r>
          </w:p>
        </w:tc>
        <w:tc>
          <w:tcPr>
            <w:tcW w:w="0" w:type="auto"/>
            <w:tcBorders>
              <w:top w:val="single" w:color="auto" w:sz="4" w:space="0"/>
              <w:left w:val="nil"/>
              <w:bottom w:val="single" w:color="auto" w:sz="4" w:space="0"/>
              <w:right w:val="nil"/>
            </w:tcBorders>
          </w:tcPr>
          <w:p w14:paraId="1E525AD0">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NTL</w:t>
            </w:r>
          </w:p>
        </w:tc>
        <w:tc>
          <w:tcPr>
            <w:tcW w:w="0" w:type="auto"/>
            <w:tcBorders>
              <w:top w:val="single" w:color="auto" w:sz="4" w:space="0"/>
              <w:left w:val="nil"/>
              <w:bottom w:val="single" w:color="auto" w:sz="4" w:space="0"/>
              <w:right w:val="nil"/>
            </w:tcBorders>
          </w:tcPr>
          <w:p w14:paraId="5872B022">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POP</w:t>
            </w:r>
          </w:p>
        </w:tc>
      </w:tr>
      <w:tr w14:paraId="3DB6921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390" w:hRule="atLeast"/>
        </w:trPr>
        <w:tc>
          <w:tcPr>
            <w:tcW w:w="0" w:type="auto"/>
            <w:tcBorders>
              <w:top w:val="single" w:color="auto" w:sz="4" w:space="0"/>
              <w:left w:val="nil"/>
              <w:bottom w:val="nil"/>
              <w:right w:val="nil"/>
            </w:tcBorders>
          </w:tcPr>
          <w:p w14:paraId="0978785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kern w:val="0"/>
                <w:sz w:val="28"/>
                <w:szCs w:val="28"/>
                <w14:ligatures w14:val="none"/>
              </w:rPr>
              <w:t>BuiltUP</w:t>
            </w:r>
          </w:p>
        </w:tc>
        <w:tc>
          <w:tcPr>
            <w:tcW w:w="0" w:type="auto"/>
            <w:tcBorders>
              <w:top w:val="single" w:color="auto" w:sz="4" w:space="0"/>
              <w:left w:val="nil"/>
              <w:bottom w:val="nil"/>
              <w:right w:val="nil"/>
            </w:tcBorders>
          </w:tcPr>
          <w:p w14:paraId="6DADE4F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1.00</w:t>
            </w:r>
          </w:p>
        </w:tc>
        <w:tc>
          <w:tcPr>
            <w:tcW w:w="0" w:type="auto"/>
            <w:tcBorders>
              <w:top w:val="single" w:color="auto" w:sz="4" w:space="0"/>
              <w:left w:val="nil"/>
              <w:bottom w:val="nil"/>
              <w:right w:val="nil"/>
            </w:tcBorders>
          </w:tcPr>
          <w:p w14:paraId="4334DFF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0.84</w:t>
            </w:r>
          </w:p>
        </w:tc>
        <w:tc>
          <w:tcPr>
            <w:tcW w:w="0" w:type="auto"/>
            <w:tcBorders>
              <w:top w:val="single" w:color="auto" w:sz="4" w:space="0"/>
              <w:left w:val="nil"/>
              <w:bottom w:val="nil"/>
              <w:right w:val="nil"/>
            </w:tcBorders>
          </w:tcPr>
          <w:p w14:paraId="5E820995">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0.91</w:t>
            </w:r>
          </w:p>
        </w:tc>
      </w:tr>
      <w:tr w14:paraId="7608FAC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390" w:hRule="atLeast"/>
        </w:trPr>
        <w:tc>
          <w:tcPr>
            <w:tcW w:w="0" w:type="auto"/>
            <w:tcBorders>
              <w:top w:val="nil"/>
              <w:left w:val="nil"/>
              <w:bottom w:val="nil"/>
              <w:right w:val="nil"/>
            </w:tcBorders>
          </w:tcPr>
          <w:p w14:paraId="200E501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kern w:val="0"/>
                <w:sz w:val="28"/>
                <w:szCs w:val="28"/>
                <w14:ligatures w14:val="none"/>
              </w:rPr>
              <w:t>NTL</w:t>
            </w:r>
          </w:p>
        </w:tc>
        <w:tc>
          <w:tcPr>
            <w:tcW w:w="0" w:type="auto"/>
            <w:tcBorders>
              <w:top w:val="nil"/>
              <w:left w:val="nil"/>
              <w:bottom w:val="nil"/>
              <w:right w:val="nil"/>
            </w:tcBorders>
          </w:tcPr>
          <w:p w14:paraId="60239237">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0.84</w:t>
            </w:r>
          </w:p>
        </w:tc>
        <w:tc>
          <w:tcPr>
            <w:tcW w:w="0" w:type="auto"/>
            <w:tcBorders>
              <w:top w:val="nil"/>
              <w:left w:val="nil"/>
              <w:bottom w:val="nil"/>
              <w:right w:val="nil"/>
            </w:tcBorders>
          </w:tcPr>
          <w:p w14:paraId="4FAD3E97">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1.00</w:t>
            </w:r>
          </w:p>
        </w:tc>
        <w:tc>
          <w:tcPr>
            <w:tcW w:w="0" w:type="auto"/>
            <w:tcBorders>
              <w:top w:val="nil"/>
              <w:left w:val="nil"/>
              <w:bottom w:val="nil"/>
              <w:right w:val="nil"/>
            </w:tcBorders>
          </w:tcPr>
          <w:p w14:paraId="4447154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0.88</w:t>
            </w:r>
          </w:p>
        </w:tc>
      </w:tr>
      <w:tr w14:paraId="7317241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390" w:hRule="atLeast"/>
        </w:trPr>
        <w:tc>
          <w:tcPr>
            <w:tcW w:w="0" w:type="auto"/>
            <w:tcBorders>
              <w:top w:val="nil"/>
              <w:left w:val="nil"/>
              <w:bottom w:val="single" w:color="auto" w:sz="4" w:space="0"/>
              <w:right w:val="nil"/>
            </w:tcBorders>
          </w:tcPr>
          <w:p w14:paraId="5189429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kern w:val="0"/>
                <w:sz w:val="28"/>
                <w:szCs w:val="28"/>
                <w14:ligatures w14:val="none"/>
              </w:rPr>
              <w:t>POP</w:t>
            </w:r>
          </w:p>
        </w:tc>
        <w:tc>
          <w:tcPr>
            <w:tcW w:w="0" w:type="auto"/>
            <w:tcBorders>
              <w:top w:val="nil"/>
              <w:left w:val="nil"/>
              <w:bottom w:val="single" w:color="auto" w:sz="4" w:space="0"/>
              <w:right w:val="nil"/>
            </w:tcBorders>
          </w:tcPr>
          <w:p w14:paraId="19CB76D7">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0.91</w:t>
            </w:r>
          </w:p>
        </w:tc>
        <w:tc>
          <w:tcPr>
            <w:tcW w:w="0" w:type="auto"/>
            <w:tcBorders>
              <w:top w:val="nil"/>
              <w:left w:val="nil"/>
              <w:bottom w:val="single" w:color="auto" w:sz="4" w:space="0"/>
              <w:right w:val="nil"/>
            </w:tcBorders>
          </w:tcPr>
          <w:p w14:paraId="2D9AD87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0.88</w:t>
            </w:r>
          </w:p>
        </w:tc>
        <w:tc>
          <w:tcPr>
            <w:tcW w:w="0" w:type="auto"/>
            <w:tcBorders>
              <w:top w:val="nil"/>
              <w:left w:val="nil"/>
              <w:bottom w:val="single" w:color="auto" w:sz="4" w:space="0"/>
              <w:right w:val="nil"/>
            </w:tcBorders>
          </w:tcPr>
          <w:p w14:paraId="2870311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1.00</w:t>
            </w:r>
          </w:p>
        </w:tc>
      </w:tr>
    </w:tbl>
    <w:p w14:paraId="59D0EBDC">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sz w:val="24"/>
          <w:szCs w:val="24"/>
          <w14:ligatures w14:val="none"/>
        </w:rPr>
        <w:t>Author source</w:t>
      </w:r>
    </w:p>
    <w:p w14:paraId="758A906C">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b/>
          <w:bCs/>
          <w:sz w:val="28"/>
          <w:szCs w:val="28"/>
          <w14:ligatures w14:val="none"/>
        </w:rPr>
        <w:t>Table 3.14:</w:t>
      </w:r>
      <w:r>
        <w:rPr>
          <w:rFonts w:ascii="Times New Roman" w:hAnsi="Times New Roman" w:eastAsia="Calibri" w:cs="Times New Roman"/>
          <w:sz w:val="28"/>
          <w:szCs w:val="28"/>
          <w14:ligatures w14:val="none"/>
        </w:rPr>
        <w:t xml:space="preserve"> p-values for Correlations</w:t>
      </w:r>
    </w:p>
    <w:tbl>
      <w:tblPr>
        <w:tblStyle w:val="19"/>
        <w:tblW w:w="9300"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2062"/>
        <w:gridCol w:w="2462"/>
        <w:gridCol w:w="2313"/>
        <w:gridCol w:w="2463"/>
      </w:tblGrid>
      <w:tr w14:paraId="6A1C57F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411" w:hRule="atLeast"/>
        </w:trPr>
        <w:tc>
          <w:tcPr>
            <w:tcW w:w="0" w:type="auto"/>
            <w:tcBorders>
              <w:top w:val="single" w:color="auto" w:sz="4" w:space="0"/>
              <w:left w:val="nil"/>
              <w:bottom w:val="single" w:color="auto" w:sz="4" w:space="0"/>
              <w:right w:val="nil"/>
            </w:tcBorders>
          </w:tcPr>
          <w:p w14:paraId="5FD36D87">
            <w:pPr>
              <w:spacing w:before="100" w:beforeAutospacing="1" w:after="0" w:line="256" w:lineRule="auto"/>
              <w:rPr>
                <w:rFonts w:ascii="Times New Roman" w:hAnsi="Times New Roman" w:eastAsia="SimSun" w:cs="Times New Roman"/>
                <w:kern w:val="0"/>
                <w:sz w:val="28"/>
                <w:szCs w:val="28"/>
                <w14:ligatures w14:val="none"/>
              </w:rPr>
            </w:pPr>
          </w:p>
        </w:tc>
        <w:tc>
          <w:tcPr>
            <w:tcW w:w="0" w:type="auto"/>
            <w:tcBorders>
              <w:top w:val="single" w:color="auto" w:sz="4" w:space="0"/>
              <w:left w:val="nil"/>
              <w:bottom w:val="single" w:color="auto" w:sz="4" w:space="0"/>
              <w:right w:val="nil"/>
            </w:tcBorders>
          </w:tcPr>
          <w:p w14:paraId="4D1DBC45">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BuiltUP</w:t>
            </w:r>
          </w:p>
        </w:tc>
        <w:tc>
          <w:tcPr>
            <w:tcW w:w="0" w:type="auto"/>
            <w:tcBorders>
              <w:top w:val="single" w:color="auto" w:sz="4" w:space="0"/>
              <w:left w:val="nil"/>
              <w:bottom w:val="single" w:color="auto" w:sz="4" w:space="0"/>
              <w:right w:val="nil"/>
            </w:tcBorders>
          </w:tcPr>
          <w:p w14:paraId="08CC6FF2">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NTL</w:t>
            </w:r>
          </w:p>
        </w:tc>
        <w:tc>
          <w:tcPr>
            <w:tcW w:w="0" w:type="auto"/>
            <w:tcBorders>
              <w:top w:val="single" w:color="auto" w:sz="4" w:space="0"/>
              <w:left w:val="nil"/>
              <w:bottom w:val="single" w:color="auto" w:sz="4" w:space="0"/>
              <w:right w:val="nil"/>
            </w:tcBorders>
          </w:tcPr>
          <w:p w14:paraId="25EF5854">
            <w:pPr>
              <w:spacing w:before="100" w:beforeAutospacing="1" w:after="0" w:line="256" w:lineRule="auto"/>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POP</w:t>
            </w:r>
          </w:p>
        </w:tc>
      </w:tr>
      <w:tr w14:paraId="0FAD08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411" w:hRule="atLeast"/>
        </w:trPr>
        <w:tc>
          <w:tcPr>
            <w:tcW w:w="0" w:type="auto"/>
            <w:tcBorders>
              <w:top w:val="single" w:color="auto" w:sz="4" w:space="0"/>
              <w:left w:val="nil"/>
              <w:bottom w:val="nil"/>
              <w:right w:val="nil"/>
            </w:tcBorders>
          </w:tcPr>
          <w:p w14:paraId="5C66B90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kern w:val="0"/>
                <w:sz w:val="28"/>
                <w:szCs w:val="28"/>
                <w14:ligatures w14:val="none"/>
              </w:rPr>
              <w:t>BuiltUP</w:t>
            </w:r>
          </w:p>
        </w:tc>
        <w:tc>
          <w:tcPr>
            <w:tcW w:w="0" w:type="auto"/>
            <w:tcBorders>
              <w:top w:val="single" w:color="auto" w:sz="4" w:space="0"/>
              <w:left w:val="nil"/>
              <w:bottom w:val="nil"/>
              <w:right w:val="nil"/>
            </w:tcBorders>
          </w:tcPr>
          <w:p w14:paraId="6BD6154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w:t>
            </w:r>
          </w:p>
        </w:tc>
        <w:tc>
          <w:tcPr>
            <w:tcW w:w="0" w:type="auto"/>
            <w:tcBorders>
              <w:top w:val="single" w:color="auto" w:sz="4" w:space="0"/>
              <w:left w:val="nil"/>
              <w:bottom w:val="nil"/>
              <w:right w:val="nil"/>
            </w:tcBorders>
          </w:tcPr>
          <w:p w14:paraId="0EFAC0F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3.10×10⁻⁷</w:t>
            </w:r>
          </w:p>
        </w:tc>
        <w:tc>
          <w:tcPr>
            <w:tcW w:w="0" w:type="auto"/>
            <w:tcBorders>
              <w:top w:val="single" w:color="auto" w:sz="4" w:space="0"/>
              <w:left w:val="nil"/>
              <w:bottom w:val="nil"/>
              <w:right w:val="nil"/>
            </w:tcBorders>
          </w:tcPr>
          <w:p w14:paraId="44C9E04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5.66×10⁻¹⁰</w:t>
            </w:r>
          </w:p>
        </w:tc>
      </w:tr>
      <w:tr w14:paraId="2B14E8C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411" w:hRule="atLeast"/>
        </w:trPr>
        <w:tc>
          <w:tcPr>
            <w:tcW w:w="0" w:type="auto"/>
            <w:tcBorders>
              <w:top w:val="nil"/>
              <w:left w:val="nil"/>
              <w:bottom w:val="nil"/>
              <w:right w:val="nil"/>
            </w:tcBorders>
          </w:tcPr>
          <w:p w14:paraId="7C30313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kern w:val="0"/>
                <w:sz w:val="28"/>
                <w:szCs w:val="28"/>
                <w14:ligatures w14:val="none"/>
              </w:rPr>
              <w:t>NTL</w:t>
            </w:r>
          </w:p>
        </w:tc>
        <w:tc>
          <w:tcPr>
            <w:tcW w:w="0" w:type="auto"/>
            <w:tcBorders>
              <w:top w:val="nil"/>
              <w:left w:val="nil"/>
              <w:bottom w:val="nil"/>
              <w:right w:val="nil"/>
            </w:tcBorders>
          </w:tcPr>
          <w:p w14:paraId="5FDC33E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3.10×10⁻⁷</w:t>
            </w:r>
          </w:p>
        </w:tc>
        <w:tc>
          <w:tcPr>
            <w:tcW w:w="0" w:type="auto"/>
            <w:tcBorders>
              <w:top w:val="nil"/>
              <w:left w:val="nil"/>
              <w:bottom w:val="nil"/>
              <w:right w:val="nil"/>
            </w:tcBorders>
          </w:tcPr>
          <w:p w14:paraId="1DC06F7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w:t>
            </w:r>
          </w:p>
        </w:tc>
        <w:tc>
          <w:tcPr>
            <w:tcW w:w="0" w:type="auto"/>
            <w:tcBorders>
              <w:top w:val="nil"/>
              <w:left w:val="nil"/>
              <w:bottom w:val="nil"/>
              <w:right w:val="nil"/>
            </w:tcBorders>
          </w:tcPr>
          <w:p w14:paraId="7A8067A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1.31×10⁻⁸</w:t>
            </w:r>
          </w:p>
        </w:tc>
      </w:tr>
      <w:tr w14:paraId="0006B50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411" w:hRule="atLeast"/>
        </w:trPr>
        <w:tc>
          <w:tcPr>
            <w:tcW w:w="0" w:type="auto"/>
            <w:tcBorders>
              <w:top w:val="nil"/>
              <w:left w:val="nil"/>
              <w:bottom w:val="single" w:color="auto" w:sz="4" w:space="0"/>
              <w:right w:val="nil"/>
            </w:tcBorders>
          </w:tcPr>
          <w:p w14:paraId="5C31F66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kern w:val="0"/>
                <w:sz w:val="28"/>
                <w:szCs w:val="28"/>
                <w14:ligatures w14:val="none"/>
              </w:rPr>
              <w:t>POP</w:t>
            </w:r>
          </w:p>
        </w:tc>
        <w:tc>
          <w:tcPr>
            <w:tcW w:w="0" w:type="auto"/>
            <w:tcBorders>
              <w:top w:val="nil"/>
              <w:left w:val="nil"/>
              <w:bottom w:val="single" w:color="auto" w:sz="4" w:space="0"/>
              <w:right w:val="nil"/>
            </w:tcBorders>
          </w:tcPr>
          <w:p w14:paraId="03C783E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5.66×10⁻¹⁰</w:t>
            </w:r>
          </w:p>
        </w:tc>
        <w:tc>
          <w:tcPr>
            <w:tcW w:w="0" w:type="auto"/>
            <w:tcBorders>
              <w:top w:val="nil"/>
              <w:left w:val="nil"/>
              <w:bottom w:val="single" w:color="auto" w:sz="4" w:space="0"/>
              <w:right w:val="nil"/>
            </w:tcBorders>
          </w:tcPr>
          <w:p w14:paraId="181CC3C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1.31×10⁻⁸</w:t>
            </w:r>
          </w:p>
        </w:tc>
        <w:tc>
          <w:tcPr>
            <w:tcW w:w="0" w:type="auto"/>
            <w:tcBorders>
              <w:top w:val="nil"/>
              <w:left w:val="nil"/>
              <w:bottom w:val="single" w:color="auto" w:sz="4" w:space="0"/>
              <w:right w:val="nil"/>
            </w:tcBorders>
          </w:tcPr>
          <w:p w14:paraId="228FC1B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w:t>
            </w:r>
          </w:p>
        </w:tc>
      </w:tr>
    </w:tbl>
    <w:p w14:paraId="1C5BFF46">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sz w:val="28"/>
          <w:szCs w:val="28"/>
          <w14:ligatures w14:val="none"/>
        </w:rPr>
        <w:t xml:space="preserve"> </w:t>
      </w:r>
      <w:r>
        <w:rPr>
          <w:rFonts w:ascii="Times New Roman" w:hAnsi="Times New Roman" w:eastAsia="Calibri" w:cs="Times New Roman"/>
          <w:sz w:val="24"/>
          <w:szCs w:val="24"/>
          <w14:ligatures w14:val="none"/>
        </w:rPr>
        <w:t>Author source</w:t>
      </w:r>
    </w:p>
    <w:p w14:paraId="105CF494">
      <w:pPr>
        <w:spacing w:before="100" w:beforeAutospacing="1" w:line="273" w:lineRule="auto"/>
        <w:jc w:val="center"/>
        <w:rPr>
          <w:rFonts w:ascii="Times New Roman" w:hAnsi="Times New Roman" w:eastAsia="Calibri" w:cs="Times New Roman"/>
          <w:sz w:val="28"/>
          <w:szCs w:val="28"/>
          <w14:ligatures w14:val="none"/>
        </w:rPr>
      </w:pPr>
      <w:r>
        <w:rPr>
          <w:rFonts w:ascii="Calibri" w:hAnsi="Calibri" w:eastAsia="Times New Roman" w:cs="Times New Roman"/>
          <w14:ligatures w14:val="none"/>
        </w:rPr>
        <w:drawing>
          <wp:inline distT="0" distB="0" distL="0" distR="0">
            <wp:extent cx="45720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572000" cy="3657600"/>
                    </a:xfrm>
                    <a:prstGeom prst="rect">
                      <a:avLst/>
                    </a:prstGeom>
                    <a:noFill/>
                    <a:ln>
                      <a:noFill/>
                    </a:ln>
                  </pic:spPr>
                </pic:pic>
              </a:graphicData>
            </a:graphic>
          </wp:inline>
        </w:drawing>
      </w:r>
      <w:r>
        <w:rPr>
          <w:rFonts w:ascii="Times New Roman" w:hAnsi="Times New Roman" w:eastAsia="Calibri" w:cs="Times New Roman"/>
          <w:sz w:val="28"/>
          <w:szCs w:val="28"/>
          <w14:ligatures w14:val="none"/>
        </w:rPr>
        <w:t xml:space="preserve"> </w:t>
      </w:r>
    </w:p>
    <w:p w14:paraId="591F9234">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sz w:val="28"/>
          <w:szCs w:val="28"/>
          <w14:ligatures w14:val="none"/>
        </w:rPr>
        <w:t>Figure 3.6:</w:t>
      </w:r>
      <w:r>
        <w:rPr>
          <w:rFonts w:ascii="Times New Roman" w:hAnsi="Times New Roman" w:eastAsia="Calibri" w:cs="Times New Roman"/>
          <w:sz w:val="28"/>
          <w:szCs w:val="28"/>
          <w14:ligatures w14:val="none"/>
        </w:rPr>
        <w:t xml:space="preserve"> Heatmap showing correlation between Urbanization Variable:</w:t>
      </w:r>
      <w:r>
        <w:rPr>
          <w:rFonts w:ascii="Times New Roman" w:hAnsi="Times New Roman" w:eastAsia="Calibri" w:cs="Times New Roman"/>
          <w:sz w:val="24"/>
          <w:szCs w:val="24"/>
          <w14:ligatures w14:val="none"/>
        </w:rPr>
        <w:t xml:space="preserve"> Author source</w:t>
      </w:r>
    </w:p>
    <w:p w14:paraId="2B38B6D3">
      <w:pPr>
        <w:keepNext/>
        <w:keepLines/>
        <w:widowControl w:val="0"/>
        <w:spacing w:before="240" w:after="240" w:line="256" w:lineRule="auto"/>
        <w:jc w:val="center"/>
        <w:outlineLvl w:val="0"/>
        <w:rPr>
          <w:rFonts w:ascii="Times New Roman" w:hAnsi="Times New Roman" w:eastAsia="DengXian Light" w:cs="Times New Roman"/>
          <w:b/>
          <w:bCs/>
          <w:sz w:val="28"/>
          <w:szCs w:val="28"/>
          <w14:ligatures w14:val="none"/>
        </w:rPr>
      </w:pPr>
      <w:bookmarkStart w:id="70" w:name="_Toc215220520"/>
      <w:r>
        <w:rPr>
          <w:rFonts w:ascii="Times New Roman" w:hAnsi="Times New Roman" w:eastAsia="DengXian Light" w:cs="Times New Roman"/>
          <w:b/>
          <w:bCs/>
          <w:sz w:val="28"/>
          <w:szCs w:val="28"/>
          <w14:ligatures w14:val="none"/>
        </w:rPr>
        <w:t>3.5.2 Regression Analysis of Urbanization Metrics as Predictors of NDVI</w:t>
      </w:r>
      <w:bookmarkEnd w:id="70"/>
    </w:p>
    <w:p w14:paraId="6E56EEDC">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To quantify how urbanization pressures influence vegetation greenness, a multiple linear regression model was fitted using 1) Built-up index, 2) night-time lights (NTL), and 3) population density (POP) as the predictors of NDVI across the 24 sampled wards. The model performed strongly, indicating that a considerable proportion of spatial variation in NDVI is attributable to these three urbanization indicators.</w:t>
      </w:r>
    </w:p>
    <w:p w14:paraId="18165327">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overall model explained 86.2% of the variation in NDVI (R² = 0.862), with an adjusted R² of 0.842, confirming high explanatory power even after adjusting for the number of predictors (Table 3.15). The model’s F-statistic was significant showing (F = 41.73, p &lt; 0.001), proving that the predictor set collectively contributes meaningfully to NDVI variation. Information criteria (AIC = –80.28; BIC = –75.57) also support a well-fitted model.</w:t>
      </w:r>
    </w:p>
    <w:p w14:paraId="2B80C1EE">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A closer evaluation of individual coefficients showed contrasting effects (Table 3.16).</w:t>
      </w:r>
    </w:p>
    <w:p w14:paraId="059C9B3C">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Built-up has a predicator had a positive and statistically significant effect (β = 0.0537, p = 0.020), suggesting more built-up areas in these zones are associated with small but notable increases in NDVI likely reflecting mixed vegetation–settlement mosaics in peri-urban landscapes.</w:t>
      </w:r>
    </w:p>
    <w:p w14:paraId="63FC031E">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NTL exhibited a non-significant negative influence (β = –0.0130, p = 0.258), implying that light intensity alone is not a strong predictor of vegetation greenness.</w:t>
      </w:r>
    </w:p>
    <w:p w14:paraId="56108A30">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Population density on the other hand, had a strong negative and highly significant effect (β = –0.0072, p &lt; 0.001), indicating that areas with higher human population pressure tend to show lower NDVI, consistent with vegetation clearing, disturbance, and land conversion.</w:t>
      </w:r>
    </w:p>
    <w:p w14:paraId="5E9F2B70">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Residual diagnostics (Appendix X) revealed no extreme deviations, suggesting the model fits the data well across rural, peri-urban, and urban contexts.</w:t>
      </w:r>
    </w:p>
    <w:p w14:paraId="1B526233">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sz w:val="28"/>
          <w:szCs w:val="28"/>
          <w14:ligatures w14:val="none"/>
        </w:rPr>
        <w:t>Table 3.15:</w:t>
      </w:r>
      <w:r>
        <w:rPr>
          <w:rFonts w:ascii="Times New Roman" w:hAnsi="Times New Roman" w:eastAsia="Calibri" w:cs="Times New Roman"/>
          <w:sz w:val="28"/>
          <w:szCs w:val="28"/>
          <w14:ligatures w14:val="none"/>
        </w:rPr>
        <w:t xml:space="preserve"> Model Performance Statistics for the NDVI Regression Model:</w:t>
      </w:r>
      <w:r>
        <w:rPr>
          <w:rFonts w:ascii="Times New Roman" w:hAnsi="Times New Roman" w:eastAsia="Calibri" w:cs="Times New Roman"/>
          <w:sz w:val="24"/>
          <w:szCs w:val="24"/>
          <w14:ligatures w14:val="none"/>
        </w:rPr>
        <w:t xml:space="preserve"> Author source</w:t>
      </w:r>
    </w:p>
    <w:tbl>
      <w:tblPr>
        <w:tblStyle w:val="19"/>
        <w:tblW w:w="9282"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5039"/>
        <w:gridCol w:w="4243"/>
      </w:tblGrid>
      <w:tr w14:paraId="163793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6" w:hRule="atLeast"/>
          <w:jc w:val="center"/>
        </w:trPr>
        <w:tc>
          <w:tcPr>
            <w:tcW w:w="0" w:type="auto"/>
            <w:tcBorders>
              <w:top w:val="single" w:color="auto" w:sz="4" w:space="0"/>
              <w:left w:val="nil"/>
              <w:bottom w:val="single" w:color="auto" w:sz="4" w:space="0"/>
              <w:right w:val="nil"/>
            </w:tcBorders>
            <w:vAlign w:val="center"/>
          </w:tcPr>
          <w:p w14:paraId="428DF154">
            <w:pPr>
              <w:spacing w:before="100" w:beforeAutospacing="1" w:after="0" w:line="256" w:lineRule="auto"/>
              <w:rPr>
                <w:rFonts w:ascii="Times New Roman" w:hAnsi="Times New Roman" w:eastAsia="SimSun" w:cs="Times New Roman"/>
                <w:b/>
                <w:bCs/>
                <w:kern w:val="0"/>
                <w:sz w:val="28"/>
                <w:szCs w:val="28"/>
                <w14:ligatures w14:val="none"/>
              </w:rPr>
            </w:pPr>
            <w:r>
              <w:rPr>
                <w:rFonts w:ascii="Times New Roman" w:hAnsi="Times New Roman" w:eastAsia="Times New Roman" w:cs="Times New Roman"/>
                <w:b/>
                <w:bCs/>
                <w:kern w:val="0"/>
                <w:sz w:val="28"/>
                <w:szCs w:val="28"/>
                <w14:ligatures w14:val="none"/>
              </w:rPr>
              <w:t>Metric</w:t>
            </w:r>
          </w:p>
        </w:tc>
        <w:tc>
          <w:tcPr>
            <w:tcW w:w="0" w:type="auto"/>
            <w:tcBorders>
              <w:top w:val="single" w:color="auto" w:sz="4" w:space="0"/>
              <w:left w:val="nil"/>
              <w:bottom w:val="single" w:color="auto" w:sz="4" w:space="0"/>
              <w:right w:val="nil"/>
            </w:tcBorders>
            <w:vAlign w:val="center"/>
          </w:tcPr>
          <w:p w14:paraId="5A700333">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Value</w:t>
            </w:r>
          </w:p>
        </w:tc>
      </w:tr>
      <w:tr w14:paraId="6A9361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6" w:hRule="atLeast"/>
          <w:jc w:val="center"/>
        </w:trPr>
        <w:tc>
          <w:tcPr>
            <w:tcW w:w="0" w:type="auto"/>
            <w:tcBorders>
              <w:top w:val="single" w:color="auto" w:sz="4" w:space="0"/>
              <w:left w:val="nil"/>
              <w:bottom w:val="nil"/>
              <w:right w:val="nil"/>
            </w:tcBorders>
            <w:vAlign w:val="center"/>
          </w:tcPr>
          <w:p w14:paraId="6D27EBC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R²</w:t>
            </w:r>
          </w:p>
        </w:tc>
        <w:tc>
          <w:tcPr>
            <w:tcW w:w="0" w:type="auto"/>
            <w:tcBorders>
              <w:top w:val="single" w:color="auto" w:sz="4" w:space="0"/>
              <w:left w:val="nil"/>
              <w:bottom w:val="nil"/>
              <w:right w:val="nil"/>
            </w:tcBorders>
            <w:vAlign w:val="center"/>
          </w:tcPr>
          <w:p w14:paraId="2F8DB63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0.8623</w:t>
            </w:r>
          </w:p>
        </w:tc>
      </w:tr>
      <w:tr w14:paraId="7A2E5B4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6" w:hRule="atLeast"/>
          <w:jc w:val="center"/>
        </w:trPr>
        <w:tc>
          <w:tcPr>
            <w:tcW w:w="0" w:type="auto"/>
            <w:tcBorders>
              <w:top w:val="nil"/>
              <w:left w:val="nil"/>
              <w:bottom w:val="nil"/>
              <w:right w:val="nil"/>
            </w:tcBorders>
            <w:vAlign w:val="center"/>
          </w:tcPr>
          <w:p w14:paraId="332078B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Adjusted R²</w:t>
            </w:r>
          </w:p>
        </w:tc>
        <w:tc>
          <w:tcPr>
            <w:tcW w:w="0" w:type="auto"/>
            <w:tcBorders>
              <w:top w:val="nil"/>
              <w:left w:val="nil"/>
              <w:bottom w:val="nil"/>
              <w:right w:val="nil"/>
            </w:tcBorders>
            <w:vAlign w:val="center"/>
          </w:tcPr>
          <w:p w14:paraId="7FC315F5">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0.8416</w:t>
            </w:r>
          </w:p>
        </w:tc>
      </w:tr>
      <w:tr w14:paraId="24E914D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6" w:hRule="atLeast"/>
          <w:jc w:val="center"/>
        </w:trPr>
        <w:tc>
          <w:tcPr>
            <w:tcW w:w="0" w:type="auto"/>
            <w:tcBorders>
              <w:top w:val="nil"/>
              <w:left w:val="nil"/>
              <w:bottom w:val="nil"/>
              <w:right w:val="nil"/>
            </w:tcBorders>
            <w:vAlign w:val="center"/>
          </w:tcPr>
          <w:p w14:paraId="5F70959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F-Statistic</w:t>
            </w:r>
          </w:p>
        </w:tc>
        <w:tc>
          <w:tcPr>
            <w:tcW w:w="0" w:type="auto"/>
            <w:tcBorders>
              <w:top w:val="nil"/>
              <w:left w:val="nil"/>
              <w:bottom w:val="nil"/>
              <w:right w:val="nil"/>
            </w:tcBorders>
            <w:vAlign w:val="center"/>
          </w:tcPr>
          <w:p w14:paraId="7D28E51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41.7327</w:t>
            </w:r>
          </w:p>
        </w:tc>
      </w:tr>
      <w:tr w14:paraId="6B0E26E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6" w:hRule="atLeast"/>
          <w:jc w:val="center"/>
        </w:trPr>
        <w:tc>
          <w:tcPr>
            <w:tcW w:w="0" w:type="auto"/>
            <w:tcBorders>
              <w:top w:val="nil"/>
              <w:left w:val="nil"/>
              <w:bottom w:val="nil"/>
              <w:right w:val="nil"/>
            </w:tcBorders>
            <w:vAlign w:val="center"/>
          </w:tcPr>
          <w:p w14:paraId="1CD08D2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p-value (F)</w:t>
            </w:r>
          </w:p>
        </w:tc>
        <w:tc>
          <w:tcPr>
            <w:tcW w:w="0" w:type="auto"/>
            <w:tcBorders>
              <w:top w:val="nil"/>
              <w:left w:val="nil"/>
              <w:bottom w:val="nil"/>
              <w:right w:val="nil"/>
            </w:tcBorders>
            <w:vAlign w:val="center"/>
          </w:tcPr>
          <w:p w14:paraId="07C3512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8.51×10⁻⁹</w:t>
            </w:r>
          </w:p>
        </w:tc>
      </w:tr>
      <w:tr w14:paraId="3435D0C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6" w:hRule="atLeast"/>
          <w:jc w:val="center"/>
        </w:trPr>
        <w:tc>
          <w:tcPr>
            <w:tcW w:w="0" w:type="auto"/>
            <w:tcBorders>
              <w:top w:val="nil"/>
              <w:left w:val="nil"/>
              <w:bottom w:val="nil"/>
              <w:right w:val="nil"/>
            </w:tcBorders>
            <w:vAlign w:val="center"/>
          </w:tcPr>
          <w:p w14:paraId="18F759E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AIC</w:t>
            </w:r>
          </w:p>
        </w:tc>
        <w:tc>
          <w:tcPr>
            <w:tcW w:w="0" w:type="auto"/>
            <w:tcBorders>
              <w:top w:val="nil"/>
              <w:left w:val="nil"/>
              <w:bottom w:val="nil"/>
              <w:right w:val="nil"/>
            </w:tcBorders>
            <w:vAlign w:val="center"/>
          </w:tcPr>
          <w:p w14:paraId="6441325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–80.28</w:t>
            </w:r>
          </w:p>
        </w:tc>
      </w:tr>
      <w:tr w14:paraId="50D24F7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6" w:hRule="atLeast"/>
          <w:jc w:val="center"/>
        </w:trPr>
        <w:tc>
          <w:tcPr>
            <w:tcW w:w="0" w:type="auto"/>
            <w:tcBorders>
              <w:top w:val="nil"/>
              <w:left w:val="nil"/>
              <w:bottom w:val="nil"/>
              <w:right w:val="nil"/>
            </w:tcBorders>
            <w:vAlign w:val="center"/>
          </w:tcPr>
          <w:p w14:paraId="0F976EF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BIC</w:t>
            </w:r>
          </w:p>
        </w:tc>
        <w:tc>
          <w:tcPr>
            <w:tcW w:w="0" w:type="auto"/>
            <w:tcBorders>
              <w:top w:val="nil"/>
              <w:left w:val="nil"/>
              <w:bottom w:val="nil"/>
              <w:right w:val="nil"/>
            </w:tcBorders>
            <w:vAlign w:val="center"/>
          </w:tcPr>
          <w:p w14:paraId="3F879E57">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–75.57</w:t>
            </w:r>
          </w:p>
        </w:tc>
      </w:tr>
      <w:tr w14:paraId="1C78CB0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6" w:hRule="atLeast"/>
          <w:jc w:val="center"/>
        </w:trPr>
        <w:tc>
          <w:tcPr>
            <w:tcW w:w="0" w:type="auto"/>
            <w:tcBorders>
              <w:top w:val="nil"/>
              <w:left w:val="nil"/>
              <w:bottom w:val="single" w:color="auto" w:sz="4" w:space="0"/>
              <w:right w:val="nil"/>
            </w:tcBorders>
            <w:vAlign w:val="center"/>
          </w:tcPr>
          <w:p w14:paraId="2F3E61B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w:t>
            </w:r>
          </w:p>
        </w:tc>
        <w:tc>
          <w:tcPr>
            <w:tcW w:w="0" w:type="auto"/>
            <w:tcBorders>
              <w:top w:val="nil"/>
              <w:left w:val="nil"/>
              <w:bottom w:val="single" w:color="auto" w:sz="4" w:space="0"/>
              <w:right w:val="nil"/>
            </w:tcBorders>
            <w:vAlign w:val="center"/>
          </w:tcPr>
          <w:p w14:paraId="073878A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24</w:t>
            </w:r>
          </w:p>
        </w:tc>
      </w:tr>
    </w:tbl>
    <w:p w14:paraId="61127049">
      <w:pPr>
        <w:spacing w:before="240" w:after="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b/>
          <w:bCs/>
          <w:sz w:val="28"/>
          <w:szCs w:val="28"/>
          <w14:ligatures w14:val="none"/>
        </w:rPr>
        <w:t>Table 3.16:</w:t>
      </w:r>
      <w:r>
        <w:rPr>
          <w:rFonts w:ascii="Times New Roman" w:hAnsi="Times New Roman" w:eastAsia="Calibri" w:cs="Times New Roman"/>
          <w:sz w:val="28"/>
          <w:szCs w:val="28"/>
          <w14:ligatures w14:val="none"/>
        </w:rPr>
        <w:t xml:space="preserve"> Regression Coefficients for Built-Up, NTL, and Population Predicting NDVI</w:t>
      </w:r>
    </w:p>
    <w:tbl>
      <w:tblPr>
        <w:tblStyle w:val="19"/>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1414"/>
        <w:gridCol w:w="1507"/>
        <w:gridCol w:w="1175"/>
        <w:gridCol w:w="1245"/>
        <w:gridCol w:w="1031"/>
        <w:gridCol w:w="1602"/>
        <w:gridCol w:w="1586"/>
      </w:tblGrid>
      <w:tr w14:paraId="716F4B9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0" w:type="auto"/>
            <w:tcBorders>
              <w:top w:val="single" w:color="auto" w:sz="4" w:space="0"/>
              <w:left w:val="nil"/>
              <w:bottom w:val="single" w:color="auto" w:sz="4" w:space="0"/>
              <w:right w:val="nil"/>
            </w:tcBorders>
            <w:vAlign w:val="center"/>
          </w:tcPr>
          <w:p w14:paraId="1B6A9410">
            <w:pPr>
              <w:spacing w:before="100" w:beforeAutospacing="1" w:after="0" w:line="256" w:lineRule="auto"/>
              <w:rPr>
                <w:rFonts w:ascii="Times New Roman" w:hAnsi="Times New Roman" w:eastAsia="SimSun" w:cs="Times New Roman"/>
                <w:b/>
                <w:bCs/>
                <w:kern w:val="0"/>
                <w:sz w:val="28"/>
                <w:szCs w:val="28"/>
                <w14:ligatures w14:val="none"/>
              </w:rPr>
            </w:pPr>
            <w:r>
              <w:rPr>
                <w:rFonts w:ascii="Times New Roman" w:hAnsi="Times New Roman" w:eastAsia="Times New Roman" w:cs="Times New Roman"/>
                <w:b/>
                <w:bCs/>
                <w:kern w:val="0"/>
                <w:sz w:val="28"/>
                <w:szCs w:val="28"/>
                <w14:ligatures w14:val="none"/>
              </w:rPr>
              <w:t>Term</w:t>
            </w:r>
          </w:p>
        </w:tc>
        <w:tc>
          <w:tcPr>
            <w:tcW w:w="0" w:type="auto"/>
            <w:tcBorders>
              <w:top w:val="single" w:color="auto" w:sz="4" w:space="0"/>
              <w:left w:val="nil"/>
              <w:bottom w:val="single" w:color="auto" w:sz="4" w:space="0"/>
              <w:right w:val="nil"/>
            </w:tcBorders>
            <w:vAlign w:val="center"/>
          </w:tcPr>
          <w:p w14:paraId="62BEE0BC">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Coefficient</w:t>
            </w:r>
          </w:p>
        </w:tc>
        <w:tc>
          <w:tcPr>
            <w:tcW w:w="0" w:type="auto"/>
            <w:tcBorders>
              <w:top w:val="single" w:color="auto" w:sz="4" w:space="0"/>
              <w:left w:val="nil"/>
              <w:bottom w:val="single" w:color="auto" w:sz="4" w:space="0"/>
              <w:right w:val="nil"/>
            </w:tcBorders>
            <w:vAlign w:val="center"/>
          </w:tcPr>
          <w:p w14:paraId="4FC06B9B">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Std. Error</w:t>
            </w:r>
          </w:p>
        </w:tc>
        <w:tc>
          <w:tcPr>
            <w:tcW w:w="0" w:type="auto"/>
            <w:tcBorders>
              <w:top w:val="single" w:color="auto" w:sz="4" w:space="0"/>
              <w:left w:val="nil"/>
              <w:bottom w:val="single" w:color="auto" w:sz="4" w:space="0"/>
              <w:right w:val="nil"/>
            </w:tcBorders>
            <w:vAlign w:val="center"/>
          </w:tcPr>
          <w:p w14:paraId="23ECF4F3">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t-Statistic</w:t>
            </w:r>
          </w:p>
        </w:tc>
        <w:tc>
          <w:tcPr>
            <w:tcW w:w="0" w:type="auto"/>
            <w:tcBorders>
              <w:top w:val="single" w:color="auto" w:sz="4" w:space="0"/>
              <w:left w:val="nil"/>
              <w:bottom w:val="single" w:color="auto" w:sz="4" w:space="0"/>
              <w:right w:val="nil"/>
            </w:tcBorders>
            <w:vAlign w:val="center"/>
          </w:tcPr>
          <w:p w14:paraId="547DC75F">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p-value</w:t>
            </w:r>
          </w:p>
        </w:tc>
        <w:tc>
          <w:tcPr>
            <w:tcW w:w="0" w:type="auto"/>
            <w:tcBorders>
              <w:top w:val="single" w:color="auto" w:sz="4" w:space="0"/>
              <w:left w:val="nil"/>
              <w:bottom w:val="single" w:color="auto" w:sz="4" w:space="0"/>
              <w:right w:val="nil"/>
            </w:tcBorders>
            <w:vAlign w:val="center"/>
          </w:tcPr>
          <w:p w14:paraId="78567115">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95% CI (Lower)</w:t>
            </w:r>
          </w:p>
        </w:tc>
        <w:tc>
          <w:tcPr>
            <w:tcW w:w="0" w:type="auto"/>
            <w:tcBorders>
              <w:top w:val="single" w:color="auto" w:sz="4" w:space="0"/>
              <w:left w:val="nil"/>
              <w:bottom w:val="single" w:color="auto" w:sz="4" w:space="0"/>
              <w:right w:val="nil"/>
            </w:tcBorders>
            <w:vAlign w:val="center"/>
          </w:tcPr>
          <w:p w14:paraId="273D3036">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95% CI (Upper)</w:t>
            </w:r>
          </w:p>
        </w:tc>
      </w:tr>
      <w:tr w14:paraId="78322A5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0" w:type="auto"/>
            <w:tcBorders>
              <w:top w:val="single" w:color="auto" w:sz="4" w:space="0"/>
              <w:left w:val="nil"/>
              <w:bottom w:val="nil"/>
              <w:right w:val="nil"/>
            </w:tcBorders>
            <w:vAlign w:val="center"/>
          </w:tcPr>
          <w:p w14:paraId="55B33CF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Constant</w:t>
            </w:r>
          </w:p>
        </w:tc>
        <w:tc>
          <w:tcPr>
            <w:tcW w:w="0" w:type="auto"/>
            <w:tcBorders>
              <w:top w:val="single" w:color="auto" w:sz="4" w:space="0"/>
              <w:left w:val="nil"/>
              <w:bottom w:val="nil"/>
              <w:right w:val="nil"/>
            </w:tcBorders>
            <w:vAlign w:val="center"/>
          </w:tcPr>
          <w:p w14:paraId="5835AAD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0.3630</w:t>
            </w:r>
          </w:p>
        </w:tc>
        <w:tc>
          <w:tcPr>
            <w:tcW w:w="0" w:type="auto"/>
            <w:tcBorders>
              <w:top w:val="single" w:color="auto" w:sz="4" w:space="0"/>
              <w:left w:val="nil"/>
              <w:bottom w:val="nil"/>
              <w:right w:val="nil"/>
            </w:tcBorders>
            <w:vAlign w:val="center"/>
          </w:tcPr>
          <w:p w14:paraId="1DE6CF6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0.0400</w:t>
            </w:r>
          </w:p>
        </w:tc>
        <w:tc>
          <w:tcPr>
            <w:tcW w:w="0" w:type="auto"/>
            <w:tcBorders>
              <w:top w:val="single" w:color="auto" w:sz="4" w:space="0"/>
              <w:left w:val="nil"/>
              <w:bottom w:val="nil"/>
              <w:right w:val="nil"/>
            </w:tcBorders>
            <w:vAlign w:val="center"/>
          </w:tcPr>
          <w:p w14:paraId="3AB01E4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9.0645</w:t>
            </w:r>
          </w:p>
        </w:tc>
        <w:tc>
          <w:tcPr>
            <w:tcW w:w="0" w:type="auto"/>
            <w:tcBorders>
              <w:top w:val="single" w:color="auto" w:sz="4" w:space="0"/>
              <w:left w:val="nil"/>
              <w:bottom w:val="nil"/>
              <w:right w:val="nil"/>
            </w:tcBorders>
            <w:vAlign w:val="center"/>
          </w:tcPr>
          <w:p w14:paraId="11856A0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&lt;0.001</w:t>
            </w:r>
          </w:p>
        </w:tc>
        <w:tc>
          <w:tcPr>
            <w:tcW w:w="0" w:type="auto"/>
            <w:tcBorders>
              <w:top w:val="single" w:color="auto" w:sz="4" w:space="0"/>
              <w:left w:val="nil"/>
              <w:bottom w:val="nil"/>
              <w:right w:val="nil"/>
            </w:tcBorders>
            <w:vAlign w:val="center"/>
          </w:tcPr>
          <w:p w14:paraId="46421E4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0.2795</w:t>
            </w:r>
          </w:p>
        </w:tc>
        <w:tc>
          <w:tcPr>
            <w:tcW w:w="0" w:type="auto"/>
            <w:tcBorders>
              <w:top w:val="single" w:color="auto" w:sz="4" w:space="0"/>
              <w:left w:val="nil"/>
              <w:bottom w:val="nil"/>
              <w:right w:val="nil"/>
            </w:tcBorders>
            <w:vAlign w:val="center"/>
          </w:tcPr>
          <w:p w14:paraId="71918F4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0.4466</w:t>
            </w:r>
          </w:p>
        </w:tc>
      </w:tr>
      <w:tr w14:paraId="5CE0B90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0" w:type="auto"/>
            <w:tcBorders>
              <w:top w:val="nil"/>
              <w:left w:val="nil"/>
              <w:bottom w:val="nil"/>
              <w:right w:val="nil"/>
            </w:tcBorders>
            <w:vAlign w:val="center"/>
          </w:tcPr>
          <w:p w14:paraId="378F81E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Built-up</w:t>
            </w:r>
          </w:p>
        </w:tc>
        <w:tc>
          <w:tcPr>
            <w:tcW w:w="0" w:type="auto"/>
            <w:tcBorders>
              <w:top w:val="nil"/>
              <w:left w:val="nil"/>
              <w:bottom w:val="nil"/>
              <w:right w:val="nil"/>
            </w:tcBorders>
            <w:vAlign w:val="center"/>
          </w:tcPr>
          <w:p w14:paraId="1777789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0.0537</w:t>
            </w:r>
          </w:p>
        </w:tc>
        <w:tc>
          <w:tcPr>
            <w:tcW w:w="0" w:type="auto"/>
            <w:tcBorders>
              <w:top w:val="nil"/>
              <w:left w:val="nil"/>
              <w:bottom w:val="nil"/>
              <w:right w:val="nil"/>
            </w:tcBorders>
            <w:vAlign w:val="center"/>
          </w:tcPr>
          <w:p w14:paraId="5D596A5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0.0213</w:t>
            </w:r>
          </w:p>
        </w:tc>
        <w:tc>
          <w:tcPr>
            <w:tcW w:w="0" w:type="auto"/>
            <w:tcBorders>
              <w:top w:val="nil"/>
              <w:left w:val="nil"/>
              <w:bottom w:val="nil"/>
              <w:right w:val="nil"/>
            </w:tcBorders>
            <w:vAlign w:val="center"/>
          </w:tcPr>
          <w:p w14:paraId="4A510AE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2.5189</w:t>
            </w:r>
          </w:p>
        </w:tc>
        <w:tc>
          <w:tcPr>
            <w:tcW w:w="0" w:type="auto"/>
            <w:tcBorders>
              <w:top w:val="nil"/>
              <w:left w:val="nil"/>
              <w:bottom w:val="nil"/>
              <w:right w:val="nil"/>
            </w:tcBorders>
            <w:vAlign w:val="center"/>
          </w:tcPr>
          <w:p w14:paraId="221D345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0.020</w:t>
            </w:r>
          </w:p>
        </w:tc>
        <w:tc>
          <w:tcPr>
            <w:tcW w:w="0" w:type="auto"/>
            <w:tcBorders>
              <w:top w:val="nil"/>
              <w:left w:val="nil"/>
              <w:bottom w:val="nil"/>
              <w:right w:val="nil"/>
            </w:tcBorders>
            <w:vAlign w:val="center"/>
          </w:tcPr>
          <w:p w14:paraId="556CB17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0.0092</w:t>
            </w:r>
          </w:p>
        </w:tc>
        <w:tc>
          <w:tcPr>
            <w:tcW w:w="0" w:type="auto"/>
            <w:tcBorders>
              <w:top w:val="nil"/>
              <w:left w:val="nil"/>
              <w:bottom w:val="nil"/>
              <w:right w:val="nil"/>
            </w:tcBorders>
            <w:vAlign w:val="center"/>
          </w:tcPr>
          <w:p w14:paraId="45E0D1E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0.0982</w:t>
            </w:r>
          </w:p>
        </w:tc>
      </w:tr>
      <w:tr w14:paraId="47143D9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0" w:type="auto"/>
            <w:tcBorders>
              <w:top w:val="nil"/>
              <w:left w:val="nil"/>
              <w:bottom w:val="nil"/>
              <w:right w:val="nil"/>
            </w:tcBorders>
            <w:vAlign w:val="center"/>
          </w:tcPr>
          <w:p w14:paraId="3426E09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NTL</w:t>
            </w:r>
          </w:p>
        </w:tc>
        <w:tc>
          <w:tcPr>
            <w:tcW w:w="0" w:type="auto"/>
            <w:tcBorders>
              <w:top w:val="nil"/>
              <w:left w:val="nil"/>
              <w:bottom w:val="nil"/>
              <w:right w:val="nil"/>
            </w:tcBorders>
            <w:vAlign w:val="center"/>
          </w:tcPr>
          <w:p w14:paraId="5281D5C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–0.0130</w:t>
            </w:r>
          </w:p>
        </w:tc>
        <w:tc>
          <w:tcPr>
            <w:tcW w:w="0" w:type="auto"/>
            <w:tcBorders>
              <w:top w:val="nil"/>
              <w:left w:val="nil"/>
              <w:bottom w:val="nil"/>
              <w:right w:val="nil"/>
            </w:tcBorders>
            <w:vAlign w:val="center"/>
          </w:tcPr>
          <w:p w14:paraId="59F3B2A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0.0112</w:t>
            </w:r>
          </w:p>
        </w:tc>
        <w:tc>
          <w:tcPr>
            <w:tcW w:w="0" w:type="auto"/>
            <w:tcBorders>
              <w:top w:val="nil"/>
              <w:left w:val="nil"/>
              <w:bottom w:val="nil"/>
              <w:right w:val="nil"/>
            </w:tcBorders>
            <w:vAlign w:val="center"/>
          </w:tcPr>
          <w:p w14:paraId="75196557">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–1.1640</w:t>
            </w:r>
          </w:p>
        </w:tc>
        <w:tc>
          <w:tcPr>
            <w:tcW w:w="0" w:type="auto"/>
            <w:tcBorders>
              <w:top w:val="nil"/>
              <w:left w:val="nil"/>
              <w:bottom w:val="nil"/>
              <w:right w:val="nil"/>
            </w:tcBorders>
            <w:vAlign w:val="center"/>
          </w:tcPr>
          <w:p w14:paraId="6A51AF0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0.258</w:t>
            </w:r>
          </w:p>
        </w:tc>
        <w:tc>
          <w:tcPr>
            <w:tcW w:w="0" w:type="auto"/>
            <w:tcBorders>
              <w:top w:val="nil"/>
              <w:left w:val="nil"/>
              <w:bottom w:val="nil"/>
              <w:right w:val="nil"/>
            </w:tcBorders>
            <w:vAlign w:val="center"/>
          </w:tcPr>
          <w:p w14:paraId="5AB51D5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–0.0364</w:t>
            </w:r>
          </w:p>
        </w:tc>
        <w:tc>
          <w:tcPr>
            <w:tcW w:w="0" w:type="auto"/>
            <w:tcBorders>
              <w:top w:val="nil"/>
              <w:left w:val="nil"/>
              <w:bottom w:val="nil"/>
              <w:right w:val="nil"/>
            </w:tcBorders>
            <w:vAlign w:val="center"/>
          </w:tcPr>
          <w:p w14:paraId="7132DB4E">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0.0103</w:t>
            </w:r>
          </w:p>
        </w:tc>
      </w:tr>
      <w:tr w14:paraId="5FF067B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c>
          <w:tcPr>
            <w:tcW w:w="0" w:type="auto"/>
            <w:tcBorders>
              <w:top w:val="nil"/>
              <w:left w:val="nil"/>
              <w:bottom w:val="single" w:color="auto" w:sz="4" w:space="0"/>
              <w:right w:val="nil"/>
            </w:tcBorders>
            <w:vAlign w:val="center"/>
          </w:tcPr>
          <w:p w14:paraId="6E8BA63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Population</w:t>
            </w:r>
          </w:p>
        </w:tc>
        <w:tc>
          <w:tcPr>
            <w:tcW w:w="0" w:type="auto"/>
            <w:tcBorders>
              <w:top w:val="nil"/>
              <w:left w:val="nil"/>
              <w:bottom w:val="single" w:color="auto" w:sz="4" w:space="0"/>
              <w:right w:val="nil"/>
            </w:tcBorders>
            <w:vAlign w:val="center"/>
          </w:tcPr>
          <w:p w14:paraId="7E7570E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–0.0072</w:t>
            </w:r>
          </w:p>
        </w:tc>
        <w:tc>
          <w:tcPr>
            <w:tcW w:w="0" w:type="auto"/>
            <w:tcBorders>
              <w:top w:val="nil"/>
              <w:left w:val="nil"/>
              <w:bottom w:val="single" w:color="auto" w:sz="4" w:space="0"/>
              <w:right w:val="nil"/>
            </w:tcBorders>
            <w:vAlign w:val="center"/>
          </w:tcPr>
          <w:p w14:paraId="7A7A8DE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0.0014</w:t>
            </w:r>
          </w:p>
        </w:tc>
        <w:tc>
          <w:tcPr>
            <w:tcW w:w="0" w:type="auto"/>
            <w:tcBorders>
              <w:top w:val="nil"/>
              <w:left w:val="nil"/>
              <w:bottom w:val="single" w:color="auto" w:sz="4" w:space="0"/>
              <w:right w:val="nil"/>
            </w:tcBorders>
            <w:vAlign w:val="center"/>
          </w:tcPr>
          <w:p w14:paraId="4AA3250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–5.0307</w:t>
            </w:r>
          </w:p>
        </w:tc>
        <w:tc>
          <w:tcPr>
            <w:tcW w:w="0" w:type="auto"/>
            <w:tcBorders>
              <w:top w:val="nil"/>
              <w:left w:val="nil"/>
              <w:bottom w:val="single" w:color="auto" w:sz="4" w:space="0"/>
              <w:right w:val="nil"/>
            </w:tcBorders>
            <w:vAlign w:val="center"/>
          </w:tcPr>
          <w:p w14:paraId="6FD10B8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&lt;0.001</w:t>
            </w:r>
          </w:p>
        </w:tc>
        <w:tc>
          <w:tcPr>
            <w:tcW w:w="0" w:type="auto"/>
            <w:tcBorders>
              <w:top w:val="nil"/>
              <w:left w:val="nil"/>
              <w:bottom w:val="single" w:color="auto" w:sz="4" w:space="0"/>
              <w:right w:val="nil"/>
            </w:tcBorders>
            <w:vAlign w:val="center"/>
          </w:tcPr>
          <w:p w14:paraId="41B3656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–0.0102</w:t>
            </w:r>
          </w:p>
        </w:tc>
        <w:tc>
          <w:tcPr>
            <w:tcW w:w="0" w:type="auto"/>
            <w:tcBorders>
              <w:top w:val="nil"/>
              <w:left w:val="nil"/>
              <w:bottom w:val="single" w:color="auto" w:sz="4" w:space="0"/>
              <w:right w:val="nil"/>
            </w:tcBorders>
            <w:vAlign w:val="center"/>
          </w:tcPr>
          <w:p w14:paraId="1A44E420">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–0.0042</w:t>
            </w:r>
          </w:p>
        </w:tc>
      </w:tr>
    </w:tbl>
    <w:p w14:paraId="24C75A8E">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sz w:val="24"/>
          <w:szCs w:val="24"/>
          <w14:ligatures w14:val="none"/>
        </w:rPr>
        <w:t>Author source</w:t>
      </w:r>
    </w:p>
    <w:p w14:paraId="0EE9BE39">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regression result show that NDVI variability across the study areas is strongly shaped by the underlying intensity of urbanization. Built-up extent exerts a mixed but significant influence, possibly due to transitional landscapes where vegetation remains interspersed with development. In contrast, the population density is a robust suppressor of vegetation greenness, consistent with urban expansion, land conversion, and reduced green cover in densely populated wards. In conclusion, these patterns reflect broader findings that urban pressure indicators tend to significantly reduce vegetation productivity in rapidly a typical urbanizing cities like the study area.</w:t>
      </w:r>
    </w:p>
    <w:p w14:paraId="383352DF">
      <w:pPr>
        <w:keepNext/>
        <w:keepLines/>
        <w:widowControl w:val="0"/>
        <w:spacing w:before="240" w:after="240" w:line="256" w:lineRule="auto"/>
        <w:jc w:val="center"/>
        <w:outlineLvl w:val="0"/>
        <w:rPr>
          <w:rFonts w:ascii="Times New Roman" w:hAnsi="Times New Roman" w:eastAsia="DengXian Light" w:cs="Times New Roman"/>
          <w:b/>
          <w:bCs/>
          <w:sz w:val="28"/>
          <w:szCs w:val="28"/>
          <w14:ligatures w14:val="none"/>
        </w:rPr>
      </w:pPr>
      <w:bookmarkStart w:id="71" w:name="_Toc215220521"/>
      <w:r>
        <w:rPr>
          <w:rFonts w:ascii="Times New Roman" w:hAnsi="Times New Roman" w:eastAsia="DengXian Light" w:cs="Times New Roman"/>
          <w:b/>
          <w:bCs/>
          <w:sz w:val="28"/>
          <w:szCs w:val="28"/>
          <w14:ligatures w14:val="none"/>
        </w:rPr>
        <w:t>3.5.3 Model Fit Validation</w:t>
      </w:r>
      <w:bookmarkEnd w:id="71"/>
    </w:p>
    <w:p w14:paraId="23FEF766">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A comprehensive and standard diagnostic evaluation was conducted to assess whether the multiple linear regression model that is linking the NDVI to urbanization indicators satisfied the primary assumptions required for inferential reliability. The diagnostics included assessments of multicollinearity, residual normality, homoscedasticity, and influence statistics. Also, a graphical diagnostics namely the QQ plot of standardized residuals and the Residuals-versus-Fitted plot were also examined for visual confirmation of model adequacy. Together, these procedures ensure that the estimated regression parameters can be interpreted with statistical confidence.</w:t>
      </w:r>
    </w:p>
    <w:p w14:paraId="0765DB5A">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Multicollinearity Assessment (Variance Inflation Factor)</w:t>
      </w:r>
    </w:p>
    <w:p w14:paraId="699CB042">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A Multicollinearity among the predictors was evaluated using the Variance Inflation Factor (VIF). Table 3.17 shows that all VIF values are below the conventional threshold of 10, indicating the absence of severe multicollinearity. Where the NTL and the population density shows relatively higher VIFs (9.44 and 8.65), they remain within acceptable limits, suggesting that the predictors contribute unique explanatory information to the model.</w:t>
      </w:r>
    </w:p>
    <w:p w14:paraId="3B22C665">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b/>
          <w:bCs/>
          <w:sz w:val="28"/>
          <w:szCs w:val="28"/>
          <w14:ligatures w14:val="none"/>
        </w:rPr>
        <w:t>Table 3.17:</w:t>
      </w:r>
      <w:r>
        <w:rPr>
          <w:rFonts w:ascii="Times New Roman" w:hAnsi="Times New Roman" w:eastAsia="Calibri" w:cs="Times New Roman"/>
          <w:sz w:val="28"/>
          <w:szCs w:val="28"/>
          <w14:ligatures w14:val="none"/>
        </w:rPr>
        <w:t xml:space="preserve"> Variance Inflation Factors for Urbanization Predictors</w:t>
      </w:r>
    </w:p>
    <w:tbl>
      <w:tblPr>
        <w:tblStyle w:val="19"/>
        <w:tblW w:w="9472"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6091"/>
        <w:gridCol w:w="3381"/>
      </w:tblGrid>
      <w:tr w14:paraId="5EAFAB3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305" w:hRule="atLeast"/>
        </w:trPr>
        <w:tc>
          <w:tcPr>
            <w:tcW w:w="0" w:type="auto"/>
            <w:tcBorders>
              <w:top w:val="single" w:color="auto" w:sz="4" w:space="0"/>
              <w:left w:val="nil"/>
              <w:bottom w:val="single" w:color="auto" w:sz="4" w:space="0"/>
              <w:right w:val="nil"/>
            </w:tcBorders>
          </w:tcPr>
          <w:p w14:paraId="4021D22E">
            <w:pPr>
              <w:spacing w:before="100" w:beforeAutospacing="1" w:after="0" w:line="256" w:lineRule="auto"/>
              <w:rPr>
                <w:rFonts w:ascii="Times New Roman" w:hAnsi="Times New Roman" w:eastAsia="SimSun" w:cs="Times New Roman"/>
                <w:b/>
                <w:bCs/>
                <w:kern w:val="0"/>
                <w:sz w:val="28"/>
                <w:szCs w:val="28"/>
                <w14:ligatures w14:val="none"/>
              </w:rPr>
            </w:pPr>
            <w:r>
              <w:rPr>
                <w:rFonts w:ascii="Times New Roman" w:hAnsi="Times New Roman" w:eastAsia="Times New Roman" w:cs="Times New Roman"/>
                <w:b/>
                <w:bCs/>
                <w:kern w:val="0"/>
                <w:sz w:val="28"/>
                <w:szCs w:val="28"/>
                <w14:ligatures w14:val="none"/>
              </w:rPr>
              <w:t>Variable</w:t>
            </w:r>
          </w:p>
        </w:tc>
        <w:tc>
          <w:tcPr>
            <w:tcW w:w="0" w:type="auto"/>
            <w:tcBorders>
              <w:top w:val="single" w:color="auto" w:sz="4" w:space="0"/>
              <w:left w:val="nil"/>
              <w:bottom w:val="single" w:color="auto" w:sz="4" w:space="0"/>
              <w:right w:val="nil"/>
            </w:tcBorders>
          </w:tcPr>
          <w:p w14:paraId="6C88FF1B">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VIF</w:t>
            </w:r>
          </w:p>
        </w:tc>
      </w:tr>
      <w:tr w14:paraId="2B9B04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305" w:hRule="atLeast"/>
        </w:trPr>
        <w:tc>
          <w:tcPr>
            <w:tcW w:w="0" w:type="auto"/>
            <w:tcBorders>
              <w:top w:val="single" w:color="auto" w:sz="4" w:space="0"/>
              <w:left w:val="nil"/>
              <w:bottom w:val="nil"/>
              <w:right w:val="nil"/>
            </w:tcBorders>
          </w:tcPr>
          <w:p w14:paraId="14473E5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BuiltUP</w:t>
            </w:r>
          </w:p>
        </w:tc>
        <w:tc>
          <w:tcPr>
            <w:tcW w:w="0" w:type="auto"/>
            <w:tcBorders>
              <w:top w:val="single" w:color="auto" w:sz="4" w:space="0"/>
              <w:left w:val="nil"/>
              <w:bottom w:val="nil"/>
              <w:right w:val="nil"/>
            </w:tcBorders>
          </w:tcPr>
          <w:p w14:paraId="0C3014CF">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4.63</w:t>
            </w:r>
          </w:p>
        </w:tc>
      </w:tr>
      <w:tr w14:paraId="749A47B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305" w:hRule="atLeast"/>
        </w:trPr>
        <w:tc>
          <w:tcPr>
            <w:tcW w:w="0" w:type="auto"/>
            <w:tcBorders>
              <w:top w:val="nil"/>
              <w:left w:val="nil"/>
              <w:bottom w:val="nil"/>
              <w:right w:val="nil"/>
            </w:tcBorders>
          </w:tcPr>
          <w:p w14:paraId="75017D5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NTL</w:t>
            </w:r>
          </w:p>
        </w:tc>
        <w:tc>
          <w:tcPr>
            <w:tcW w:w="0" w:type="auto"/>
            <w:tcBorders>
              <w:top w:val="nil"/>
              <w:left w:val="nil"/>
              <w:bottom w:val="nil"/>
              <w:right w:val="nil"/>
            </w:tcBorders>
          </w:tcPr>
          <w:p w14:paraId="5531DA8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9.44</w:t>
            </w:r>
          </w:p>
        </w:tc>
      </w:tr>
      <w:tr w14:paraId="0AB9E4D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305" w:hRule="atLeast"/>
        </w:trPr>
        <w:tc>
          <w:tcPr>
            <w:tcW w:w="0" w:type="auto"/>
            <w:tcBorders>
              <w:top w:val="nil"/>
              <w:left w:val="nil"/>
              <w:bottom w:val="single" w:color="auto" w:sz="4" w:space="0"/>
              <w:right w:val="nil"/>
            </w:tcBorders>
          </w:tcPr>
          <w:p w14:paraId="5DBEE27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POP</w:t>
            </w:r>
          </w:p>
        </w:tc>
        <w:tc>
          <w:tcPr>
            <w:tcW w:w="0" w:type="auto"/>
            <w:tcBorders>
              <w:top w:val="nil"/>
              <w:left w:val="nil"/>
              <w:bottom w:val="single" w:color="auto" w:sz="4" w:space="0"/>
              <w:right w:val="nil"/>
            </w:tcBorders>
          </w:tcPr>
          <w:p w14:paraId="7F01FFA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8.65</w:t>
            </w:r>
          </w:p>
        </w:tc>
      </w:tr>
    </w:tbl>
    <w:p w14:paraId="188CDC0F">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sz w:val="24"/>
          <w:szCs w:val="24"/>
          <w14:ligatures w14:val="none"/>
        </w:rPr>
        <w:t>Author source</w:t>
      </w:r>
    </w:p>
    <w:p w14:paraId="6EE2D7A8">
      <w:pPr>
        <w:spacing w:before="240"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Residual Normality Assessment</w:t>
      </w:r>
    </w:p>
    <w:p w14:paraId="0F782851">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Residual normality was evaluated using both visual and statistical approaches. </w:t>
      </w:r>
    </w:p>
    <w:p w14:paraId="0FAF6EA4">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Visual Assessment (QQ Plot)</w:t>
      </w:r>
    </w:p>
    <w:p w14:paraId="58343A6E">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Figure 3.7 shows the QQ plot comparing the standardized residuals with the theoretical normal distribution of the analysis. Where the points align closely with the 1:1 reference line, with minor deviations at the upper and lower tails. This visual pattern indicates that the residuals approximate normality and that the model errors are not characterized by heavy tails or systematic departures from Gaussian behavior.</w:t>
      </w:r>
    </w:p>
    <w:p w14:paraId="66B27848">
      <w:pPr>
        <w:spacing w:before="100" w:beforeAutospacing="1" w:line="273" w:lineRule="auto"/>
        <w:jc w:val="center"/>
        <w:rPr>
          <w:rFonts w:ascii="Times New Roman" w:hAnsi="Times New Roman" w:eastAsia="Calibri" w:cs="Times New Roman"/>
          <w:sz w:val="28"/>
          <w:szCs w:val="28"/>
          <w14:ligatures w14:val="none"/>
        </w:rPr>
      </w:pPr>
      <w:r>
        <w:rPr>
          <w:rFonts w:ascii="Calibri" w:hAnsi="Calibri" w:eastAsia="Times New Roman" w:cs="Times New Roman"/>
          <w14:ligatures w14:val="none"/>
        </w:rPr>
        <w:drawing>
          <wp:inline distT="0" distB="0" distL="0" distR="0">
            <wp:extent cx="5857875" cy="4391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857875" cy="4391025"/>
                    </a:xfrm>
                    <a:prstGeom prst="rect">
                      <a:avLst/>
                    </a:prstGeom>
                    <a:noFill/>
                    <a:ln>
                      <a:noFill/>
                    </a:ln>
                  </pic:spPr>
                </pic:pic>
              </a:graphicData>
            </a:graphic>
          </wp:inline>
        </w:drawing>
      </w:r>
      <w:r>
        <w:rPr>
          <w:rFonts w:ascii="Times New Roman" w:hAnsi="Times New Roman" w:eastAsia="Calibri" w:cs="Times New Roman"/>
          <w:sz w:val="28"/>
          <w:szCs w:val="28"/>
          <w14:ligatures w14:val="none"/>
        </w:rPr>
        <w:t xml:space="preserve"> </w:t>
      </w:r>
    </w:p>
    <w:p w14:paraId="67BD58B1">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sz w:val="28"/>
          <w:szCs w:val="28"/>
          <w14:ligatures w14:val="none"/>
        </w:rPr>
        <w:t>Figure 3.7:</w:t>
      </w:r>
      <w:r>
        <w:rPr>
          <w:rFonts w:ascii="Times New Roman" w:hAnsi="Times New Roman" w:eastAsia="Calibri" w:cs="Times New Roman"/>
          <w:sz w:val="28"/>
          <w:szCs w:val="28"/>
          <w14:ligatures w14:val="none"/>
        </w:rPr>
        <w:t xml:space="preserve"> QQ plot showing standardized residuals compared with the theoretical normal distribution.:</w:t>
      </w:r>
      <w:r>
        <w:rPr>
          <w:rFonts w:ascii="Times New Roman" w:hAnsi="Times New Roman" w:eastAsia="Calibri" w:cs="Times New Roman"/>
          <w:sz w:val="24"/>
          <w:szCs w:val="24"/>
          <w14:ligatures w14:val="none"/>
        </w:rPr>
        <w:t xml:space="preserve"> Author sourc</w:t>
      </w:r>
    </w:p>
    <w:p w14:paraId="660065C6">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Shapiro-Wilk Normality Tests</w:t>
      </w:r>
    </w:p>
    <w:p w14:paraId="384D5737">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Complementing the visual diagnosis, the Shapiro-Wilk tests were conducted for each zone and for all wards combined. Tables 3.18 and 3.19 show that all p-values exceeded 0.05, indicating no statistically significant deviation from normality across zones.</w:t>
      </w:r>
    </w:p>
    <w:p w14:paraId="0A179D3E">
      <w:pPr>
        <w:spacing w:before="100" w:beforeAutospacing="1" w:after="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b/>
          <w:bCs/>
          <w:sz w:val="28"/>
          <w:szCs w:val="28"/>
          <w14:ligatures w14:val="none"/>
        </w:rPr>
        <w:t>Table 3.18:</w:t>
      </w:r>
      <w:r>
        <w:rPr>
          <w:rFonts w:ascii="Times New Roman" w:hAnsi="Times New Roman" w:eastAsia="Calibri" w:cs="Times New Roman"/>
          <w:sz w:val="28"/>
          <w:szCs w:val="28"/>
          <w14:ligatures w14:val="none"/>
        </w:rPr>
        <w:t xml:space="preserve"> Shapiro-Wilk Normality Test by Zone</w:t>
      </w:r>
    </w:p>
    <w:tbl>
      <w:tblPr>
        <w:tblStyle w:val="19"/>
        <w:tblW w:w="9344"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3351"/>
        <w:gridCol w:w="2250"/>
        <w:gridCol w:w="2630"/>
        <w:gridCol w:w="1113"/>
      </w:tblGrid>
      <w:tr w14:paraId="064F745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363" w:hRule="atLeast"/>
        </w:trPr>
        <w:tc>
          <w:tcPr>
            <w:tcW w:w="0" w:type="auto"/>
            <w:tcBorders>
              <w:top w:val="single" w:color="auto" w:sz="4" w:space="0"/>
              <w:left w:val="nil"/>
              <w:bottom w:val="single" w:color="auto" w:sz="4" w:space="0"/>
              <w:right w:val="nil"/>
            </w:tcBorders>
            <w:vAlign w:val="center"/>
          </w:tcPr>
          <w:p w14:paraId="46F81935">
            <w:pPr>
              <w:spacing w:before="100" w:beforeAutospacing="1" w:after="0" w:line="256" w:lineRule="auto"/>
              <w:rPr>
                <w:rFonts w:ascii="Times New Roman" w:hAnsi="Times New Roman" w:eastAsia="SimSun" w:cs="Times New Roman"/>
                <w:b/>
                <w:bCs/>
                <w:kern w:val="0"/>
                <w:sz w:val="28"/>
                <w:szCs w:val="28"/>
                <w14:ligatures w14:val="none"/>
              </w:rPr>
            </w:pPr>
            <w:r>
              <w:rPr>
                <w:rFonts w:ascii="Times New Roman" w:hAnsi="Times New Roman" w:eastAsia="Times New Roman" w:cs="Times New Roman"/>
                <w:b/>
                <w:bCs/>
                <w:kern w:val="0"/>
                <w:sz w:val="28"/>
                <w:szCs w:val="28"/>
                <w14:ligatures w14:val="none"/>
              </w:rPr>
              <w:t>Zone</w:t>
            </w:r>
          </w:p>
        </w:tc>
        <w:tc>
          <w:tcPr>
            <w:tcW w:w="0" w:type="auto"/>
            <w:tcBorders>
              <w:top w:val="single" w:color="auto" w:sz="4" w:space="0"/>
              <w:left w:val="nil"/>
              <w:bottom w:val="single" w:color="auto" w:sz="4" w:space="0"/>
              <w:right w:val="nil"/>
            </w:tcBorders>
            <w:vAlign w:val="center"/>
          </w:tcPr>
          <w:p w14:paraId="36EBDD3F">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W</w:t>
            </w:r>
          </w:p>
        </w:tc>
        <w:tc>
          <w:tcPr>
            <w:tcW w:w="0" w:type="auto"/>
            <w:tcBorders>
              <w:top w:val="single" w:color="auto" w:sz="4" w:space="0"/>
              <w:left w:val="nil"/>
              <w:bottom w:val="single" w:color="auto" w:sz="4" w:space="0"/>
              <w:right w:val="nil"/>
            </w:tcBorders>
            <w:vAlign w:val="center"/>
          </w:tcPr>
          <w:p w14:paraId="11938F4F">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p_value</w:t>
            </w:r>
          </w:p>
        </w:tc>
        <w:tc>
          <w:tcPr>
            <w:tcW w:w="0" w:type="auto"/>
            <w:tcBorders>
              <w:top w:val="single" w:color="auto" w:sz="4" w:space="0"/>
              <w:left w:val="nil"/>
              <w:bottom w:val="single" w:color="auto" w:sz="4" w:space="0"/>
              <w:right w:val="nil"/>
            </w:tcBorders>
            <w:vAlign w:val="center"/>
          </w:tcPr>
          <w:p w14:paraId="64ED7FDF">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n</w:t>
            </w:r>
          </w:p>
        </w:tc>
      </w:tr>
      <w:tr w14:paraId="3004D75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363" w:hRule="atLeast"/>
        </w:trPr>
        <w:tc>
          <w:tcPr>
            <w:tcW w:w="0" w:type="auto"/>
            <w:tcBorders>
              <w:top w:val="single" w:color="auto" w:sz="4" w:space="0"/>
              <w:left w:val="nil"/>
              <w:bottom w:val="nil"/>
              <w:right w:val="nil"/>
            </w:tcBorders>
            <w:vAlign w:val="center"/>
          </w:tcPr>
          <w:p w14:paraId="312FF245">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Peri-Urban</w:t>
            </w:r>
          </w:p>
        </w:tc>
        <w:tc>
          <w:tcPr>
            <w:tcW w:w="0" w:type="auto"/>
            <w:tcBorders>
              <w:top w:val="single" w:color="auto" w:sz="4" w:space="0"/>
              <w:left w:val="nil"/>
              <w:bottom w:val="nil"/>
              <w:right w:val="nil"/>
            </w:tcBorders>
            <w:vAlign w:val="center"/>
          </w:tcPr>
          <w:p w14:paraId="176E1CC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0.9642</w:t>
            </w:r>
          </w:p>
        </w:tc>
        <w:tc>
          <w:tcPr>
            <w:tcW w:w="0" w:type="auto"/>
            <w:tcBorders>
              <w:top w:val="single" w:color="auto" w:sz="4" w:space="0"/>
              <w:left w:val="nil"/>
              <w:bottom w:val="nil"/>
              <w:right w:val="nil"/>
            </w:tcBorders>
            <w:vAlign w:val="center"/>
          </w:tcPr>
          <w:p w14:paraId="7652E4B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0.854</w:t>
            </w:r>
          </w:p>
        </w:tc>
        <w:tc>
          <w:tcPr>
            <w:tcW w:w="0" w:type="auto"/>
            <w:tcBorders>
              <w:top w:val="single" w:color="auto" w:sz="4" w:space="0"/>
              <w:left w:val="nil"/>
              <w:bottom w:val="nil"/>
              <w:right w:val="nil"/>
            </w:tcBorders>
            <w:vAlign w:val="center"/>
          </w:tcPr>
          <w:p w14:paraId="651D4C4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7</w:t>
            </w:r>
          </w:p>
        </w:tc>
      </w:tr>
      <w:tr w14:paraId="7584671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363" w:hRule="atLeast"/>
        </w:trPr>
        <w:tc>
          <w:tcPr>
            <w:tcW w:w="0" w:type="auto"/>
            <w:tcBorders>
              <w:top w:val="nil"/>
              <w:left w:val="nil"/>
              <w:bottom w:val="nil"/>
              <w:right w:val="nil"/>
            </w:tcBorders>
            <w:vAlign w:val="center"/>
          </w:tcPr>
          <w:p w14:paraId="44C6661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Rural</w:t>
            </w:r>
          </w:p>
        </w:tc>
        <w:tc>
          <w:tcPr>
            <w:tcW w:w="0" w:type="auto"/>
            <w:tcBorders>
              <w:top w:val="nil"/>
              <w:left w:val="nil"/>
              <w:bottom w:val="nil"/>
              <w:right w:val="nil"/>
            </w:tcBorders>
            <w:vAlign w:val="center"/>
          </w:tcPr>
          <w:p w14:paraId="0A469A3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0.9588</w:t>
            </w:r>
          </w:p>
        </w:tc>
        <w:tc>
          <w:tcPr>
            <w:tcW w:w="0" w:type="auto"/>
            <w:tcBorders>
              <w:top w:val="nil"/>
              <w:left w:val="nil"/>
              <w:bottom w:val="nil"/>
              <w:right w:val="nil"/>
            </w:tcBorders>
            <w:vAlign w:val="center"/>
          </w:tcPr>
          <w:p w14:paraId="51978D2B">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0.811</w:t>
            </w:r>
          </w:p>
        </w:tc>
        <w:tc>
          <w:tcPr>
            <w:tcW w:w="0" w:type="auto"/>
            <w:tcBorders>
              <w:top w:val="nil"/>
              <w:left w:val="nil"/>
              <w:bottom w:val="nil"/>
              <w:right w:val="nil"/>
            </w:tcBorders>
            <w:vAlign w:val="center"/>
          </w:tcPr>
          <w:p w14:paraId="3E0F8C4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6</w:t>
            </w:r>
          </w:p>
        </w:tc>
      </w:tr>
      <w:tr w14:paraId="2245A1E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363" w:hRule="atLeast"/>
        </w:trPr>
        <w:tc>
          <w:tcPr>
            <w:tcW w:w="0" w:type="auto"/>
            <w:tcBorders>
              <w:top w:val="nil"/>
              <w:left w:val="nil"/>
              <w:bottom w:val="single" w:color="auto" w:sz="4" w:space="0"/>
              <w:right w:val="nil"/>
            </w:tcBorders>
            <w:vAlign w:val="center"/>
          </w:tcPr>
          <w:p w14:paraId="7373B026">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Urban</w:t>
            </w:r>
          </w:p>
        </w:tc>
        <w:tc>
          <w:tcPr>
            <w:tcW w:w="0" w:type="auto"/>
            <w:tcBorders>
              <w:top w:val="nil"/>
              <w:left w:val="nil"/>
              <w:bottom w:val="single" w:color="auto" w:sz="4" w:space="0"/>
              <w:right w:val="nil"/>
            </w:tcBorders>
            <w:vAlign w:val="center"/>
          </w:tcPr>
          <w:p w14:paraId="3839971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0.9373</w:t>
            </w:r>
          </w:p>
        </w:tc>
        <w:tc>
          <w:tcPr>
            <w:tcW w:w="0" w:type="auto"/>
            <w:tcBorders>
              <w:top w:val="nil"/>
              <w:left w:val="nil"/>
              <w:bottom w:val="single" w:color="auto" w:sz="4" w:space="0"/>
              <w:right w:val="nil"/>
            </w:tcBorders>
            <w:vAlign w:val="center"/>
          </w:tcPr>
          <w:p w14:paraId="14654B5C">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0.490</w:t>
            </w:r>
          </w:p>
        </w:tc>
        <w:tc>
          <w:tcPr>
            <w:tcW w:w="0" w:type="auto"/>
            <w:tcBorders>
              <w:top w:val="nil"/>
              <w:left w:val="nil"/>
              <w:bottom w:val="single" w:color="auto" w:sz="4" w:space="0"/>
              <w:right w:val="nil"/>
            </w:tcBorders>
            <w:vAlign w:val="center"/>
          </w:tcPr>
          <w:p w14:paraId="0D08B64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11</w:t>
            </w:r>
          </w:p>
        </w:tc>
      </w:tr>
    </w:tbl>
    <w:p w14:paraId="6461DCA8">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sz w:val="24"/>
          <w:szCs w:val="24"/>
          <w14:ligatures w14:val="none"/>
        </w:rPr>
        <w:t>Author source</w:t>
      </w:r>
    </w:p>
    <w:p w14:paraId="195B17E3">
      <w:pPr>
        <w:spacing w:before="240" w:after="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b/>
          <w:bCs/>
          <w:sz w:val="28"/>
          <w:szCs w:val="28"/>
          <w14:ligatures w14:val="none"/>
        </w:rPr>
        <w:t>Table 3.19:</w:t>
      </w:r>
      <w:r>
        <w:rPr>
          <w:rFonts w:ascii="Times New Roman" w:hAnsi="Times New Roman" w:eastAsia="Calibri" w:cs="Times New Roman"/>
          <w:sz w:val="28"/>
          <w:szCs w:val="28"/>
          <w14:ligatures w14:val="none"/>
        </w:rPr>
        <w:t xml:space="preserve"> Overall Shapiro–Wilk Normality Test</w:t>
      </w:r>
    </w:p>
    <w:tbl>
      <w:tblPr>
        <w:tblStyle w:val="19"/>
        <w:tblW w:w="9345"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3220"/>
        <w:gridCol w:w="2299"/>
        <w:gridCol w:w="2688"/>
        <w:gridCol w:w="1138"/>
      </w:tblGrid>
      <w:tr w14:paraId="08D1AD3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520" w:hRule="atLeast"/>
        </w:trPr>
        <w:tc>
          <w:tcPr>
            <w:tcW w:w="0" w:type="auto"/>
            <w:tcBorders>
              <w:top w:val="single" w:color="auto" w:sz="4" w:space="0"/>
              <w:left w:val="nil"/>
              <w:bottom w:val="single" w:color="auto" w:sz="4" w:space="0"/>
              <w:right w:val="nil"/>
            </w:tcBorders>
            <w:vAlign w:val="center"/>
          </w:tcPr>
          <w:p w14:paraId="56B026CC">
            <w:pPr>
              <w:spacing w:before="100" w:beforeAutospacing="1" w:after="0" w:line="256" w:lineRule="auto"/>
              <w:rPr>
                <w:rFonts w:ascii="Times New Roman" w:hAnsi="Times New Roman" w:eastAsia="SimSun" w:cs="Times New Roman"/>
                <w:b/>
                <w:bCs/>
                <w:kern w:val="0"/>
                <w:sz w:val="28"/>
                <w:szCs w:val="28"/>
                <w14:ligatures w14:val="none"/>
              </w:rPr>
            </w:pPr>
            <w:r>
              <w:rPr>
                <w:rFonts w:ascii="Times New Roman" w:hAnsi="Times New Roman" w:eastAsia="Times New Roman" w:cs="Times New Roman"/>
                <w:b/>
                <w:bCs/>
                <w:kern w:val="0"/>
                <w:sz w:val="28"/>
                <w:szCs w:val="28"/>
                <w14:ligatures w14:val="none"/>
              </w:rPr>
              <w:t>Zone</w:t>
            </w:r>
          </w:p>
        </w:tc>
        <w:tc>
          <w:tcPr>
            <w:tcW w:w="0" w:type="auto"/>
            <w:tcBorders>
              <w:top w:val="single" w:color="auto" w:sz="4" w:space="0"/>
              <w:left w:val="nil"/>
              <w:bottom w:val="single" w:color="auto" w:sz="4" w:space="0"/>
              <w:right w:val="nil"/>
            </w:tcBorders>
            <w:vAlign w:val="center"/>
          </w:tcPr>
          <w:p w14:paraId="3ECD36F4">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W</w:t>
            </w:r>
          </w:p>
        </w:tc>
        <w:tc>
          <w:tcPr>
            <w:tcW w:w="0" w:type="auto"/>
            <w:tcBorders>
              <w:top w:val="single" w:color="auto" w:sz="4" w:space="0"/>
              <w:left w:val="nil"/>
              <w:bottom w:val="single" w:color="auto" w:sz="4" w:space="0"/>
              <w:right w:val="nil"/>
            </w:tcBorders>
            <w:vAlign w:val="center"/>
          </w:tcPr>
          <w:p w14:paraId="61C1F61F">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p_value</w:t>
            </w:r>
          </w:p>
        </w:tc>
        <w:tc>
          <w:tcPr>
            <w:tcW w:w="0" w:type="auto"/>
            <w:tcBorders>
              <w:top w:val="single" w:color="auto" w:sz="4" w:space="0"/>
              <w:left w:val="nil"/>
              <w:bottom w:val="single" w:color="auto" w:sz="4" w:space="0"/>
              <w:right w:val="nil"/>
            </w:tcBorders>
            <w:vAlign w:val="center"/>
          </w:tcPr>
          <w:p w14:paraId="690BE80A">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n</w:t>
            </w:r>
          </w:p>
        </w:tc>
      </w:tr>
      <w:tr w14:paraId="368809F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520" w:hRule="atLeast"/>
        </w:trPr>
        <w:tc>
          <w:tcPr>
            <w:tcW w:w="0" w:type="auto"/>
            <w:tcBorders>
              <w:top w:val="single" w:color="auto" w:sz="4" w:space="0"/>
              <w:left w:val="nil"/>
              <w:bottom w:val="single" w:color="auto" w:sz="4" w:space="0"/>
              <w:right w:val="nil"/>
            </w:tcBorders>
            <w:vAlign w:val="center"/>
          </w:tcPr>
          <w:p w14:paraId="6EEFBC5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All Wards</w:t>
            </w:r>
          </w:p>
        </w:tc>
        <w:tc>
          <w:tcPr>
            <w:tcW w:w="0" w:type="auto"/>
            <w:tcBorders>
              <w:top w:val="single" w:color="auto" w:sz="4" w:space="0"/>
              <w:left w:val="nil"/>
              <w:bottom w:val="single" w:color="auto" w:sz="4" w:space="0"/>
              <w:right w:val="nil"/>
            </w:tcBorders>
            <w:vAlign w:val="center"/>
          </w:tcPr>
          <w:p w14:paraId="7E189AB5">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0.9653</w:t>
            </w:r>
          </w:p>
        </w:tc>
        <w:tc>
          <w:tcPr>
            <w:tcW w:w="0" w:type="auto"/>
            <w:tcBorders>
              <w:top w:val="single" w:color="auto" w:sz="4" w:space="0"/>
              <w:left w:val="nil"/>
              <w:bottom w:val="single" w:color="auto" w:sz="4" w:space="0"/>
              <w:right w:val="nil"/>
            </w:tcBorders>
            <w:vAlign w:val="center"/>
          </w:tcPr>
          <w:p w14:paraId="10F41AF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0.554</w:t>
            </w:r>
          </w:p>
        </w:tc>
        <w:tc>
          <w:tcPr>
            <w:tcW w:w="0" w:type="auto"/>
            <w:tcBorders>
              <w:top w:val="single" w:color="auto" w:sz="4" w:space="0"/>
              <w:left w:val="nil"/>
              <w:bottom w:val="single" w:color="auto" w:sz="4" w:space="0"/>
              <w:right w:val="nil"/>
            </w:tcBorders>
            <w:vAlign w:val="center"/>
          </w:tcPr>
          <w:p w14:paraId="7FBAA63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24</w:t>
            </w:r>
          </w:p>
        </w:tc>
      </w:tr>
    </w:tbl>
    <w:p w14:paraId="1BF3FFC3">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sz w:val="24"/>
          <w:szCs w:val="24"/>
          <w14:ligatures w14:val="none"/>
        </w:rPr>
        <w:t>Author source</w:t>
      </w:r>
    </w:p>
    <w:p w14:paraId="7AA78EF0">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These results confirm that the assumption of normally distributed residuals is satisfied.</w:t>
      </w:r>
    </w:p>
    <w:p w14:paraId="092388BF">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Homoscedasticity Assessment</w:t>
      </w:r>
    </w:p>
    <w:p w14:paraId="3341CF18">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Homoscedasticity the assumption of constant residual variance was assessed using the Breusch-Pagan test and visual inspection of the Residuals-versus-Fitted plot.</w:t>
      </w:r>
    </w:p>
    <w:p w14:paraId="7EB29F09">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Breusch-Pagan Test</w:t>
      </w:r>
    </w:p>
    <w:p w14:paraId="258C1BE0">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Breusch-Pagan test returned a non-significant Lagrange multiplier statistic (LM = 3.747, p = 0.290), as shown in Table 3.20, indicating that heteroscedasticity is not present in the model.</w:t>
      </w:r>
    </w:p>
    <w:p w14:paraId="0B1620BE">
      <w:pPr>
        <w:spacing w:before="100" w:beforeAutospacing="1" w:after="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b/>
          <w:bCs/>
          <w:sz w:val="28"/>
          <w:szCs w:val="28"/>
          <w14:ligatures w14:val="none"/>
        </w:rPr>
        <w:t>Table 3.20:</w:t>
      </w:r>
      <w:r>
        <w:rPr>
          <w:rFonts w:ascii="Times New Roman" w:hAnsi="Times New Roman" w:eastAsia="Calibri" w:cs="Times New Roman"/>
          <w:sz w:val="28"/>
          <w:szCs w:val="28"/>
          <w14:ligatures w14:val="none"/>
        </w:rPr>
        <w:t xml:space="preserve"> Breusch-Pagan Test for Heteroscedasticity</w:t>
      </w:r>
    </w:p>
    <w:tbl>
      <w:tblPr>
        <w:tblStyle w:val="19"/>
        <w:tblW w:w="9405"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2989"/>
        <w:gridCol w:w="1982"/>
        <w:gridCol w:w="2012"/>
        <w:gridCol w:w="2422"/>
      </w:tblGrid>
      <w:tr w14:paraId="428AAB7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527" w:hRule="atLeast"/>
        </w:trPr>
        <w:tc>
          <w:tcPr>
            <w:tcW w:w="0" w:type="auto"/>
            <w:tcBorders>
              <w:top w:val="single" w:color="auto" w:sz="4" w:space="0"/>
              <w:left w:val="nil"/>
              <w:bottom w:val="single" w:color="auto" w:sz="4" w:space="0"/>
              <w:right w:val="nil"/>
            </w:tcBorders>
            <w:vAlign w:val="center"/>
          </w:tcPr>
          <w:p w14:paraId="6AF2CD9F">
            <w:pPr>
              <w:spacing w:before="100" w:beforeAutospacing="1" w:after="0" w:line="256" w:lineRule="auto"/>
              <w:rPr>
                <w:rFonts w:ascii="Times New Roman" w:hAnsi="Times New Roman" w:eastAsia="SimSun" w:cs="Times New Roman"/>
                <w:b/>
                <w:bCs/>
                <w:kern w:val="0"/>
                <w:sz w:val="28"/>
                <w:szCs w:val="28"/>
                <w14:ligatures w14:val="none"/>
              </w:rPr>
            </w:pPr>
            <w:r>
              <w:rPr>
                <w:rFonts w:ascii="Times New Roman" w:hAnsi="Times New Roman" w:eastAsia="Times New Roman" w:cs="Times New Roman"/>
                <w:b/>
                <w:bCs/>
                <w:kern w:val="0"/>
                <w:sz w:val="28"/>
                <w:szCs w:val="28"/>
                <w14:ligatures w14:val="none"/>
              </w:rPr>
              <w:t>LM statistic</w:t>
            </w:r>
          </w:p>
        </w:tc>
        <w:tc>
          <w:tcPr>
            <w:tcW w:w="0" w:type="auto"/>
            <w:tcBorders>
              <w:top w:val="single" w:color="auto" w:sz="4" w:space="0"/>
              <w:left w:val="nil"/>
              <w:bottom w:val="single" w:color="auto" w:sz="4" w:space="0"/>
              <w:right w:val="nil"/>
            </w:tcBorders>
            <w:vAlign w:val="center"/>
          </w:tcPr>
          <w:p w14:paraId="7FC73A3A">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p-value</w:t>
            </w:r>
          </w:p>
        </w:tc>
        <w:tc>
          <w:tcPr>
            <w:tcW w:w="0" w:type="auto"/>
            <w:tcBorders>
              <w:top w:val="single" w:color="auto" w:sz="4" w:space="0"/>
              <w:left w:val="nil"/>
              <w:bottom w:val="single" w:color="auto" w:sz="4" w:space="0"/>
              <w:right w:val="nil"/>
            </w:tcBorders>
            <w:vAlign w:val="center"/>
          </w:tcPr>
          <w:p w14:paraId="1911D1D0">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F-value</w:t>
            </w:r>
          </w:p>
        </w:tc>
        <w:tc>
          <w:tcPr>
            <w:tcW w:w="0" w:type="auto"/>
            <w:tcBorders>
              <w:top w:val="single" w:color="auto" w:sz="4" w:space="0"/>
              <w:left w:val="nil"/>
              <w:bottom w:val="single" w:color="auto" w:sz="4" w:space="0"/>
              <w:right w:val="nil"/>
            </w:tcBorders>
            <w:vAlign w:val="center"/>
          </w:tcPr>
          <w:p w14:paraId="5BAACD16">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F p-value</w:t>
            </w:r>
          </w:p>
        </w:tc>
      </w:tr>
      <w:tr w14:paraId="199D97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527" w:hRule="atLeast"/>
        </w:trPr>
        <w:tc>
          <w:tcPr>
            <w:tcW w:w="0" w:type="auto"/>
            <w:tcBorders>
              <w:top w:val="single" w:color="auto" w:sz="4" w:space="0"/>
              <w:left w:val="nil"/>
              <w:bottom w:val="single" w:color="auto" w:sz="4" w:space="0"/>
              <w:right w:val="nil"/>
            </w:tcBorders>
            <w:vAlign w:val="center"/>
          </w:tcPr>
          <w:p w14:paraId="5CE1ED3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3.747</w:t>
            </w:r>
          </w:p>
        </w:tc>
        <w:tc>
          <w:tcPr>
            <w:tcW w:w="0" w:type="auto"/>
            <w:tcBorders>
              <w:top w:val="single" w:color="auto" w:sz="4" w:space="0"/>
              <w:left w:val="nil"/>
              <w:bottom w:val="single" w:color="auto" w:sz="4" w:space="0"/>
              <w:right w:val="nil"/>
            </w:tcBorders>
            <w:vAlign w:val="center"/>
          </w:tcPr>
          <w:p w14:paraId="62556AA2">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0.290</w:t>
            </w:r>
          </w:p>
        </w:tc>
        <w:tc>
          <w:tcPr>
            <w:tcW w:w="0" w:type="auto"/>
            <w:tcBorders>
              <w:top w:val="single" w:color="auto" w:sz="4" w:space="0"/>
              <w:left w:val="nil"/>
              <w:bottom w:val="single" w:color="auto" w:sz="4" w:space="0"/>
              <w:right w:val="nil"/>
            </w:tcBorders>
            <w:vAlign w:val="center"/>
          </w:tcPr>
          <w:p w14:paraId="01E8B008">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1.234</w:t>
            </w:r>
          </w:p>
        </w:tc>
        <w:tc>
          <w:tcPr>
            <w:tcW w:w="0" w:type="auto"/>
            <w:tcBorders>
              <w:top w:val="single" w:color="auto" w:sz="4" w:space="0"/>
              <w:left w:val="nil"/>
              <w:bottom w:val="single" w:color="auto" w:sz="4" w:space="0"/>
              <w:right w:val="nil"/>
            </w:tcBorders>
            <w:vAlign w:val="center"/>
          </w:tcPr>
          <w:p w14:paraId="56B5DAF4">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0.324</w:t>
            </w:r>
          </w:p>
        </w:tc>
      </w:tr>
    </w:tbl>
    <w:p w14:paraId="4DC58C27">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sz w:val="24"/>
          <w:szCs w:val="24"/>
          <w14:ligatures w14:val="none"/>
        </w:rPr>
        <w:t>Author source</w:t>
      </w:r>
    </w:p>
    <w:p w14:paraId="2E9E902E">
      <w:pPr>
        <w:spacing w:before="240"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Visual Assessment (Residuals vs Fitted Plot)</w:t>
      </w:r>
    </w:p>
    <w:p w14:paraId="140E10A7">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Figure 3.8 showed the standardized residuals plotted against the fitted NDVI values. which the random dispersion of points around the zero line, without funnel patterns or curvature, confirms homoscedasticity and validates the linearity assumption. The findings of the analysis also shows that the model performs consistently across wards of varying urbanization intensities.</w:t>
      </w:r>
    </w:p>
    <w:p w14:paraId="7AA18545">
      <w:pPr>
        <w:spacing w:before="100" w:beforeAutospacing="1" w:line="273" w:lineRule="auto"/>
        <w:jc w:val="both"/>
        <w:rPr>
          <w:rFonts w:ascii="Times New Roman" w:hAnsi="Times New Roman" w:eastAsia="Calibri" w:cs="Times New Roman"/>
          <w:sz w:val="28"/>
          <w:szCs w:val="28"/>
          <w14:ligatures w14:val="none"/>
        </w:rPr>
      </w:pPr>
      <w:r>
        <w:rPr>
          <w:rFonts w:ascii="Calibri" w:hAnsi="Calibri" w:eastAsia="Times New Roman" w:cs="Times New Roman"/>
          <w14:ligatures w14:val="none"/>
        </w:rPr>
        <w:drawing>
          <wp:inline distT="0" distB="0" distL="0" distR="0">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486400" cy="3657600"/>
                    </a:xfrm>
                    <a:prstGeom prst="rect">
                      <a:avLst/>
                    </a:prstGeom>
                    <a:noFill/>
                    <a:ln>
                      <a:noFill/>
                    </a:ln>
                  </pic:spPr>
                </pic:pic>
              </a:graphicData>
            </a:graphic>
          </wp:inline>
        </w:drawing>
      </w:r>
      <w:r>
        <w:rPr>
          <w:rFonts w:ascii="Times New Roman" w:hAnsi="Times New Roman" w:eastAsia="Calibri" w:cs="Times New Roman"/>
          <w:sz w:val="28"/>
          <w:szCs w:val="28"/>
          <w14:ligatures w14:val="none"/>
        </w:rPr>
        <w:t xml:space="preserve"> </w:t>
      </w:r>
    </w:p>
    <w:p w14:paraId="2182A786">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sz w:val="28"/>
          <w:szCs w:val="28"/>
          <w14:ligatures w14:val="none"/>
        </w:rPr>
        <w:t>Figure 3.8:</w:t>
      </w:r>
      <w:r>
        <w:rPr>
          <w:rFonts w:ascii="Times New Roman" w:hAnsi="Times New Roman" w:eastAsia="Calibri" w:cs="Times New Roman"/>
          <w:sz w:val="28"/>
          <w:szCs w:val="28"/>
          <w14:ligatures w14:val="none"/>
        </w:rPr>
        <w:t xml:space="preserve"> Residuals‐versus‐fitted plot assessing homoscedasticity of model errors:</w:t>
      </w:r>
      <w:r>
        <w:rPr>
          <w:rFonts w:ascii="Times New Roman" w:hAnsi="Times New Roman" w:eastAsia="Calibri" w:cs="Times New Roman"/>
          <w:sz w:val="24"/>
          <w:szCs w:val="24"/>
          <w14:ligatures w14:val="none"/>
        </w:rPr>
        <w:t xml:space="preserve"> Author source</w:t>
      </w:r>
    </w:p>
    <w:p w14:paraId="2C61721C">
      <w:pPr>
        <w:spacing w:before="100" w:beforeAutospacing="1"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Influence Diagnostics (Cook’s Distance)</w:t>
      </w:r>
    </w:p>
    <w:p w14:paraId="31635904">
      <w:pPr>
        <w:spacing w:before="100" w:beforeAutospacing="1"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influential observations were assessed through the Cook’s distance and the findings as shown in Figure 3.9 showed the Cook’s distance values for all wards, while Table 3.21 lists wards with the highest influence scores. Most wards exhibited very low Cook’s distances, indicating limited leverage on model estimates. From the findings, two wards Clerks/Market (Urban) and Otukpo East (Urban) showed a comparatively higher influence, with Cook’s distance values of 2.001 and 0.251, respectively. These values suggest that while the model is generally stable, these wards merit consideration during interpretation.</w:t>
      </w:r>
    </w:p>
    <w:p w14:paraId="4B5AB4CF">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sz w:val="28"/>
          <w:szCs w:val="28"/>
          <w14:ligatures w14:val="none"/>
        </w:rPr>
        <w:t>Table 3.21:</w:t>
      </w:r>
      <w:r>
        <w:rPr>
          <w:rFonts w:ascii="Times New Roman" w:hAnsi="Times New Roman" w:eastAsia="Calibri" w:cs="Times New Roman"/>
          <w:sz w:val="28"/>
          <w:szCs w:val="28"/>
          <w14:ligatures w14:val="none"/>
        </w:rPr>
        <w:t xml:space="preserve"> Cook’s Distance for Influential Wards:</w:t>
      </w:r>
      <w:r>
        <w:rPr>
          <w:rFonts w:ascii="Times New Roman" w:hAnsi="Times New Roman" w:eastAsia="Calibri" w:cs="Times New Roman"/>
          <w:sz w:val="24"/>
          <w:szCs w:val="24"/>
          <w14:ligatures w14:val="none"/>
        </w:rPr>
        <w:t xml:space="preserve"> Author source</w:t>
      </w:r>
    </w:p>
    <w:tbl>
      <w:tblPr>
        <w:tblStyle w:val="19"/>
        <w:tblW w:w="9257"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4334"/>
        <w:gridCol w:w="2146"/>
        <w:gridCol w:w="2777"/>
      </w:tblGrid>
      <w:tr w14:paraId="279024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441" w:hRule="atLeast"/>
        </w:trPr>
        <w:tc>
          <w:tcPr>
            <w:tcW w:w="0" w:type="auto"/>
            <w:tcBorders>
              <w:top w:val="single" w:color="auto" w:sz="4" w:space="0"/>
              <w:left w:val="nil"/>
              <w:bottom w:val="single" w:color="auto" w:sz="4" w:space="0"/>
              <w:right w:val="nil"/>
            </w:tcBorders>
            <w:vAlign w:val="center"/>
          </w:tcPr>
          <w:p w14:paraId="71D7588A">
            <w:pPr>
              <w:spacing w:before="100" w:beforeAutospacing="1" w:after="0" w:line="256" w:lineRule="auto"/>
              <w:rPr>
                <w:rFonts w:ascii="Times New Roman" w:hAnsi="Times New Roman" w:eastAsia="SimSun" w:cs="Times New Roman"/>
                <w:b/>
                <w:bCs/>
                <w:kern w:val="0"/>
                <w:sz w:val="28"/>
                <w:szCs w:val="28"/>
                <w14:ligatures w14:val="none"/>
              </w:rPr>
            </w:pPr>
            <w:r>
              <w:rPr>
                <w:rFonts w:ascii="Times New Roman" w:hAnsi="Times New Roman" w:eastAsia="Times New Roman" w:cs="Times New Roman"/>
                <w:b/>
                <w:bCs/>
                <w:kern w:val="0"/>
                <w:sz w:val="28"/>
                <w:szCs w:val="28"/>
                <w14:ligatures w14:val="none"/>
              </w:rPr>
              <w:t>Ward</w:t>
            </w:r>
          </w:p>
        </w:tc>
        <w:tc>
          <w:tcPr>
            <w:tcW w:w="0" w:type="auto"/>
            <w:tcBorders>
              <w:top w:val="single" w:color="auto" w:sz="4" w:space="0"/>
              <w:left w:val="nil"/>
              <w:bottom w:val="single" w:color="auto" w:sz="4" w:space="0"/>
              <w:right w:val="nil"/>
            </w:tcBorders>
            <w:vAlign w:val="center"/>
          </w:tcPr>
          <w:p w14:paraId="6D6CA330">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Zone</w:t>
            </w:r>
          </w:p>
        </w:tc>
        <w:tc>
          <w:tcPr>
            <w:tcW w:w="0" w:type="auto"/>
            <w:tcBorders>
              <w:top w:val="single" w:color="auto" w:sz="4" w:space="0"/>
              <w:left w:val="nil"/>
              <w:bottom w:val="single" w:color="auto" w:sz="4" w:space="0"/>
              <w:right w:val="nil"/>
            </w:tcBorders>
            <w:vAlign w:val="center"/>
          </w:tcPr>
          <w:p w14:paraId="7BBD486B">
            <w:pPr>
              <w:spacing w:before="100" w:beforeAutospacing="1" w:after="0" w:line="256"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cooks_d</w:t>
            </w:r>
          </w:p>
        </w:tc>
      </w:tr>
      <w:tr w14:paraId="362F0A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441" w:hRule="atLeast"/>
        </w:trPr>
        <w:tc>
          <w:tcPr>
            <w:tcW w:w="0" w:type="auto"/>
            <w:tcBorders>
              <w:top w:val="single" w:color="auto" w:sz="4" w:space="0"/>
              <w:left w:val="nil"/>
              <w:bottom w:val="nil"/>
              <w:right w:val="nil"/>
            </w:tcBorders>
            <w:vAlign w:val="center"/>
          </w:tcPr>
          <w:p w14:paraId="5FE5CC99">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Clerks/Market</w:t>
            </w:r>
          </w:p>
        </w:tc>
        <w:tc>
          <w:tcPr>
            <w:tcW w:w="0" w:type="auto"/>
            <w:tcBorders>
              <w:top w:val="single" w:color="auto" w:sz="4" w:space="0"/>
              <w:left w:val="nil"/>
              <w:bottom w:val="nil"/>
              <w:right w:val="nil"/>
            </w:tcBorders>
            <w:vAlign w:val="center"/>
          </w:tcPr>
          <w:p w14:paraId="0DE6F961">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Urban</w:t>
            </w:r>
          </w:p>
        </w:tc>
        <w:tc>
          <w:tcPr>
            <w:tcW w:w="0" w:type="auto"/>
            <w:tcBorders>
              <w:top w:val="single" w:color="auto" w:sz="4" w:space="0"/>
              <w:left w:val="nil"/>
              <w:bottom w:val="nil"/>
              <w:right w:val="nil"/>
            </w:tcBorders>
            <w:vAlign w:val="center"/>
          </w:tcPr>
          <w:p w14:paraId="70F9B203">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2.001</w:t>
            </w:r>
          </w:p>
        </w:tc>
      </w:tr>
      <w:tr w14:paraId="3C9B8B7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441" w:hRule="atLeast"/>
        </w:trPr>
        <w:tc>
          <w:tcPr>
            <w:tcW w:w="0" w:type="auto"/>
            <w:tcBorders>
              <w:top w:val="nil"/>
              <w:left w:val="nil"/>
              <w:bottom w:val="single" w:color="auto" w:sz="4" w:space="0"/>
              <w:right w:val="nil"/>
            </w:tcBorders>
            <w:vAlign w:val="center"/>
          </w:tcPr>
          <w:p w14:paraId="45B7D845">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Otukpo East</w:t>
            </w:r>
          </w:p>
        </w:tc>
        <w:tc>
          <w:tcPr>
            <w:tcW w:w="0" w:type="auto"/>
            <w:tcBorders>
              <w:top w:val="nil"/>
              <w:left w:val="nil"/>
              <w:bottom w:val="single" w:color="auto" w:sz="4" w:space="0"/>
              <w:right w:val="nil"/>
            </w:tcBorders>
            <w:vAlign w:val="center"/>
          </w:tcPr>
          <w:p w14:paraId="38F0ACBA">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Urban</w:t>
            </w:r>
          </w:p>
        </w:tc>
        <w:tc>
          <w:tcPr>
            <w:tcW w:w="0" w:type="auto"/>
            <w:tcBorders>
              <w:top w:val="nil"/>
              <w:left w:val="nil"/>
              <w:bottom w:val="single" w:color="auto" w:sz="4" w:space="0"/>
              <w:right w:val="nil"/>
            </w:tcBorders>
            <w:vAlign w:val="center"/>
          </w:tcPr>
          <w:p w14:paraId="041F375D">
            <w:pPr>
              <w:spacing w:before="100" w:beforeAutospacing="1" w:after="0" w:line="256"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0.251</w:t>
            </w:r>
          </w:p>
        </w:tc>
      </w:tr>
    </w:tbl>
    <w:p w14:paraId="3641C279">
      <w:pPr>
        <w:spacing w:before="240" w:line="273" w:lineRule="auto"/>
        <w:jc w:val="both"/>
        <w:rPr>
          <w:rFonts w:ascii="Times New Roman" w:hAnsi="Times New Roman" w:eastAsia="Calibri" w:cs="Times New Roman"/>
          <w:sz w:val="28"/>
          <w:szCs w:val="28"/>
          <w14:ligatures w14:val="none"/>
        </w:rPr>
      </w:pPr>
      <w:r>
        <w:rPr>
          <w:rFonts w:ascii="Calibri" w:hAnsi="Calibri" w:eastAsia="Times New Roman" w:cs="Times New Roman"/>
          <w14:ligatures w14:val="none"/>
        </w:rPr>
        <w:drawing>
          <wp:inline distT="0" distB="0" distL="0" distR="0">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943600" cy="2971800"/>
                    </a:xfrm>
                    <a:prstGeom prst="rect">
                      <a:avLst/>
                    </a:prstGeom>
                    <a:noFill/>
                    <a:ln>
                      <a:noFill/>
                    </a:ln>
                  </pic:spPr>
                </pic:pic>
              </a:graphicData>
            </a:graphic>
          </wp:inline>
        </w:drawing>
      </w:r>
      <w:r>
        <w:rPr>
          <w:rFonts w:ascii="Times New Roman" w:hAnsi="Times New Roman" w:eastAsia="Calibri" w:cs="Times New Roman"/>
          <w:sz w:val="28"/>
          <w:szCs w:val="28"/>
          <w14:ligatures w14:val="none"/>
        </w:rPr>
        <w:t xml:space="preserve"> </w:t>
      </w:r>
    </w:p>
    <w:p w14:paraId="13CE73ED">
      <w:pPr>
        <w:spacing w:before="240" w:line="240" w:lineRule="auto"/>
        <w:rPr>
          <w:rFonts w:ascii="Times New Roman" w:hAnsi="Times New Roman" w:eastAsia="Calibri" w:cs="Times New Roman"/>
          <w:sz w:val="24"/>
          <w:szCs w:val="24"/>
          <w14:ligatures w14:val="none"/>
        </w:rPr>
      </w:pPr>
      <w:r>
        <w:rPr>
          <w:rFonts w:ascii="Times New Roman" w:hAnsi="Times New Roman" w:eastAsia="Calibri" w:cs="Times New Roman"/>
          <w:b/>
          <w:bCs/>
          <w:sz w:val="28"/>
          <w:szCs w:val="28"/>
          <w14:ligatures w14:val="none"/>
        </w:rPr>
        <w:t>Figure 3.9:</w:t>
      </w:r>
      <w:r>
        <w:rPr>
          <w:rFonts w:ascii="Times New Roman" w:hAnsi="Times New Roman" w:eastAsia="Calibri" w:cs="Times New Roman"/>
          <w:sz w:val="28"/>
          <w:szCs w:val="28"/>
          <w14:ligatures w14:val="none"/>
        </w:rPr>
        <w:t xml:space="preserve"> Cook’s distance values for all wards, indicating potential influential observations</w:t>
      </w:r>
      <w:r>
        <w:rPr>
          <w:rFonts w:ascii="Times New Roman" w:hAnsi="Times New Roman" w:eastAsia="Calibri" w:cs="Times New Roman"/>
          <w:sz w:val="24"/>
          <w:szCs w:val="24"/>
          <w14:ligatures w14:val="none"/>
        </w:rPr>
        <w:t xml:space="preserve"> :Author source</w:t>
      </w:r>
    </w:p>
    <w:p w14:paraId="72420803">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overall findings shows that the regression model satisfies the primary statistical assumptions that required for reliable inference. A multicollinearity among the predictors is minimal, with all the Variance Inflation Factor (VIF) values falling below the critical threshold of 10, indicating acceptable and independences among the urbanization indicators considered for this study. Residual analyses further show that the errors follow an approximately normal distribution, as evidenced by the alignment of points along the QQ plot as well as the non-significant Shapiro-Wilk test results across all zones and for the pooled dataset. The Homoscedasticity was also maintained, which was supported both by the random scatter pattern observed in the residuals-versus-the fitted values plot and by the non-significant Breusch-Pagan test, which indicates constant error variance across fitted values. The Influence diagnostics based on Cook’s distance also shows that the model is generally stable, with only two wards exerting modest influence on the parameter estimates. But, collectively, these diagnostic evaluation findings confirm that the regression model is statistically robust and that the coefficient estimates can be interpreted with confidence.</w:t>
      </w:r>
    </w:p>
    <w:p w14:paraId="6A3A4EC7">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72" w:name="_Toc215220522"/>
      <w:r>
        <w:rPr>
          <w:rFonts w:ascii="Times New Roman" w:hAnsi="Times New Roman" w:eastAsia="DengXian Light" w:cs="Times New Roman"/>
          <w:b/>
          <w:bCs/>
          <w:sz w:val="32"/>
          <w:szCs w:val="32"/>
          <w14:ligatures w14:val="none"/>
        </w:rPr>
        <w:t>3.5.4 Interpretation of Regression Results</w:t>
      </w:r>
      <w:bookmarkEnd w:id="72"/>
    </w:p>
    <w:p w14:paraId="59ED1384">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regression model offers important insights into how different dimensions of urbanization built-up extent, night-time lights, and population density shape vegetation condition (NDVI) across the study wards. The direction and magnitude of coefficients, together with their statistical significance, reveal distinct pathways through which urban development influences ecological functioning.</w:t>
      </w:r>
    </w:p>
    <w:p w14:paraId="77128604">
      <w:pPr>
        <w:spacing w:before="240"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Direction and Strength of Predictor Impacts</w:t>
      </w:r>
    </w:p>
    <w:p w14:paraId="1CAC4A35">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Bbuilt-up as a variable of this study, shows a positive and statistically significant influence on NDVI (β = 0.0537, p = 0.020). Although built-up expansion is commonly associated with vegetation loss, the positive direction observed here suggests that in the study area, built-up surfaces are frequently embedded within mixed settlement-vegetation mosaics, especially in peri-urban zones. The pattern shows how a small-scale cultivation, the household tree stands, the fallow vegetation, and the compound greenery coexist within developing neighborhoods, thereby contributed to the slightly elevated NDVI values even as built structures increase.</w:t>
      </w:r>
    </w:p>
    <w:p w14:paraId="18A78562">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NTL shows a negative but non-significant coefficient (β = –0.0130, p = 0.258), and this implied that the illumination intensity alone is not a strong or direct determinant of vegetation status. This weak relationship is consistent with the role of NTL as a proxy for economic activity or electrification rather than land cover transformation. While brighter areas tend to be more urbanized, NTL does not independently account for variations in vegetation greenness once population and built-up surfaces are considered.</w:t>
      </w:r>
    </w:p>
    <w:p w14:paraId="6DB4C7EE">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Population density shows the strongest and most significant negative effect on NDVI as (β = –0.0072, p &lt; 0.001), this reflected the substantial ecological pressure exerted by concentrated human presence. Higher population density commonly induces vegetation clearance for housing, commercial activity, fuelwood extraction, transportation corridors, and industrial development. This makes population density a robust suppressor of ecosystem productivity within rapidly urbanizing environments.</w:t>
      </w:r>
    </w:p>
    <w:p w14:paraId="477851AD">
      <w:pPr>
        <w:spacing w:before="240"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sz w:val="28"/>
          <w:szCs w:val="28"/>
          <w14:ligatures w14:val="none"/>
        </w:rPr>
        <w:t xml:space="preserve"> </w:t>
      </w:r>
      <w:r>
        <w:rPr>
          <w:rFonts w:ascii="Times New Roman" w:hAnsi="Times New Roman" w:eastAsia="Calibri" w:cs="Times New Roman"/>
          <w:b/>
          <w:bCs/>
          <w:sz w:val="28"/>
          <w:szCs w:val="28"/>
          <w14:ligatures w14:val="none"/>
        </w:rPr>
        <w:t>Comparative Importance of Predictors</w:t>
      </w:r>
    </w:p>
    <w:p w14:paraId="6DE24598">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Population density standout in terms of relative strength as the most influential variable in the model, both statistically and ecologically. Its large negative coefficient and high t-value (–5.03) demonstrate that demographic pressure is the dominant mechanism through which urbanization degrades vegetation. On the other hand, the built-up area, though significant, has a comparatively modest effect,and its  consistent with transitional landscapes where vegetation persists within developing communities. And then, by contrast, NTL’s weak signal underscores that electrification or economic intensity does not directly translate to vegetation decline unless accompanied by population-driven land conversion.</w:t>
      </w:r>
    </w:p>
    <w:p w14:paraId="1C94B9B4">
      <w:pPr>
        <w:spacing w:before="240"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Implications for Urban Ecological Dynamics</w:t>
      </w:r>
    </w:p>
    <w:p w14:paraId="10A4EE02">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Considering all, the regression findings showed that while the urbanization indicators are strongly correlated, they do not contribute equally to ecological outcomes. Likewise, the urbanization zones expressed in the descriptive statistics spanning from rural, peri-urban, and urban wards translates into a clear ecological gradient in which population pressure is the principal driver of vegetation depletion.</w:t>
      </w:r>
    </w:p>
    <w:p w14:paraId="224B7E5F">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regression model therefore highlights three key ecological insights:</w:t>
      </w:r>
    </w:p>
    <w:p w14:paraId="770F6C57">
      <w:pPr>
        <w:numPr>
          <w:ilvl w:val="0"/>
          <w:numId w:val="13"/>
        </w:numPr>
        <w:spacing w:before="24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That the urban expansion without high population concentration may retain pockets of vegetation, explaining the positive effect of built-up extent in certain wards.</w:t>
      </w:r>
    </w:p>
    <w:p w14:paraId="25BC504D">
      <w:pPr>
        <w:numPr>
          <w:ilvl w:val="0"/>
          <w:numId w:val="13"/>
        </w:numPr>
        <w:spacing w:before="24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Human presence, not illumination or structural density, is the most critical factor in vegetation suppression, aligning with known patterns of resource extraction and land-use intensification.</w:t>
      </w:r>
    </w:p>
    <w:p w14:paraId="3A5950B8">
      <w:pPr>
        <w:numPr>
          <w:ilvl w:val="0"/>
          <w:numId w:val="13"/>
        </w:numPr>
        <w:spacing w:before="240" w:beforeAutospacing="1" w:after="100" w:afterAutospacing="1" w:line="273" w:lineRule="auto"/>
        <w:jc w:val="both"/>
        <w:rPr>
          <w:rFonts w:ascii="Times New Roman" w:hAnsi="Times New Roman" w:eastAsia="Calibri" w:cs="Times New Roman"/>
          <w:kern w:val="0"/>
          <w:sz w:val="28"/>
          <w:szCs w:val="28"/>
          <w14:ligatures w14:val="none"/>
        </w:rPr>
      </w:pPr>
      <w:r>
        <w:rPr>
          <w:rFonts w:ascii="Times New Roman" w:hAnsi="Times New Roman" w:eastAsia="Calibri" w:cs="Times New Roman"/>
          <w:kern w:val="0"/>
          <w:sz w:val="28"/>
          <w:szCs w:val="28"/>
          <w14:ligatures w14:val="none"/>
        </w:rPr>
        <w:t>Ecosystem functioning is highly sensitive to demographic factors, suggesting that managing population-driven land conversion is essential for sustaining green infrastructure in rapidly growing towns.</w:t>
      </w:r>
    </w:p>
    <w:p w14:paraId="0F7A6E60">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findings shows that the overall model performance (R² = 0.862) reveal that over a 86% of NDVI variability is accounting for by the three urbanization indicators, which underscore the central role of the urbanization dynamics in shaping the overall ecological conditions in the study locations. And also, the strong negative effect of the population density combined with the most modest positive effect of the built-up surfaces suggests that ecological degradation is predominantly linked to demographic expansion rather than structural development alone.</w:t>
      </w:r>
    </w:p>
    <w:p w14:paraId="66E90FF2">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These findings reinforce the broader conclusion that vegetation productivity declines most sharply in high-density urban cores, where land conversion, resource pressure, and habitat fragmentation are most severe. Conversely, peri-urban areas with moderate built-up development but lower population densities may support more resilient vegetative cover.</w:t>
      </w:r>
    </w:p>
    <w:p w14:paraId="1615A42A">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73" w:name="_Toc215220523"/>
      <w:r>
        <w:rPr>
          <w:rFonts w:ascii="Times New Roman" w:hAnsi="Times New Roman" w:eastAsia="DengXian Light" w:cs="Times New Roman"/>
          <w:b/>
          <w:bCs/>
          <w:sz w:val="32"/>
          <w:szCs w:val="32"/>
          <w14:ligatures w14:val="none"/>
        </w:rPr>
        <w:t>3.6 Integrated Assessment of Urbanization Impacts</w:t>
      </w:r>
      <w:bookmarkEnd w:id="73"/>
    </w:p>
    <w:p w14:paraId="57478C4A">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74" w:name="_Toc215220524"/>
      <w:r>
        <w:rPr>
          <w:rFonts w:ascii="Times New Roman" w:hAnsi="Times New Roman" w:eastAsia="DengXian Light" w:cs="Times New Roman"/>
          <w:b/>
          <w:bCs/>
          <w:sz w:val="32"/>
          <w:szCs w:val="32"/>
          <w14:ligatures w14:val="none"/>
        </w:rPr>
        <w:t>3.6.1 Synthesis of Findings Across Indicators</w:t>
      </w:r>
      <w:bookmarkEnd w:id="74"/>
    </w:p>
    <w:p w14:paraId="6EDDD317">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integration of the LULC dynamics, the plant diversity patterns, soil properties, vegetation indices, and urbanization metrics demonstrates that urbanization in Makurdi and Otukpo has produced a consistent trajectory of ecological alteration across the rural–peri-urban–urban gradient. Each dataset highlights a distinct ecological dimension, yet together they reveal a unified pattern of plant community disruption and declining ecosystem functioning.</w:t>
      </w:r>
    </w:p>
    <w:p w14:paraId="3F314557">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LULC findings shows that the built-up area expanded dramatically, by increasing from a 23.17 km² in 1990 to a 143.11 km² in 2024, which represented a 517% increase (119.94 km² gain) over the 34 years period of the study. Simultaneously, forest cover declined by 124.93 km², and cropland lost 159.71 km², indicating widespread conversion of natural and semi-natural habitats to urban surfaces. These quantitative shifts signify large-scale habitat loss, fragmentation, and replacement of heterogeneous vegetated landscapes with ecologically simplified impervious environments. The findings also reveals that the Wetlands increased by 107.00 km², reflecting hydrological disturbance rather than ecological restoration, as their expansion coincided with vegetation removal and altered drainage, especially in rapidly urbanizing districts.</w:t>
      </w:r>
    </w:p>
    <w:p w14:paraId="603DFC29">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Biological field assessments confirm the ecological consequences of these changes. Futher more, the findings of the analyses shows that the Rural areas maintained the highest plant diversity, with Shannon index values averaging 2.83 in Makurdi and 2.74 in Otukpo, compared to lower values in peri-urban (2.49–2.54) and urban zones (2.64 in Makurdi; 2.52 in Otukpo). Again somehow, it shows that the differences were not statistically significant, the biological gradient is unmistakable: increasing urban intensity corresponds to reduced species richness (23.50 → 15.83 species), lower ecological evenness, and a shift toward disturbance-tolerant species. This pattern reflects ecological homogenization a well-documented biological effect of urbanization where diverse plant communities are progressively replaced by generalists, ornamentals, and pioneer species.</w:t>
      </w:r>
    </w:p>
    <w:p w14:paraId="44FF9DC4">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Soil indicators further support the ecological shift. Urban soils from the findings shows that the significantly higher pH values (p = 0.037) is greater than those of the peri-urban and the rural soils, indicating increased alkalinity linked to anthropogenic inputs such as construction debris, wastewater infiltration, and reduced organic buffering. This findings further revealed that the SOC and the nitrogen have increased toward urban zones (SOC rising from 166.27 to 211.99), but this pattern likely reflects episodic organic waste deposition rather than improved nutrient cycling. True soil fertility is better reflected by biological availability, structure, and organic turnover processes that are typically impaired in compacted and disturbed urban soils.</w:t>
      </w:r>
    </w:p>
    <w:p w14:paraId="1D543F1F">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Vegetation indices showed the clearest ecological signal. NDVI declined from 0.482 ± 0.023 (rural) to 0.277 ± 0.076 (urban), while EVI dropped from 0.312 ± 0.025 to 0.173 ± 0.051, demonstrating stark reductions in primary productivity and vegetation vigor. To nailed it, also the ANOVA results confirmed highly significant differences across zones (NDVI: F = 31.04, p &lt; 0.001; EVI: F = 32.52, p &lt; 0.001), revealing that vegetation functioning diminishes sharply with increasing urban intensity.</w:t>
      </w:r>
    </w:p>
    <w:p w14:paraId="440656B6">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regression model synthesizes these patterns by showing how specific components of urbanization explain vegetation health. It then shows again that, the population density had the strongest negative effect on NDVI (β = –0.0072, p &lt; 0.001), which identified that demographic pressure as a key biological stressor driving vegetation removal, fuelwood extraction, and habitat simplification. NTL, on the other hand, shows a very weak and a non-significant influence, thereby confirming that the economic intensity alone does not dictate vegetation status. Built-up extent showed a small but significant positive coefficient (β = 0.0537, p = 0.020), likely reflecting the mixed vegetative–settlement mosaics in peri-urban areas rather than true ecological benefit.</w:t>
      </w:r>
    </w:p>
    <w:p w14:paraId="6273FACF">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Collectively, the findings demonstrated that urban expansion (urbanization) strongly affected the biological ecosystems through multiple and interacting pathways that caused habitat loss, soil modification, vegetation suppression, and demographic pressure converge to reshape plant community structure and ecosystem functioning.</w:t>
      </w:r>
    </w:p>
    <w:p w14:paraId="1669BCF4">
      <w:pPr>
        <w:keepNext/>
        <w:keepLines/>
        <w:widowControl w:val="0"/>
        <w:spacing w:before="240" w:after="240" w:line="256" w:lineRule="auto"/>
        <w:jc w:val="center"/>
        <w:outlineLvl w:val="0"/>
        <w:rPr>
          <w:rFonts w:ascii="Times New Roman" w:hAnsi="Times New Roman" w:eastAsia="DengXian Light" w:cs="Times New Roman"/>
          <w:b/>
          <w:bCs/>
          <w:sz w:val="32"/>
          <w:szCs w:val="32"/>
          <w14:ligatures w14:val="none"/>
        </w:rPr>
      </w:pPr>
      <w:bookmarkStart w:id="75" w:name="_Toc215220525"/>
      <w:r>
        <w:rPr>
          <w:rFonts w:ascii="Times New Roman" w:hAnsi="Times New Roman" w:eastAsia="DengXian Light" w:cs="Times New Roman"/>
          <w:b/>
          <w:bCs/>
          <w:sz w:val="32"/>
          <w:szCs w:val="32"/>
          <w14:ligatures w14:val="none"/>
        </w:rPr>
        <w:t>3.6.2 Ecological Implications</w:t>
      </w:r>
      <w:bookmarkEnd w:id="75"/>
    </w:p>
    <w:p w14:paraId="7182A9BD">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integrated evidence points to several key ecological consequences of urbanization that directly impact plant diversity and ecosystem functioning in tropical cities like Makurdi and Otukpo.</w:t>
      </w:r>
    </w:p>
    <w:p w14:paraId="3CB6B457">
      <w:pPr>
        <w:spacing w:before="240" w:line="273" w:lineRule="auto"/>
        <w:jc w:val="both"/>
        <w:rPr>
          <w:rFonts w:ascii="Times New Roman" w:hAnsi="Times New Roman" w:eastAsia="Calibri" w:cs="Times New Roman"/>
          <w:b/>
          <w:bCs/>
          <w:sz w:val="28"/>
          <w:szCs w:val="28"/>
          <w14:ligatures w14:val="none"/>
        </w:rPr>
      </w:pPr>
      <w:bookmarkStart w:id="76" w:name="_Hlk215217263"/>
      <w:r>
        <w:rPr>
          <w:rFonts w:ascii="Times New Roman" w:hAnsi="Times New Roman" w:eastAsia="Calibri" w:cs="Times New Roman"/>
          <w:b/>
          <w:bCs/>
          <w:sz w:val="28"/>
          <w:szCs w:val="28"/>
          <w14:ligatures w14:val="none"/>
        </w:rPr>
        <w:t>Habitat Fragmentation and Landscape Conversion</w:t>
      </w:r>
    </w:p>
    <w:bookmarkEnd w:id="76"/>
    <w:p w14:paraId="5C185B68">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From the findings, the loss of 124.93 km² of forest and widespread cropland decline have lead to the fragmentation of the formerly continuous habitats into isolated patches. Fragmentation reduces dispersal opportunities, increases edge effects, and disrupts plant community dynamics. This in turn further explained why the Forest-dependent species are particularly affected, leading to reduced niche diversity and potential local extinctions. Patch isolation also limits pollinator movement, seed flow, and successional processes essential for ecosystem recovery.</w:t>
      </w:r>
    </w:p>
    <w:p w14:paraId="2D779433">
      <w:pPr>
        <w:spacing w:before="240"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Biodiversity Decline and Ecological Homogenization</w:t>
      </w:r>
    </w:p>
    <w:p w14:paraId="5F7D4630">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findings on the the decline of the species richness from 23.50 species (rural) to 15.83 species (urban), along with reduced Shannon and Simpson indices, indicates that urbanization fosters homogenization of plant communities. Disturbance-tolerant species such as Cleomeviscosa, Sida acuta, and Heterotis rotundifolia become more dominant, while native forest species decline. This shift alone is considered to have reduces functional diversity, disrupts trophic and symbiotic relationships, and diminishes ecological resilience.</w:t>
      </w:r>
    </w:p>
    <w:p w14:paraId="63FA7B39">
      <w:pPr>
        <w:spacing w:before="240"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Soil Fertility Modification and Biological Function Disruption</w:t>
      </w:r>
    </w:p>
    <w:p w14:paraId="1B56271B">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Significantly higher soil pH in urban areas (p = 0.037) indicates altered nutrient availability and potential micro-nutrient deficiencies that can suppress plant growth. Even though SOC and nitrogen appear elevated, the biological reality is reduced nutrient turnover, poorer microbial activity, and compacted soil structure—conditions that limit root development and reduce soil–plant interactions fundamental to ecosystem processes.</w:t>
      </w:r>
    </w:p>
    <w:p w14:paraId="5326F1C7">
      <w:pPr>
        <w:spacing w:before="240"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Reduced Primary Productivity and Vegetation Health</w:t>
      </w:r>
    </w:p>
    <w:p w14:paraId="18163743">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findings on the part of the NDVI, which clearly shows the substantial decline in NDVI values (0.48 → 0.28) and EVI (0.31 → 0.17) demonstrates weakened photosynthetic activity, reduced biomass accumulation, and lower canopy cover. This reduction compromises ecological functions such as carbon sequestration, microclimate regulation, soil stabilization, and hydrological buffering. This confirms that the urban hotpots with the highest population densities show the lowest NDVI values, confirming that demographic stress is a major biological driver of ecosystem decline.</w:t>
      </w:r>
    </w:p>
    <w:p w14:paraId="2752C242">
      <w:pPr>
        <w:spacing w:before="240"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Mechanistic Insight from Urbanization Metrics</w:t>
      </w:r>
    </w:p>
    <w:p w14:paraId="2CF32B4E">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Regression outputs demonstrate that population pressure (β = –0.0072, p &lt; 0.001) is the dominant suppressor of vegetation functioning. The implicatio is that high-density areas that typically experience more fuelwood harvesting, land clearing, waste dumping, and infrastructural expansion. Built-up intensity’s unexpected positive effect reflects peri-urban mixed land cover rather than true ecological improvement. These insights underscore that biological decline is primarily driven by human pressure rather than structural development alone.</w:t>
      </w:r>
    </w:p>
    <w:p w14:paraId="27E62445">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Overall, urbanization in Benue State is driving a clear transition from biologically rich, vegetated rural ecosystems to increasingly disturbed, low-diversity urban environments. The bigger picture is seen through the transformation that is marked by a loss of habitat complexity, reductions in plant species diversity, alterations in soil chemistry and nutrient processes, suppressed vegetation productivity, and growing demographic pressure on ecological resources. And collectively, by extension these changes have mirrored a broader patterns observed across tropical urban ecosystems, where the rapid and often the unplanned expansion of places intense stress on plant communities and disrupts the ecological processes that sustain them. The integrated findings presented by this study, is therefore a strong biological basis for developing policy recommendations focused on biodiversity conservation, sustainable urban planning, and ecosystem restoration in rapidly growing tropical cities.</w:t>
      </w:r>
    </w:p>
    <w:p w14:paraId="4BA49273">
      <w:pPr>
        <w:keepNext/>
        <w:keepLines/>
        <w:widowControl w:val="0"/>
        <w:spacing w:before="240" w:after="0" w:line="256" w:lineRule="auto"/>
        <w:jc w:val="center"/>
        <w:outlineLvl w:val="0"/>
        <w:rPr>
          <w:rFonts w:ascii="Times New Roman" w:hAnsi="Times New Roman" w:eastAsia="DengXian Light" w:cs="Times New Roman"/>
          <w:b/>
          <w:bCs/>
          <w:sz w:val="32"/>
          <w:szCs w:val="32"/>
          <w14:ligatures w14:val="none"/>
        </w:rPr>
      </w:pPr>
      <w:bookmarkStart w:id="77" w:name="_Toc215220527"/>
      <w:r>
        <w:rPr>
          <w:rFonts w:ascii="Times New Roman" w:hAnsi="Times New Roman" w:eastAsia="DengXian Light" w:cs="Times New Roman"/>
          <w:b/>
          <w:bCs/>
          <w:sz w:val="32"/>
          <w:szCs w:val="32"/>
          <w14:ligatures w14:val="none"/>
        </w:rPr>
        <w:t>3.8 Discussion of Results</w:t>
      </w:r>
      <w:bookmarkEnd w:id="77"/>
    </w:p>
    <w:p w14:paraId="039323D1">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results of this study provide a comprehensive understanding of how urbanization affects plant diversity and ecosystem functioning across rural–peri-urban-urban gradients in Makurdi and Otukpo. When examined alongside previous studies, the findings reflect a more broader patterns observed in rapidly expanding urban cities in the tropical regions and reinforce the established ecological theories on the habitat modification, biodiversity decline, and ecosystem degradation.</w:t>
      </w:r>
    </w:p>
    <w:p w14:paraId="3ED1BAD4">
      <w:pPr>
        <w:keepNext/>
        <w:keepLines/>
        <w:widowControl w:val="0"/>
        <w:spacing w:before="240" w:after="0" w:line="256" w:lineRule="auto"/>
        <w:jc w:val="center"/>
        <w:outlineLvl w:val="0"/>
        <w:rPr>
          <w:rFonts w:ascii="Times New Roman" w:hAnsi="Times New Roman" w:eastAsia="DengXian Light" w:cs="Times New Roman"/>
          <w:b/>
          <w:bCs/>
          <w:sz w:val="28"/>
          <w:szCs w:val="28"/>
          <w14:ligatures w14:val="none"/>
        </w:rPr>
      </w:pPr>
      <w:bookmarkStart w:id="78" w:name="_Toc215220528"/>
      <w:r>
        <w:rPr>
          <w:rFonts w:ascii="Times New Roman" w:hAnsi="Times New Roman" w:eastAsia="DengXian Light" w:cs="Times New Roman"/>
          <w:b/>
          <w:bCs/>
          <w:sz w:val="28"/>
          <w:szCs w:val="28"/>
          <w14:ligatures w14:val="none"/>
        </w:rPr>
        <w:t>3.8.1 Urban Expansion and Landscape Transformation</w:t>
      </w:r>
      <w:bookmarkEnd w:id="78"/>
    </w:p>
    <w:p w14:paraId="780492A2">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high expansion of the built-up area across the study region for about 119.94 km² (517%) increased between the 1990 and 2024 period highlighted the scale and magnitude of the urban growth. The findings aligns well with other recorded global research that have demonstrated how rapid urban sprawl in African cities, where population increase and infrastructural expansion are major drivers of land-use change [(Behnisch et al. 2022). The significant loss of forest cover (of about 124.93 km²) and cropland (of about 159.71 km²) have mirrored the patterns reported in other Nigerian cities such as Abuja, Lagos, and Port Harcourt, where built-up expansion has replaced vegetated (Owolabi David 2019)).</w:t>
      </w:r>
    </w:p>
    <w:p w14:paraId="08ABD50B">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Further implications can be seen by the observed increase in wetlands, especially after 2010, reflects hydrological disruption caused by land clearing, soil compaction, and surface runoff, a trend similarly noted in studies from Accra, Dar es Salaam, and Nairobi (Danso et al. 2021; Toroitich et al. 2022),http://repository.out.ac.tz/id/eprint/4352 .These findings confirm that rapid and unplanned urbanization alters natural water flow patterns and exacerbates ecological imbalance. Overall, the LULC patterns in this study correspond to established urban ecological theory which posits that urban growth creates structural simplification of landscapes, reduces habitat connectivity, and increases ecological fragmentation (Hahs et al. 2009).</w:t>
      </w:r>
    </w:p>
    <w:p w14:paraId="4318CD5B">
      <w:pPr>
        <w:keepNext/>
        <w:keepLines/>
        <w:widowControl w:val="0"/>
        <w:spacing w:before="240" w:after="0" w:line="256" w:lineRule="auto"/>
        <w:jc w:val="center"/>
        <w:outlineLvl w:val="0"/>
        <w:rPr>
          <w:rFonts w:ascii="Times New Roman" w:hAnsi="Times New Roman" w:eastAsia="DengXian Light" w:cs="Times New Roman"/>
          <w:b/>
          <w:bCs/>
          <w:sz w:val="32"/>
          <w:szCs w:val="32"/>
          <w14:ligatures w14:val="none"/>
        </w:rPr>
      </w:pPr>
      <w:bookmarkStart w:id="79" w:name="_Toc215220529"/>
      <w:r>
        <w:rPr>
          <w:rFonts w:ascii="Times New Roman" w:hAnsi="Times New Roman" w:eastAsia="DengXian Light" w:cs="Times New Roman"/>
          <w:b/>
          <w:bCs/>
          <w:sz w:val="32"/>
          <w:szCs w:val="32"/>
          <w14:ligatures w14:val="none"/>
        </w:rPr>
        <w:t>3.8.2 Plant Diversity Decline Along Urban Gradients</w:t>
      </w:r>
      <w:bookmarkEnd w:id="79"/>
    </w:p>
    <w:p w14:paraId="56CC62B6">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reduction in plant species richness and diversity from rural to urban zones from the current study is consistent with those of the  previous findings that urbanization acts as a major ecological filter, favoring disturbance-tolerant and generalist species (Ruas et al. 2022). Rural areas in Makurdi and Otukpo exhibited the highest Shannon diversity (Makurdi: 2.83; Otukpo: 2.74), while urban centers exhibited lower values, reflecting simplified plant communities. It is evident that the observed pattern is parallels to those in tropical cities such as Kampala (Kalema et al. 2016), Accra (Nero 2017), and Ibadan (Bolanle-Ojo et al. 2020), where species richness declines sharply with increasing urban intensity.</w:t>
      </w:r>
    </w:p>
    <w:p w14:paraId="50818753">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On the other hand, the dominance of some of the species such as Sida acuta, Cleome viscosa, and Heterotis rotundifolia in urban plots is consistent with studies identifying these taxa as “urban winners” hardy pioneers capable of surviving in disturbed soils, compacted environments, and polluted (Mogîldea and Biță-Nicolae 2024). Conversely, the fact that there is a reduced presence of the forest-dependent species mirrors the “urban loser” phenomenon described by (Filgueiras et al. 2021), where habitat specialists decline as natural vegetation fragments. Although the ANOVA did not show significant statistical differences among zones, the ecological gradient remains biologically meaningful. Similar findings are reported in other tropical biodiversity studies, where variability within zones sometimes reduces statistical significance despite clear ecological patterns (Socolar et al. 2025).</w:t>
      </w:r>
    </w:p>
    <w:p w14:paraId="14315B10">
      <w:pPr>
        <w:keepNext/>
        <w:keepLines/>
        <w:widowControl w:val="0"/>
        <w:spacing w:before="240" w:after="0" w:line="256" w:lineRule="auto"/>
        <w:jc w:val="center"/>
        <w:outlineLvl w:val="0"/>
        <w:rPr>
          <w:rFonts w:ascii="Times New Roman" w:hAnsi="Times New Roman" w:eastAsia="DengXian Light" w:cs="Times New Roman"/>
          <w:b/>
          <w:bCs/>
          <w:sz w:val="32"/>
          <w:szCs w:val="32"/>
          <w14:ligatures w14:val="none"/>
        </w:rPr>
      </w:pPr>
      <w:bookmarkStart w:id="80" w:name="_Toc215220530"/>
      <w:r>
        <w:rPr>
          <w:rFonts w:ascii="Times New Roman" w:hAnsi="Times New Roman" w:eastAsia="DengXian Light" w:cs="Times New Roman"/>
          <w:b/>
          <w:bCs/>
          <w:sz w:val="32"/>
          <w:szCs w:val="32"/>
          <w14:ligatures w14:val="none"/>
        </w:rPr>
        <w:t>3.8.3 Soil Properties and Urban-Induced Alterations</w:t>
      </w:r>
      <w:bookmarkEnd w:id="80"/>
    </w:p>
    <w:p w14:paraId="447F3B78">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significant increase in soil pH in urban zones with a (p = 0.037) aligns closely with previous research which shows that the urban soils tend to be more alkaline as a result of the following causes; construction debris, waste deposition, and reduced organic buffering (Olchowik et al. 2023) The apparent increase in SOC and nitrogen in urban areas contradicts expectations of nutrient decline but is consistent with urban studies in West African cities where organic waste dumping temporarily elevates SOC and N (Du et al. 2022; Chaurasia et al. 2023). However, the implication of this is that such increases do not correspond to improved soil health; rather, they indicate deposition of low-quality organic material and reduced microbial activity patterns widely reported in disturbed tropical urban (Song et al. 2025; Shahane and Shivay 2021). These findings have clearly reinforced the concept that urbanization can disrupts the natural soil processes, which in turn can lead to the reduction of nutrient cycling, the lower bioturbation, and altered soil structure (Ahn et al. 2024). The minimal variability in bulk density and CEC across zones may reflect the dominance of anthropogenic soil modification and mixed land-use impacts.</w:t>
      </w:r>
    </w:p>
    <w:p w14:paraId="60194F72">
      <w:pPr>
        <w:keepNext/>
        <w:keepLines/>
        <w:widowControl w:val="0"/>
        <w:spacing w:before="240" w:after="0" w:line="256" w:lineRule="auto"/>
        <w:jc w:val="center"/>
        <w:outlineLvl w:val="0"/>
        <w:rPr>
          <w:rFonts w:ascii="Times New Roman" w:hAnsi="Times New Roman" w:eastAsia="DengXian Light" w:cs="Times New Roman"/>
          <w:b/>
          <w:bCs/>
          <w:color w:val="2F5496"/>
          <w:sz w:val="28"/>
          <w:szCs w:val="28"/>
          <w14:ligatures w14:val="none"/>
        </w:rPr>
      </w:pPr>
      <w:bookmarkStart w:id="81" w:name="_Toc215220531"/>
      <w:r>
        <w:rPr>
          <w:rFonts w:ascii="Times New Roman" w:hAnsi="Times New Roman" w:eastAsia="DengXian Light" w:cs="Times New Roman"/>
          <w:b/>
          <w:bCs/>
          <w:sz w:val="32"/>
          <w:szCs w:val="32"/>
          <w14:ligatures w14:val="none"/>
        </w:rPr>
        <w:t>3.8.4 Vegetation Productivity Decline (NDVI/EVI</w:t>
      </w:r>
      <w:r>
        <w:rPr>
          <w:rFonts w:ascii="Times New Roman" w:hAnsi="Times New Roman" w:eastAsia="DengXian Light" w:cs="Times New Roman"/>
          <w:b/>
          <w:bCs/>
          <w:color w:val="2F5496"/>
          <w:sz w:val="28"/>
          <w:szCs w:val="28"/>
          <w14:ligatures w14:val="none"/>
        </w:rPr>
        <w:t>)</w:t>
      </w:r>
      <w:bookmarkEnd w:id="81"/>
    </w:p>
    <w:p w14:paraId="4609B4FC">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highly reduction of NDVI values range across the urbanization zones (from 0.48 in rural to 0.28 in urban areas) and that of the EVI value range (from 0.31 to 0.17) indicates declining vegetation health and productivity. The pattern of the declines is in agreement with the findings from other tropical cities where the NDVI values have also decreased significantly as built-up intensity also grow as well documented in the study of (Braimah et al. 2025). These declines reflect lower biomass, reduced canopy cover, and increased land surface modification key symptoms of ecological stress in urban landscapes. The significant ANOVA results (p &lt; 0.001) on the other hand, have aligned closely with other previous studies showing that vegetation indices are sensitive indicators of ecosystem functioning and respond strongly to anthropogenic disturbance (Takuwa et al. 2024). The consistency of this trend across both Makurdi and Otukpo confirms that urbanization is a major determinant of vegetation condition in tropical settings.</w:t>
      </w:r>
    </w:p>
    <w:p w14:paraId="7D7108F3">
      <w:pPr>
        <w:keepNext/>
        <w:keepLines/>
        <w:widowControl w:val="0"/>
        <w:spacing w:before="240" w:after="0" w:line="256" w:lineRule="auto"/>
        <w:jc w:val="center"/>
        <w:outlineLvl w:val="0"/>
        <w:rPr>
          <w:rFonts w:ascii="Times New Roman" w:hAnsi="Times New Roman" w:eastAsia="DengXian Light" w:cs="Times New Roman"/>
          <w:b/>
          <w:bCs/>
          <w:sz w:val="32"/>
          <w:szCs w:val="32"/>
          <w14:ligatures w14:val="none"/>
        </w:rPr>
      </w:pPr>
      <w:bookmarkStart w:id="82" w:name="_Toc215220532"/>
      <w:r>
        <w:rPr>
          <w:rFonts w:ascii="Times New Roman" w:hAnsi="Times New Roman" w:eastAsia="DengXian Light" w:cs="Times New Roman"/>
          <w:b/>
          <w:bCs/>
          <w:sz w:val="32"/>
          <w:szCs w:val="32"/>
          <w14:ligatures w14:val="none"/>
        </w:rPr>
        <w:t>3.8.5 Influence of Urbanization Metrics on Ecosystem Functioning</w:t>
      </w:r>
      <w:bookmarkEnd w:id="82"/>
    </w:p>
    <w:p w14:paraId="15633107">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findings of the regression model that shows the population density as the strongest negative predictor of NDVI (β = –0.0072, p &lt; 0.001) reflects a well-established link between human population pressure and ecological (Wang et al. 2025) . It is a fact that the high-density areas often experience vegetation clearing, fuelwood extraction, infrastructural expansion, and unregulated land-use change factors also highlighted in studies from Lagos, Nairobi, and Kumasi (Olusola Helen Adekanmbi et al. 2023; Onyango 2024; Nsor et al. 2021).</w:t>
      </w:r>
    </w:p>
    <w:p w14:paraId="3B3981A3">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On the other hand, the weak and non-significant influence of NTL corresponded to other findings that proved that the economic intensity alone does not necessarily determine ecological condition, but particularly in regions where informal settlements and peri-urban development fall outside formal electrification networks (Shen et al. 2023). Lastly and interestingly, the observed positive effect of the built-up expansion have mirrored other results from studies where peri-urban mixed landscapes maintain patches of vegetation within residential compounds, agroforestry systems, and undeveloped plots (Salem and Tsurusaki 2024). This reinforces the concept of “intermediate disturbance,” where moderate human activity may support mixed vegetation assemblages, although such areas remain ecologically vulnerable.</w:t>
      </w:r>
    </w:p>
    <w:p w14:paraId="282F1EF6">
      <w:pPr>
        <w:keepNext/>
        <w:keepLines/>
        <w:widowControl w:val="0"/>
        <w:spacing w:before="240" w:after="0" w:line="256" w:lineRule="auto"/>
        <w:jc w:val="center"/>
        <w:outlineLvl w:val="0"/>
        <w:rPr>
          <w:rFonts w:ascii="Times New Roman" w:hAnsi="Times New Roman" w:eastAsia="DengXian Light" w:cs="Times New Roman"/>
          <w:b/>
          <w:bCs/>
          <w:sz w:val="32"/>
          <w:szCs w:val="32"/>
          <w14:ligatures w14:val="none"/>
        </w:rPr>
      </w:pPr>
      <w:bookmarkStart w:id="83" w:name="_Toc215220533"/>
      <w:r>
        <w:rPr>
          <w:rFonts w:ascii="Times New Roman" w:hAnsi="Times New Roman" w:eastAsia="DengXian Light" w:cs="Times New Roman"/>
          <w:b/>
          <w:bCs/>
          <w:sz w:val="32"/>
          <w:szCs w:val="32"/>
          <w14:ligatures w14:val="none"/>
        </w:rPr>
        <w:t>3.8.6 Synthesis with Tropical Urban Ecology Theory</w:t>
      </w:r>
      <w:bookmarkEnd w:id="83"/>
    </w:p>
    <w:p w14:paraId="14F8246F">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Across all the considered indicators in the current study, the findings strongly align with the broader conceptual framework of tropical urban ecology:</w:t>
      </w:r>
    </w:p>
    <w:p w14:paraId="0E9A8288">
      <w:pPr>
        <w:pStyle w:val="15"/>
        <w:numPr>
          <w:ilvl w:val="0"/>
          <w:numId w:val="14"/>
        </w:numPr>
        <w:spacing w:before="240" w:line="273" w:lineRule="auto"/>
        <w:jc w:val="both"/>
        <w:rPr>
          <w:rFonts w:ascii="Times New Roman" w:hAnsi="Times New Roman" w:eastAsia="Calibri"/>
          <w:sz w:val="28"/>
          <w:szCs w:val="28"/>
        </w:rPr>
      </w:pPr>
      <w:r>
        <w:rPr>
          <w:rFonts w:ascii="Times New Roman" w:hAnsi="Times New Roman" w:eastAsia="Calibri"/>
          <w:sz w:val="28"/>
          <w:szCs w:val="28"/>
        </w:rPr>
        <w:t>Urbanization reduces plant diversity through habitat simplification and biotic homogenization.</w:t>
      </w:r>
    </w:p>
    <w:p w14:paraId="588E4477">
      <w:pPr>
        <w:pStyle w:val="15"/>
        <w:numPr>
          <w:ilvl w:val="0"/>
          <w:numId w:val="14"/>
        </w:numPr>
        <w:spacing w:before="240" w:line="273" w:lineRule="auto"/>
        <w:jc w:val="both"/>
        <w:rPr>
          <w:rFonts w:ascii="Times New Roman" w:hAnsi="Times New Roman" w:eastAsia="Calibri"/>
          <w:sz w:val="28"/>
          <w:szCs w:val="28"/>
        </w:rPr>
      </w:pPr>
      <w:r>
        <w:rPr>
          <w:rFonts w:ascii="Times New Roman" w:hAnsi="Times New Roman" w:eastAsia="Calibri"/>
          <w:sz w:val="28"/>
          <w:szCs w:val="28"/>
        </w:rPr>
        <w:t>Ecosystem functioning declines as vegetation productivity decreases and soil quality shifts.</w:t>
      </w:r>
    </w:p>
    <w:p w14:paraId="64E577BF">
      <w:pPr>
        <w:pStyle w:val="15"/>
        <w:numPr>
          <w:ilvl w:val="0"/>
          <w:numId w:val="14"/>
        </w:numPr>
        <w:spacing w:before="240" w:line="273" w:lineRule="auto"/>
        <w:jc w:val="both"/>
        <w:rPr>
          <w:rFonts w:ascii="Times New Roman" w:hAnsi="Times New Roman" w:eastAsia="Calibri"/>
          <w:sz w:val="28"/>
          <w:szCs w:val="28"/>
        </w:rPr>
      </w:pPr>
      <w:r>
        <w:rPr>
          <w:rFonts w:ascii="Times New Roman" w:hAnsi="Times New Roman" w:eastAsia="Calibri"/>
          <w:sz w:val="28"/>
          <w:szCs w:val="28"/>
        </w:rPr>
        <w:t>The anthropogenic pressures especially the one coming from population density emerge as the strongest ecological drivers.</w:t>
      </w:r>
    </w:p>
    <w:p w14:paraId="522FD784">
      <w:pPr>
        <w:pStyle w:val="15"/>
        <w:numPr>
          <w:ilvl w:val="0"/>
          <w:numId w:val="14"/>
        </w:numPr>
        <w:spacing w:before="240" w:line="273" w:lineRule="auto"/>
        <w:jc w:val="both"/>
        <w:rPr>
          <w:rFonts w:ascii="Times New Roman" w:hAnsi="Times New Roman" w:eastAsia="Calibri"/>
          <w:sz w:val="28"/>
          <w:szCs w:val="28"/>
        </w:rPr>
      </w:pPr>
      <w:r>
        <w:rPr>
          <w:rFonts w:ascii="Times New Roman" w:hAnsi="Times New Roman" w:eastAsia="Calibri"/>
          <w:sz w:val="28"/>
          <w:szCs w:val="28"/>
        </w:rPr>
        <w:t>Fragmentation and land conversion disrupt successional processes and ecosystem resilience.</w:t>
      </w:r>
    </w:p>
    <w:p w14:paraId="106BC9D5">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These observed patterns and trends matched global observations also in which the tropical cities are biodiversity hotspots under threat, where the rapid, unplanned urban growth drives steep ecological transitions (Fellowes et al. 2025).</w:t>
      </w:r>
    </w:p>
    <w:p w14:paraId="2ABDBC69">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combined evidence positions Makurdi and Otukpo within the broader narrative of tropical urban ecological change. Also, the observed reductions especially from the plant diversity part, the altered soil environments, and reduced vegetation productivity reflect the cumulative impacts of land conversion, demographic pressure, and infrastructural expansion. Finally, the findings clearly aligned with the argument that the management of the urban growth, the preservation of green spaces, and restoration of the degraded eco-systems are essential for maintaining the ecological stability in rapidly developing tropical regions.</w:t>
      </w:r>
    </w:p>
    <w:p w14:paraId="4BF1C7CC">
      <w:pPr>
        <w:keepNext/>
        <w:keepLines/>
        <w:widowControl w:val="0"/>
        <w:spacing w:before="240" w:after="0" w:line="256" w:lineRule="auto"/>
        <w:jc w:val="center"/>
        <w:outlineLvl w:val="0"/>
        <w:rPr>
          <w:rFonts w:ascii="Times New Roman" w:hAnsi="Times New Roman" w:eastAsia="DengXian Light" w:cs="Times New Roman"/>
          <w:b/>
          <w:bCs/>
          <w:sz w:val="32"/>
          <w:szCs w:val="32"/>
          <w14:ligatures w14:val="none"/>
        </w:rPr>
      </w:pPr>
      <w:bookmarkStart w:id="84" w:name="_Toc215220534"/>
      <w:r>
        <w:rPr>
          <w:rFonts w:ascii="Times New Roman" w:hAnsi="Times New Roman" w:eastAsia="DengXian Light" w:cs="Times New Roman"/>
          <w:b/>
          <w:bCs/>
          <w:sz w:val="32"/>
          <w:szCs w:val="32"/>
          <w14:ligatures w14:val="none"/>
        </w:rPr>
        <w:t>CONCLUSION</w:t>
      </w:r>
      <w:bookmarkEnd w:id="84"/>
      <w:r>
        <w:rPr>
          <w:rFonts w:ascii="Times New Roman" w:hAnsi="Times New Roman" w:eastAsia="DengXian Light" w:cs="Times New Roman"/>
          <w:b/>
          <w:bCs/>
          <w:sz w:val="32"/>
          <w:szCs w:val="32"/>
          <w14:ligatures w14:val="none"/>
        </w:rPr>
        <w:t xml:space="preserve"> </w:t>
      </w:r>
    </w:p>
    <w:p w14:paraId="62C1E887">
      <w:pPr>
        <w:spacing w:before="100" w:beforeAutospacing="1" w:line="256" w:lineRule="auto"/>
        <w:jc w:val="both"/>
        <w:rPr>
          <w:rFonts w:ascii="Times New Roman" w:hAnsi="Times New Roman" w:eastAsia="Times New Roman" w:cs="Times New Roman"/>
          <w:sz w:val="28"/>
          <w:szCs w:val="28"/>
          <w14:ligatures w14:val="none"/>
        </w:rPr>
      </w:pPr>
      <w:r>
        <w:rPr>
          <w:rFonts w:ascii="Times New Roman" w:hAnsi="Times New Roman" w:eastAsia="Times New Roman" w:cs="Times New Roman"/>
          <w:sz w:val="28"/>
          <w:szCs w:val="28"/>
          <w14:ligatures w14:val="none"/>
        </w:rPr>
        <w:t>The study have assessed the impacts of urbanization on plant diversity and ecosystem functioning across urbanization gradientsin Makurdi and Otukpo Local Government Areas of Benue State, Nigeria. By integrating land-use/land-cover analysis, field-based vegetation surveys, soil assessments, and statistical modelling, the study provides a comprehensive understanding of how rapid urban expansion alters ecological patterns in tropical urban environments.</w:t>
      </w:r>
    </w:p>
    <w:p w14:paraId="44027FA6">
      <w:pPr>
        <w:spacing w:before="100" w:beforeAutospacing="1" w:line="256" w:lineRule="auto"/>
        <w:jc w:val="both"/>
        <w:rPr>
          <w:rFonts w:ascii="Times New Roman" w:hAnsi="Times New Roman" w:eastAsia="Times New Roman" w:cs="Times New Roman"/>
          <w:sz w:val="28"/>
          <w:szCs w:val="28"/>
          <w14:ligatures w14:val="none"/>
        </w:rPr>
      </w:pPr>
      <w:r>
        <w:rPr>
          <w:rFonts w:ascii="Times New Roman" w:hAnsi="Times New Roman" w:eastAsia="Times New Roman" w:cs="Times New Roman"/>
          <w:sz w:val="28"/>
          <w:szCs w:val="28"/>
          <w14:ligatures w14:val="none"/>
        </w:rPr>
        <w:t>The results revealed that built-up areas increased by over 517% between 1990 and 2024, replacing extensive forest and cropland. This large scale conversion have also led to the following; the habitat fragmentation, reduced ecological complexity, and altered hydrological patterns. Plant diversity exhibited a clear decreasing trend along the urban gradient, with rural areas maintaining the highest richness and Shannon diversity, while urban zones showed simplified plant communities dominated by disturbance-tolerant species. Also, the soil properties as revealed by the findings of the study, showed the urban-induced modifications, particularly a significant increase in soil pH, indicating disruption of natural nutrient processes. Vegetation indices (NDVI/EVI) further confirmed substantial declines in vegetation health and primary productivity toward urban Centre’s. The regression modelling in its findings have demonstrated that population density was the strongest suppressor of vegetation greenness, highlighting demographic pressure as a major ecological driver. These findings collectively demonstrate that urbanization in Benue State is driving a transition from biologically rich rural ecosystems to ecologically degraded urban environments. The ecological consequences include biodiversity loss, reduced vegetation functioning, altered soil processes, and weakened ecosystem resilience.</w:t>
      </w:r>
    </w:p>
    <w:p w14:paraId="2EE7DFC4">
      <w:pPr>
        <w:spacing w:before="100" w:beforeAutospacing="1" w:line="256" w:lineRule="auto"/>
        <w:jc w:val="both"/>
        <w:rPr>
          <w:rFonts w:ascii="Times New Roman" w:hAnsi="Times New Roman" w:eastAsia="Times New Roman" w:cs="Times New Roman"/>
          <w:sz w:val="28"/>
          <w:szCs w:val="28"/>
          <w14:ligatures w14:val="none"/>
        </w:rPr>
      </w:pPr>
      <w:r>
        <w:rPr>
          <w:rFonts w:ascii="Times New Roman" w:hAnsi="Times New Roman" w:eastAsia="Times New Roman" w:cs="Times New Roman"/>
          <w:sz w:val="28"/>
          <w:szCs w:val="28"/>
          <w14:ligatures w14:val="none"/>
        </w:rPr>
        <w:t>Despite its strengths, this study has several limitations that should be acknowledged. First, is the temporal resolution of the remote sense data which is constrained by the availability of cloud-free Landsat imagery for some years, which may have limited the precision of finer-scale temporal analyses. Second, is the plant diversity data and assessment that was conducted only in selected plots and did not incorporate seasonal variations, potentially influencing the detection of species that appear or decline at different times of the year. Third, is the soil data and the analyses which focused primarily on key physicochemical indicators and did not include microbiological assessments part of a whole, which are critical for fully understanding soil ecological functioning and nutrient cycling processes. Additionally, some urbanization indicators such as built-up intensity and night-time light data may not adequately capture the complexity of informal settlement patterns common in African cities. Finally, the regression modelling employed ward-level data aggregation, which, although useful for broad analysis, may obscure important micro-spatial variations occurring within individual neighborhoods or land parcels.</w:t>
      </w:r>
    </w:p>
    <w:p w14:paraId="6A2BB53E">
      <w:pPr>
        <w:spacing w:before="100" w:beforeAutospacing="1" w:line="256" w:lineRule="auto"/>
        <w:jc w:val="both"/>
        <w:rPr>
          <w:rFonts w:ascii="Calibri" w:hAnsi="Calibri" w:eastAsia="Times New Roman" w:cs="Times New Roman"/>
          <w14:ligatures w14:val="none"/>
        </w:rPr>
      </w:pPr>
      <w:r>
        <w:rPr>
          <w:rFonts w:ascii="Times New Roman" w:hAnsi="Times New Roman" w:eastAsia="Times New Roman" w:cs="Times New Roman"/>
          <w:sz w:val="28"/>
          <w:szCs w:val="28"/>
          <w14:ligatures w14:val="none"/>
        </w:rPr>
        <w:t>To deepen the understanding of urban ecological dynamics in tropical cities, future research should adopt several methodological improvements. First, the high-resolution satellite datasets like the Sentinel-2 and the WorldView should be incorporated and this is to enhance the precision of land-use/land-cover change detection. Multi-seasonal vegetation sampling is needed to capture temporal fluctuations in species composition and plant community structure. Secondly, the soil aspect of the study should be expanded to include micro-biome and enzyme activity analyses where lab test will carried out, and will provide more detailed insights into ecosystem processes and soil health. Future work should also employ landscape fragmentation metrics such as edge density and patch cohesion to quantify ecological connectivity and habitat integrity. And lastly, the urban ecological modelling tools like InVEST and the landscape metrics should be used to predict potential ecological outcomes under varying urban growth scenarios. In conclusion, the investigation of the socio-economic causes behind the loss of vegetation and that of the land conversion would be providing a more holistic and realistic understanding of urbanization processes and support more integrated and effective planning strategies</w:t>
      </w:r>
      <w:r>
        <w:rPr>
          <w:rFonts w:ascii="Times New Roman" w:hAnsi="Times New Roman" w:eastAsia="Calibri" w:cs="Times New Roman"/>
          <w:sz w:val="28"/>
          <w:szCs w:val="28"/>
          <w14:ligatures w14:val="none"/>
        </w:rPr>
        <w:t>.</w:t>
      </w:r>
    </w:p>
    <w:p w14:paraId="29D4EECE">
      <w:pPr>
        <w:keepNext/>
        <w:keepLines/>
        <w:widowControl w:val="0"/>
        <w:spacing w:before="240" w:after="0" w:line="256" w:lineRule="auto"/>
        <w:jc w:val="center"/>
        <w:outlineLvl w:val="0"/>
        <w:rPr>
          <w:rFonts w:ascii="Times New Roman" w:hAnsi="Times New Roman" w:eastAsia="Calibri" w:cs="Times New Roman"/>
          <w:b/>
          <w:bCs/>
          <w:color w:val="2F5496"/>
          <w:sz w:val="28"/>
          <w:szCs w:val="28"/>
          <w14:ligatures w14:val="none"/>
        </w:rPr>
      </w:pPr>
      <w:bookmarkStart w:id="85" w:name="_Toc215220536"/>
      <w:r>
        <w:rPr>
          <w:rFonts w:ascii="Times New Roman" w:hAnsi="Times New Roman" w:eastAsia="DengXian Light" w:cs="Times New Roman"/>
          <w:b/>
          <w:bCs/>
          <w:sz w:val="32"/>
          <w:szCs w:val="32"/>
          <w14:ligatures w14:val="none"/>
        </w:rPr>
        <w:t>RECOMMENDATION</w:t>
      </w:r>
      <w:bookmarkEnd w:id="85"/>
    </w:p>
    <w:p w14:paraId="0CE4155C">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Based on the study findings, several actions are recommended to support and provide for a sustainable urban development and ecological conservation in Makurdi, Otukpo, and similar tropical cities.</w:t>
      </w:r>
    </w:p>
    <w:p w14:paraId="25141C8D">
      <w:pPr>
        <w:spacing w:before="240"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Strengthening Urban Planning and Land-Use Regulation:</w:t>
      </w:r>
    </w:p>
    <w:p w14:paraId="0F98148F">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 xml:space="preserve">Enhancing urban sustainability in Benue State requires stronger planning frameworks and more effective land-use regulation. To achieve this fit, a more stricter zoning policies should be implemented to limit the uncontrolled expansion into ecologically sensitive areas. By establishing urban growth boundaries, it will help prevent further loss of forest and agricultural land, while the integration of the ecological and geospatial data into development plans would ensure and provide a more evidence-based decision-making. </w:t>
      </w:r>
    </w:p>
    <w:p w14:paraId="5859626D">
      <w:pPr>
        <w:spacing w:before="240"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Conservation and Restoration of Green Spaces:</w:t>
      </w:r>
    </w:p>
    <w:p w14:paraId="7821DD70">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act and manner of protecting and restoring natural vegetation is critical for maintaining ecological integrity within rapidly expanding cities. Remaining forest fragments, riparian buffers, and other natural patches should be legally protected to preserve biodiversity hotpots. Reforestation and afforestation programs in degraded peri-urban and urban zones can help recover lost habitats. In addition, establishing urban greenbelts and ecological corridors would improve habitat connectivity and support species movement across the landscape.</w:t>
      </w:r>
    </w:p>
    <w:p w14:paraId="46391CD4">
      <w:pPr>
        <w:spacing w:before="240"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Sustainable Urban Landscaping and Biodiversity Enhancement:</w:t>
      </w:r>
    </w:p>
    <w:p w14:paraId="1813D6B2">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It is adviseable to step up the urban landscaping practices to prioritize ecological sustainability and biodiversity conservation. The act and use of native plant species in landscaping should be encouraged to maintain local biodiversity and ecosystem processes. This fit can be achieved through the following; community-led initiatives, such as tree-planting campaigns, school greening programs, and urban gardens, can play an important role in improving vegetation cover. Furthermore, regulating indiscriminate vegetation clearing during construction is crucial to reducing avoidable biodiversity loss.</w:t>
      </w:r>
    </w:p>
    <w:p w14:paraId="4C2030CC">
      <w:pPr>
        <w:spacing w:before="240"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Soil Quality Management:</w:t>
      </w:r>
    </w:p>
    <w:p w14:paraId="09FCDC8D">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maintenance of a healthy urban soils is essential for supporting vegetation growth and urban ecosystem services. It can be achieved through proper soil monitoring programs which should be established to track changes in pH, organic matter, and nutrient status across different land-use zones. On the other hand, the practices such as composting, mulching, and the application of organic amendments can improve soil structure and fertility. Policies must also be enforced to minimize soil contamination arising from improper waste disposal and construction activities.</w:t>
      </w:r>
    </w:p>
    <w:p w14:paraId="44A5C9EA">
      <w:pPr>
        <w:spacing w:before="240"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Climate and Ecosystem Resilience Strategies:</w:t>
      </w:r>
    </w:p>
    <w:p w14:paraId="273FF4CB">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Urban resilience should be encouraged and enhanced by integrating the climate responsive and ecosystem-based strategies into city planning. Expanding urban tree cover helps regulate microclimate, mitigate heat-island effects, and enhance air quality. The Nature based solutions such as green roofs, permeable pavements, and wetland restoration should be incorporated into urban infrastructure to manage stormwater and improve ecological functioning. Additionally, promoting alternatives to fuelwood use can help reduce pressure on remaining vegetation.</w:t>
      </w:r>
    </w:p>
    <w:p w14:paraId="5B9EE0F8">
      <w:pPr>
        <w:spacing w:before="240"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Community Engagement and Environmental Education:</w:t>
      </w:r>
    </w:p>
    <w:p w14:paraId="79296009">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To gainfully achieve a long-term environmental sustainability, it requires the active community involvement and also the increased public awareness. Educational campaigns should be developed to inform residents about the ecological impacts of urbanization and the importance of biodiversity conservation. Government should always empower the local communities to participate in conservation planning and environmental stewardship strengthens collective responsibility for ecological resources. Incorporating environmental education into school curricula will also help nurture future generations of sustainability-minded citizens.</w:t>
      </w:r>
    </w:p>
    <w:p w14:paraId="43562039">
      <w:pPr>
        <w:spacing w:before="240" w:line="273" w:lineRule="auto"/>
        <w:jc w:val="both"/>
        <w:rPr>
          <w:rFonts w:ascii="Times New Roman" w:hAnsi="Times New Roman" w:eastAsia="Calibri" w:cs="Times New Roman"/>
          <w:b/>
          <w:bCs/>
          <w:sz w:val="28"/>
          <w:szCs w:val="28"/>
          <w14:ligatures w14:val="none"/>
        </w:rPr>
      </w:pPr>
      <w:r>
        <w:rPr>
          <w:rFonts w:ascii="Times New Roman" w:hAnsi="Times New Roman" w:eastAsia="Calibri" w:cs="Times New Roman"/>
          <w:b/>
          <w:bCs/>
          <w:sz w:val="28"/>
          <w:szCs w:val="28"/>
          <w14:ligatures w14:val="none"/>
        </w:rPr>
        <w:t>Policy Implications</w:t>
      </w:r>
    </w:p>
    <w:p w14:paraId="5A1EF45C">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This study findings carry significant policy implications for urban planning, biodiversity conservation, and environmental management in Benue State and similar rapidly growing tropical cities. The revealed 517% increase in built-up area expansion as observed between a 34 year period, the extensive loss of forest and cropland, declining species diversity, soil chemical alteration, and reduced vegetation productivity collectively demonstrate that current patterns of urbanization are ecologically unsustainable. These findings have highlight the urgent need for integrated land-use policies that recognize vegetation and biodiversity as critical urban infrastructure rather than expendable land resources. The high decline in the plant diversity across the urbanization gradients have underscores the need for state-level policies that can prioritize the protection of natural habitats and enforce compliance with environmental regulations during urban expansion projects.</w:t>
      </w:r>
    </w:p>
    <w:p w14:paraId="70915C77">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strong negative influence of population density on vegetation productivity as observed and revealed from the the suggests that demographic pressures must be a central consideration in urban policy formulation. Planners should incorporate ecological carrying capacity assessments into development approvals to prevent overcrowding and reduce vegetation removal associated with informal settlement growth. It is also important to note the significance changes in soil pH and nutrient conditions also point to the need for policies promoting sustainable soil management, including restrictions on indiscriminate waste disposal, erosion control measures, and the incorporation of green infrastructure in housing and commercial developments. These measures would help maintain soil health, which is essential for sustaining urban vegetation, mitigating heat island effects, and enhancing ecosystem resilience.</w:t>
      </w:r>
    </w:p>
    <w:p w14:paraId="1395226A">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Also, the observed reduction in NDVI values and EVI values across urbanization gradients (zones) have implied that the vegetation cover is rapidly diminishing, thereby compromising essential ecosystem services such as carbon sequestration, microclimate regulation, stormwater retention, and air purification. Policymakers should therefore prioritize the expansion of urban green spaces, including parks, community forests, riparian buffers, and tree-lined streets. Another way to out on this issues, is the integration of the nature-based solutions such as green roofs, permeable pavements, and restored wetlands into urban infrastructure could help address the environmental consequences of rapid urbanization while improving the aesthetic and ecological value of urban neighborhoods.</w:t>
      </w:r>
    </w:p>
    <w:p w14:paraId="5B56069C">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On the other hand, the broader strategic level, the results highlight the need for evidence-based urban planning that incorporates geospatial data, ecological indicators, and predictive modelling. There should be a synergy between the Urban planners and decision makers in Benue State and they could adopt geospatial tools to monitor land-use trends, identify ecological hotspots requiring protection, and forecast the ecological impacts of proposed development. In addition, the study findings provide a more and reliable scientific foundation for updating state and local environmental policies, including Environmental Impact Assessment (EIA) procedures, urban forestry strategies, and climate adaptation frameworks. One important aspect to ensure is the strengthening of the institutional collaboration among environmental agencies, town planning authorities, and the community stakeholders is essential to ensure that ecological considerations remain central to development decisions.</w:t>
      </w:r>
    </w:p>
    <w:p w14:paraId="58804F4E">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Overall, the ecological trends revealed in this study call for a holistic policy shift from reactive environmental management toward proactive, sustainability-cantered urban governance. Lastly, the integration of the biodiversity conservation sector, the soil protection sector, and green infrastructure into urban planning, Benue State can mitigate the ecological costs of urbanization while promoting healthier, more resilient, and more liveable urban environments.</w:t>
      </w:r>
    </w:p>
    <w:p w14:paraId="4D6F4AE3">
      <w:pPr>
        <w:keepNext/>
        <w:keepLines/>
        <w:widowControl w:val="0"/>
        <w:spacing w:before="240" w:after="0" w:line="256" w:lineRule="auto"/>
        <w:jc w:val="center"/>
        <w:outlineLvl w:val="0"/>
        <w:rPr>
          <w:rFonts w:ascii="Times New Roman" w:hAnsi="Times New Roman" w:eastAsia="DengXian Light" w:cs="Times New Roman"/>
          <w:b/>
          <w:bCs/>
          <w:sz w:val="32"/>
          <w:szCs w:val="32"/>
          <w14:ligatures w14:val="none"/>
        </w:rPr>
      </w:pPr>
      <w:bookmarkStart w:id="86" w:name="_Toc215220538"/>
      <w:r>
        <w:rPr>
          <w:rFonts w:ascii="Times New Roman" w:hAnsi="Times New Roman" w:eastAsia="DengXian Light" w:cs="Times New Roman"/>
          <w:b/>
          <w:bCs/>
          <w:sz w:val="32"/>
          <w:szCs w:val="32"/>
          <w14:ligatures w14:val="none"/>
        </w:rPr>
        <w:t>Contribution to Knowledge</w:t>
      </w:r>
      <w:bookmarkEnd w:id="86"/>
    </w:p>
    <w:p w14:paraId="4198C15A">
      <w:pPr>
        <w:spacing w:before="240" w:line="273" w:lineRule="auto"/>
        <w:jc w:val="both"/>
        <w:rPr>
          <w:rFonts w:ascii="Times New Roman" w:hAnsi="Times New Roman" w:eastAsia="Calibri" w:cs="Times New Roman"/>
          <w:sz w:val="28"/>
          <w:szCs w:val="28"/>
          <w14:ligatures w14:val="none"/>
        </w:rPr>
      </w:pPr>
      <w:r>
        <w:rPr>
          <w:rFonts w:ascii="Times New Roman" w:hAnsi="Times New Roman" w:eastAsia="Calibri" w:cs="Times New Roman"/>
          <w:sz w:val="28"/>
          <w:szCs w:val="28"/>
          <w14:ligatures w14:val="none"/>
        </w:rPr>
        <w:t>The study highlighted numerous and important contributions to the scientific understanding of urban ecology in tropical environments. First, it introduces an integrated assessment framework that combines remote sensing, field-based biodiversity surveys, soil analyses, and statistical modelling, offering a methodological blueprint for similar research in other tropical cities. The second part, is that it provides a rare empirical evidence from a poorly studied region by delivering one of the few comprehensive ecological assessments of urbanization impacts in Benue State, thereby expanding the limited literature on West African urban ecosystems. The third part is that, the study demonstrates clear and significant urban gradient effects, showing how plant diversity, soil properties, and vegetation productivity change across rural, peri-urban, and urban zones, and thus contributing to broader global insights on ecological transitions in developing-world cities. Then, the fourth part is that, the identification of population density as the strongest predictor of vegetation decline advances understanding of the demographic pressures that drive ecosystem degradation in tropical urban landscapes. And finally is that, the study offers policy-relevant ecological insights by presenting biologically grounded recommendations for sustainable urban planning, biodiversity conservation, and ecosystem restoration, directly enriching applied urban ecology and environmental management.</w:t>
      </w:r>
    </w:p>
    <w:p w14:paraId="1C3E8033">
      <w:pPr>
        <w:keepNext/>
        <w:keepLines/>
        <w:widowControl w:val="0"/>
        <w:spacing w:before="240" w:after="0" w:line="256" w:lineRule="auto"/>
        <w:outlineLvl w:val="0"/>
        <w:rPr>
          <w:rFonts w:ascii="Times New Roman" w:hAnsi="Times New Roman" w:eastAsia="DengXian Light" w:cs="Times New Roman"/>
          <w:b/>
          <w:bCs/>
          <w:kern w:val="0"/>
          <w:sz w:val="32"/>
          <w:szCs w:val="32"/>
          <w14:ligatures w14:val="none"/>
        </w:rPr>
      </w:pPr>
      <w:bookmarkStart w:id="87" w:name="_Toc215220539"/>
      <w:r>
        <w:rPr>
          <w:rFonts w:ascii="Times New Roman" w:hAnsi="Times New Roman" w:eastAsia="DengXian Light" w:cs="Times New Roman"/>
          <w:b/>
          <w:bCs/>
          <w:sz w:val="32"/>
          <w:szCs w:val="32"/>
          <w14:ligatures w14:val="none"/>
        </w:rPr>
        <w:t>List of publications on the topic of the thesis</w:t>
      </w:r>
      <w:bookmarkEnd w:id="87"/>
    </w:p>
    <w:p w14:paraId="24C8EA96">
      <w:pPr>
        <w:spacing w:before="100" w:beforeAutospacing="1" w:line="273" w:lineRule="auto"/>
        <w:jc w:val="both"/>
        <w:rPr>
          <w:rFonts w:ascii="Times New Roman" w:hAnsi="Times New Roman" w:eastAsia="Times New Roman" w:cs="Times New Roman"/>
          <w:sz w:val="28"/>
          <w:szCs w:val="28"/>
          <w14:ligatures w14:val="none"/>
        </w:rPr>
      </w:pPr>
      <w:r>
        <w:rPr>
          <w:rFonts w:ascii="Times New Roman" w:hAnsi="Times New Roman" w:eastAsia="Times New Roman" w:cs="Times New Roman"/>
          <w:sz w:val="28"/>
          <w:szCs w:val="28"/>
          <w14:ligatures w14:val="none"/>
        </w:rPr>
        <w:t>Articles in journals included in the List of peer-reviewed scientific publications, in which the main scientific results of dissertations for the degree of Candidate of Sciences, for the degree of Doctor of Sciences should be published:</w:t>
      </w:r>
    </w:p>
    <w:p w14:paraId="4ADC4FF6">
      <w:pPr>
        <w:spacing w:before="100" w:beforeAutospacing="1" w:line="273" w:lineRule="auto"/>
        <w:jc w:val="both"/>
        <w:rPr>
          <w:rFonts w:ascii="Times New Roman" w:hAnsi="Times New Roman" w:eastAsia="Times New Roman" w:cs="Times New Roman"/>
          <w:sz w:val="28"/>
          <w:szCs w:val="28"/>
          <w14:ligatures w14:val="none"/>
        </w:rPr>
      </w:pPr>
      <w:r>
        <w:rPr>
          <w:rFonts w:ascii="Times New Roman" w:hAnsi="Times New Roman" w:eastAsia="Times New Roman" w:cs="Times New Roman"/>
          <w:sz w:val="28"/>
          <w:szCs w:val="28"/>
          <w14:ligatures w14:val="none"/>
        </w:rPr>
        <w:t xml:space="preserve"> 1. Shaibu, O., Omokaro, G.O., Onyamoche, E.P., Tafese, G.T., Nafula, Z.S., Niambe, O.K., Nnoli, E.C. (2025). </w:t>
      </w:r>
      <w:bookmarkStart w:id="88" w:name="_Hlk202099270"/>
      <w:r>
        <w:rPr>
          <w:rFonts w:ascii="Times New Roman" w:hAnsi="Times New Roman" w:eastAsia="Times New Roman" w:cs="Times New Roman"/>
          <w:sz w:val="28"/>
          <w:szCs w:val="28"/>
          <w14:ligatures w14:val="none"/>
        </w:rPr>
        <w:t xml:space="preserve">Assessment of urbanization's environmental impact in Makurdi Metropolis, Benue State, Nigeria. International Journal of Environmental Impacts, Vol. 8, No. 2, pp. 393-400. </w:t>
      </w:r>
      <w:bookmarkEnd w:id="88"/>
      <w:r>
        <w:rPr>
          <w:rFonts w:ascii="Times New Roman" w:hAnsi="Times New Roman" w:eastAsia="Times New Roman" w:cs="Times New Roman"/>
          <w:sz w:val="28"/>
          <w:szCs w:val="28"/>
          <w14:ligatures w14:val="none"/>
        </w:rPr>
        <w:fldChar w:fldCharType="begin"/>
      </w:r>
      <w:r>
        <w:rPr>
          <w:rFonts w:ascii="Times New Roman" w:hAnsi="Times New Roman" w:eastAsia="Times New Roman" w:cs="Times New Roman"/>
          <w:sz w:val="28"/>
          <w:szCs w:val="28"/>
          <w14:ligatures w14:val="none"/>
        </w:rPr>
        <w:instrText xml:space="preserve"> HYPERLINK "https://doi.org/10.18280/ijei.080218" </w:instrText>
      </w:r>
      <w:r>
        <w:rPr>
          <w:rFonts w:ascii="Times New Roman" w:hAnsi="Times New Roman" w:eastAsia="Times New Roman" w:cs="Times New Roman"/>
          <w:sz w:val="28"/>
          <w:szCs w:val="28"/>
          <w14:ligatures w14:val="none"/>
        </w:rPr>
        <w:fldChar w:fldCharType="separate"/>
      </w:r>
      <w:r>
        <w:rPr>
          <w:rFonts w:ascii="Times New Roman" w:hAnsi="Times New Roman" w:cs="Times New Roman" w:eastAsiaTheme="majorEastAsia"/>
          <w:sz w:val="28"/>
          <w:szCs w:val="28"/>
          <w14:ligatures w14:val="none"/>
        </w:rPr>
        <w:t>https://doi.org/10.18280/ijei.080218</w:t>
      </w:r>
      <w:r>
        <w:rPr>
          <w:rFonts w:ascii="Times New Roman" w:hAnsi="Times New Roman" w:eastAsia="Times New Roman" w:cs="Times New Roman"/>
          <w:sz w:val="28"/>
          <w:szCs w:val="28"/>
          <w14:ligatures w14:val="none"/>
        </w:rPr>
        <w:fldChar w:fldCharType="end"/>
      </w:r>
      <w:r>
        <w:rPr>
          <w:rFonts w:ascii="Times New Roman" w:hAnsi="Times New Roman" w:eastAsia="Times New Roman" w:cs="Times New Roman"/>
          <w:sz w:val="28"/>
          <w:szCs w:val="28"/>
          <w14:ligatures w14:val="none"/>
        </w:rPr>
        <w:t xml:space="preserve"> ( Scopus Q3 and WOS Q3) </w:t>
      </w:r>
    </w:p>
    <w:p w14:paraId="00F4778C">
      <w:pPr>
        <w:spacing w:before="100" w:beforeAutospacing="1" w:line="273" w:lineRule="auto"/>
        <w:jc w:val="both"/>
        <w:rPr>
          <w:rFonts w:ascii="Times New Roman" w:hAnsi="Times New Roman" w:eastAsia="Times New Roman" w:cs="Times New Roman"/>
          <w:sz w:val="28"/>
          <w:szCs w:val="28"/>
          <w14:ligatures w14:val="none"/>
        </w:rPr>
      </w:pPr>
      <w:r>
        <w:rPr>
          <w:rFonts w:ascii="Times New Roman" w:hAnsi="Times New Roman" w:eastAsia="Times New Roman" w:cs="Times New Roman"/>
          <w:sz w:val="28"/>
          <w:szCs w:val="28"/>
          <w14:ligatures w14:val="none"/>
        </w:rPr>
        <w:t xml:space="preserve">2. Shaibu ochoche, Pinaev Vladimir Evgenievich., Emaikwu Patience Onyamoche,Kavhiza Nyasha.John, Opara Onyinyechi Grace, Niambe Obed Kohol.  (2025). </w:t>
      </w:r>
      <w:bookmarkStart w:id="89" w:name="_Hlk202099306"/>
      <w:r>
        <w:rPr>
          <w:rFonts w:ascii="Times New Roman" w:hAnsi="Times New Roman" w:eastAsia="Times New Roman" w:cs="Times New Roman"/>
          <w:sz w:val="28"/>
          <w:szCs w:val="28"/>
          <w14:ligatures w14:val="none"/>
        </w:rPr>
        <w:t xml:space="preserve">A social approach to assessing the impact of urbanization on natural resources: A case study of Makurdi-Benue State, Nigeria International Research Journal №6 (156). — URL: </w:t>
      </w:r>
      <w:bookmarkEnd w:id="89"/>
      <w:r>
        <w:rPr>
          <w:rFonts w:ascii="Times New Roman" w:hAnsi="Times New Roman" w:eastAsia="Times New Roman" w:cs="Times New Roman"/>
          <w:sz w:val="28"/>
          <w:szCs w:val="28"/>
          <w14:ligatures w14:val="none"/>
        </w:rPr>
        <w:fldChar w:fldCharType="begin"/>
      </w:r>
      <w:r>
        <w:rPr>
          <w:rFonts w:ascii="Times New Roman" w:hAnsi="Times New Roman" w:eastAsia="Times New Roman" w:cs="Times New Roman"/>
          <w:sz w:val="28"/>
          <w:szCs w:val="28"/>
          <w14:ligatures w14:val="none"/>
        </w:rPr>
        <w:instrText xml:space="preserve"> HYPERLINK "https://research-journal.org/en/archive/6-156-2025-june/10.60797/IRJ.2025.156.82" </w:instrText>
      </w:r>
      <w:r>
        <w:rPr>
          <w:rFonts w:ascii="Times New Roman" w:hAnsi="Times New Roman" w:eastAsia="Times New Roman" w:cs="Times New Roman"/>
          <w:sz w:val="28"/>
          <w:szCs w:val="28"/>
          <w14:ligatures w14:val="none"/>
        </w:rPr>
        <w:fldChar w:fldCharType="separate"/>
      </w:r>
      <w:r>
        <w:rPr>
          <w:rFonts w:ascii="Times New Roman" w:hAnsi="Times New Roman" w:cs="Times New Roman" w:eastAsiaTheme="majorEastAsia"/>
          <w:sz w:val="28"/>
          <w:szCs w:val="28"/>
          <w14:ligatures w14:val="none"/>
        </w:rPr>
        <w:t>https://research-journal.org/en/archive/6-156-2025-june/10.60797/IRJ.2025.156.82</w:t>
      </w:r>
      <w:r>
        <w:rPr>
          <w:rFonts w:ascii="Times New Roman" w:hAnsi="Times New Roman" w:eastAsia="Times New Roman" w:cs="Times New Roman"/>
          <w:sz w:val="28"/>
          <w:szCs w:val="28"/>
          <w14:ligatures w14:val="none"/>
        </w:rPr>
        <w:fldChar w:fldCharType="end"/>
      </w:r>
      <w:r>
        <w:rPr>
          <w:rFonts w:ascii="Times New Roman" w:hAnsi="Times New Roman" w:eastAsia="Times New Roman" w:cs="Times New Roman"/>
          <w:sz w:val="28"/>
          <w:szCs w:val="28"/>
          <w14:ligatures w14:val="none"/>
        </w:rPr>
        <w:t xml:space="preserve">    </w:t>
      </w:r>
      <w:r>
        <w:fldChar w:fldCharType="begin"/>
      </w:r>
      <w:r>
        <w:instrText xml:space="preserve"> HYPERLINK "https://doi.org/10.60797/IRJ.2025.156.82" </w:instrText>
      </w:r>
      <w:r>
        <w:fldChar w:fldCharType="separate"/>
      </w:r>
      <w:r>
        <w:rPr>
          <w:rFonts w:ascii="Times New Roman" w:hAnsi="Times New Roman" w:cs="Times New Roman" w:eastAsiaTheme="majorEastAsia"/>
          <w:sz w:val="28"/>
          <w:szCs w:val="28"/>
          <w14:ligatures w14:val="none"/>
        </w:rPr>
        <w:t>https://doi.org/10.60797/IRJ.2025.156.82</w:t>
      </w:r>
      <w:r>
        <w:rPr>
          <w:rFonts w:ascii="Times New Roman" w:hAnsi="Times New Roman" w:cs="Times New Roman" w:eastAsiaTheme="majorEastAsia"/>
          <w:sz w:val="28"/>
          <w:szCs w:val="28"/>
          <w14:ligatures w14:val="none"/>
        </w:rPr>
        <w:fldChar w:fldCharType="end"/>
      </w:r>
      <w:r>
        <w:rPr>
          <w:rFonts w:ascii="Times New Roman" w:hAnsi="Times New Roman" w:eastAsia="Times New Roman" w:cs="Times New Roman"/>
          <w:sz w:val="28"/>
          <w:szCs w:val="28"/>
          <w14:ligatures w14:val="none"/>
        </w:rPr>
        <w:t xml:space="preserve"> </w:t>
      </w:r>
      <w:r>
        <w:fldChar w:fldCharType="begin"/>
      </w:r>
      <w:r>
        <w:instrText xml:space="preserve"> HYPERLINK "https://research-journal.org/en/archive/6-156-2025-june" </w:instrText>
      </w:r>
      <w:r>
        <w:fldChar w:fldCharType="separate"/>
      </w:r>
      <w:r>
        <w:rPr>
          <w:rFonts w:ascii="Times New Roman" w:hAnsi="Times New Roman" w:cs="Times New Roman" w:eastAsiaTheme="majorEastAsia"/>
          <w:sz w:val="28"/>
          <w:szCs w:val="28"/>
          <w14:ligatures w14:val="none"/>
        </w:rPr>
        <w:t>Issue: № 6 (156), 2025</w:t>
      </w:r>
      <w:r>
        <w:rPr>
          <w:rFonts w:ascii="Times New Roman" w:hAnsi="Times New Roman" w:cs="Times New Roman" w:eastAsiaTheme="majorEastAsia"/>
          <w:sz w:val="28"/>
          <w:szCs w:val="28"/>
          <w14:ligatures w14:val="none"/>
        </w:rPr>
        <w:fldChar w:fldCharType="end"/>
      </w:r>
      <w:r>
        <w:rPr>
          <w:rFonts w:ascii="Times New Roman" w:hAnsi="Times New Roman" w:eastAsia="Times New Roman" w:cs="Times New Roman"/>
          <w:sz w:val="28"/>
          <w:szCs w:val="28"/>
          <w14:ligatures w14:val="none"/>
        </w:rPr>
        <w:t xml:space="preserve">   (VAK K1(SCOPUS Q2, WOS Q1)  </w:t>
      </w:r>
    </w:p>
    <w:p w14:paraId="3D9AEDE8">
      <w:pPr>
        <w:spacing w:before="100" w:beforeAutospacing="1" w:line="273" w:lineRule="auto"/>
        <w:jc w:val="both"/>
        <w:rPr>
          <w:rFonts w:ascii="Times New Roman" w:hAnsi="Times New Roman" w:eastAsia="Times New Roman" w:cs="Times New Roman"/>
          <w:sz w:val="28"/>
          <w:szCs w:val="28"/>
          <w14:ligatures w14:val="none"/>
        </w:rPr>
      </w:pPr>
      <w:r>
        <w:rPr>
          <w:rFonts w:ascii="Times New Roman" w:hAnsi="Times New Roman" w:eastAsia="Times New Roman" w:cs="Times New Roman"/>
          <w:sz w:val="28"/>
          <w:szCs w:val="28"/>
          <w14:ligatures w14:val="none"/>
        </w:rPr>
        <w:t xml:space="preserve">3.    Emmanuel Igwe,Jeremiah Akomaye Ikwen’ Shaibu Ochoche, Aloye Racheal Aniah’ Joseph Ikwun Agiopu Ogar.(2025) Roles of Artificial intelligence in predictive Agroecological modelling and sustainable land management in response to climate viability in Moscow Region. XXVth International Multidisciplinary Scientific GeoConference Surveying, Geology and Mining, Ecology and Management (SGEM) </w:t>
      </w:r>
      <w:r>
        <w:rPr>
          <w:rFonts w:ascii="Tahoma" w:hAnsi="Tahoma" w:cs="Tahoma" w:eastAsiaTheme="majorEastAsia"/>
          <w:color w:val="777777"/>
          <w:sz w:val="21"/>
          <w:szCs w:val="21"/>
          <w:shd w:val="clear" w:color="auto" w:fill="FFFFFF"/>
          <w14:ligatures w14:val="none"/>
        </w:rPr>
        <w:t>DOI</w:t>
      </w:r>
      <w:r>
        <w:rPr>
          <w:rFonts w:ascii="Tahoma" w:hAnsi="Tahoma" w:eastAsia="Times New Roman" w:cs="Tahoma"/>
          <w:color w:val="777777"/>
          <w:sz w:val="21"/>
          <w:szCs w:val="21"/>
          <w:shd w:val="clear" w:color="auto" w:fill="FFFFFF"/>
          <w14:ligatures w14:val="none"/>
        </w:rPr>
        <w:t> </w:t>
      </w:r>
      <w:r>
        <w:fldChar w:fldCharType="begin"/>
      </w:r>
      <w:r>
        <w:instrText xml:space="preserve"> HYPERLINK "https://doi.org/10.5593/sgem2025/2.1/s07.07" </w:instrText>
      </w:r>
      <w:r>
        <w:fldChar w:fldCharType="separate"/>
      </w:r>
      <w:r>
        <w:rPr>
          <w:rFonts w:ascii="Tahoma" w:hAnsi="Tahoma" w:eastAsia="Times New Roman" w:cs="Tahoma"/>
          <w:b/>
          <w:bCs/>
          <w:color w:val="EB6864"/>
          <w:sz w:val="21"/>
          <w:szCs w:val="21"/>
          <w14:ligatures w14:val="none"/>
        </w:rPr>
        <w:t>10.5593/sgem2025/2.1/s07.07</w:t>
      </w:r>
      <w:r>
        <w:rPr>
          <w:rFonts w:ascii="Tahoma" w:hAnsi="Tahoma" w:eastAsia="Times New Roman" w:cs="Tahoma"/>
          <w:b/>
          <w:bCs/>
          <w:color w:val="EB6864"/>
          <w:sz w:val="21"/>
          <w:szCs w:val="21"/>
          <w14:ligatures w14:val="none"/>
        </w:rPr>
        <w:fldChar w:fldCharType="end"/>
      </w:r>
      <w:r>
        <w:rPr>
          <w:rFonts w:ascii="Tahoma" w:hAnsi="Tahoma" w:eastAsia="Times New Roman" w:cs="Tahoma"/>
          <w:color w:val="777777"/>
          <w:sz w:val="21"/>
          <w:szCs w:val="21"/>
          <w:shd w:val="clear" w:color="auto" w:fill="FFFFFF"/>
          <w14:ligatures w14:val="none"/>
        </w:rPr>
        <w:t> </w:t>
      </w:r>
      <w:r>
        <w:rPr>
          <w:rFonts w:ascii="Tahoma" w:hAnsi="Tahoma" w:cs="Tahoma" w:eastAsiaTheme="majorEastAsia"/>
          <w:color w:val="777777"/>
          <w:sz w:val="21"/>
          <w:szCs w:val="21"/>
          <w:shd w:val="clear" w:color="auto" w:fill="FFFFFF"/>
          <w14:ligatures w14:val="none"/>
        </w:rPr>
        <w:t>ISSN</w:t>
      </w:r>
      <w:r>
        <w:rPr>
          <w:rFonts w:ascii="Tahoma" w:hAnsi="Tahoma" w:eastAsia="Times New Roman" w:cs="Tahoma"/>
          <w:color w:val="777777"/>
          <w:sz w:val="21"/>
          <w:szCs w:val="21"/>
          <w:shd w:val="clear" w:color="auto" w:fill="FFFFFF"/>
          <w14:ligatures w14:val="none"/>
        </w:rPr>
        <w:t> </w:t>
      </w:r>
      <w:r>
        <w:rPr>
          <w:rFonts w:ascii="Tahoma" w:hAnsi="Tahoma" w:eastAsia="Times New Roman" w:cs="Tahoma"/>
          <w:b/>
          <w:bCs/>
          <w:color w:val="777777"/>
          <w:sz w:val="21"/>
          <w:szCs w:val="21"/>
          <w:shd w:val="clear" w:color="auto" w:fill="FFFFFF"/>
          <w14:ligatures w14:val="none"/>
        </w:rPr>
        <w:t>1314-2704</w:t>
      </w:r>
      <w:r>
        <w:rPr>
          <w:rFonts w:ascii="Tahoma" w:hAnsi="Tahoma" w:eastAsia="Times New Roman" w:cs="Tahoma"/>
          <w:color w:val="777777"/>
          <w:sz w:val="21"/>
          <w:szCs w:val="21"/>
          <w:shd w:val="clear" w:color="auto" w:fill="FFFFFF"/>
          <w14:ligatures w14:val="none"/>
        </w:rPr>
        <w:t> </w:t>
      </w:r>
      <w:r>
        <w:rPr>
          <w:rFonts w:ascii="Tahoma" w:hAnsi="Tahoma" w:cs="Tahoma" w:eastAsiaTheme="majorEastAsia"/>
          <w:color w:val="777777"/>
          <w:sz w:val="21"/>
          <w:szCs w:val="21"/>
          <w:shd w:val="clear" w:color="auto" w:fill="FFFFFF"/>
          <w14:ligatures w14:val="none"/>
        </w:rPr>
        <w:t>ISBN</w:t>
      </w:r>
      <w:r>
        <w:rPr>
          <w:rFonts w:ascii="Tahoma" w:hAnsi="Tahoma" w:eastAsia="Times New Roman" w:cs="Tahoma"/>
          <w:color w:val="777777"/>
          <w:sz w:val="21"/>
          <w:szCs w:val="21"/>
          <w:shd w:val="clear" w:color="auto" w:fill="FFFFFF"/>
          <w14:ligatures w14:val="none"/>
        </w:rPr>
        <w:t> </w:t>
      </w:r>
      <w:r>
        <w:fldChar w:fldCharType="begin"/>
      </w:r>
      <w:r>
        <w:instrText xml:space="preserve"> HYPERLINK "https://epslibrary.at/sgem_jresearch_publication_list.php?qs=978-619-7603-89-7" \t "_blank" </w:instrText>
      </w:r>
      <w:r>
        <w:fldChar w:fldCharType="separate"/>
      </w:r>
      <w:r>
        <w:rPr>
          <w:rFonts w:ascii="Tahoma" w:hAnsi="Tahoma" w:eastAsia="Times New Roman" w:cs="Tahoma"/>
          <w:b/>
          <w:bCs/>
          <w:color w:val="EB6864"/>
          <w:sz w:val="21"/>
          <w:szCs w:val="21"/>
          <w14:ligatures w14:val="none"/>
        </w:rPr>
        <w:t>978-619-7603-89-7</w:t>
      </w:r>
      <w:r>
        <w:rPr>
          <w:rFonts w:ascii="Tahoma" w:hAnsi="Tahoma" w:eastAsia="Times New Roman" w:cs="Tahoma"/>
          <w:b/>
          <w:bCs/>
          <w:color w:val="EB6864"/>
          <w:sz w:val="21"/>
          <w:szCs w:val="21"/>
          <w14:ligatures w14:val="none"/>
        </w:rPr>
        <w:fldChar w:fldCharType="end"/>
      </w:r>
      <w:r>
        <w:rPr>
          <w:rFonts w:ascii="Times New Roman" w:hAnsi="Times New Roman" w:eastAsia="Times New Roman" w:cs="Times New Roman"/>
          <w:sz w:val="28"/>
          <w:szCs w:val="28"/>
          <w14:ligatures w14:val="none"/>
        </w:rPr>
        <w:t xml:space="preserve"> Conference Proceeding awaiting publishing Q2 SCOPUS</w:t>
      </w:r>
    </w:p>
    <w:p w14:paraId="7BA5B206">
      <w:pPr>
        <w:spacing w:before="100" w:beforeAutospacing="1" w:line="273" w:lineRule="auto"/>
        <w:jc w:val="both"/>
        <w:rPr>
          <w:rFonts w:ascii="Times New Roman" w:hAnsi="Times New Roman" w:eastAsia="Times New Roman" w:cs="Times New Roman"/>
          <w:sz w:val="28"/>
          <w:szCs w:val="28"/>
          <w14:ligatures w14:val="none"/>
        </w:rPr>
      </w:pPr>
      <w:r>
        <w:rPr>
          <w:rFonts w:ascii="Times New Roman" w:hAnsi="Times New Roman" w:eastAsia="Times New Roman" w:cs="Times New Roman"/>
          <w:sz w:val="28"/>
          <w:szCs w:val="28"/>
          <w14:ligatures w14:val="none"/>
        </w:rPr>
        <w:t>4.      Shaibu Ochoche. (2025) Urbanization Impacts on Plant Diversity in Otukpo, Benue State, Nigeria. Young Scientific and Practical Conference. Department of Foreign Languages of the Faculty of Philology, Institute of Ecology RUDN University. (RSCI)</w:t>
      </w:r>
    </w:p>
    <w:p w14:paraId="1EAB8632">
      <w:pPr>
        <w:spacing w:before="100" w:beforeAutospacing="1" w:line="273" w:lineRule="auto"/>
        <w:jc w:val="both"/>
        <w:rPr>
          <w:rFonts w:ascii="Times New Roman" w:hAnsi="Times New Roman" w:eastAsia="Times New Roman" w:cs="Times New Roman"/>
          <w:sz w:val="28"/>
          <w:szCs w:val="28"/>
          <w14:ligatures w14:val="none"/>
        </w:rPr>
      </w:pPr>
      <w:r>
        <w:rPr>
          <w:rFonts w:ascii="Times New Roman" w:hAnsi="Times New Roman" w:eastAsia="Times New Roman" w:cs="Times New Roman"/>
          <w:sz w:val="28"/>
          <w:szCs w:val="28"/>
          <w14:ligatures w14:val="none"/>
        </w:rPr>
        <w:t xml:space="preserve"> 5. Ochoche Shaibu, Obed Kohol Niambe, Godspower Oke Omokaro, Zipporah Simiyu Nafula. (2025). </w:t>
      </w:r>
      <w:bookmarkStart w:id="90" w:name="_Hlk202099732"/>
      <w:r>
        <w:rPr>
          <w:rFonts w:ascii="Times New Roman" w:hAnsi="Times New Roman" w:eastAsia="Times New Roman" w:cs="Times New Roman"/>
          <w:sz w:val="28"/>
          <w:szCs w:val="28"/>
          <w14:ligatures w14:val="none"/>
        </w:rPr>
        <w:t xml:space="preserve">Socio-ecological consequences of urban growth in dutsen kura gwari, Niger state, Nigeria, </w:t>
      </w:r>
      <w:bookmarkEnd w:id="90"/>
      <w:r>
        <w:rPr>
          <w:rFonts w:ascii="Times New Roman" w:hAnsi="Times New Roman" w:eastAsia="Times New Roman" w:cs="Times New Roman"/>
          <w:sz w:val="28"/>
          <w:szCs w:val="28"/>
          <w14:ligatures w14:val="none"/>
        </w:rPr>
        <w:t xml:space="preserve">“Международный научно-исследовательский центр “Endless Light in Science” Conference proceeding, DOI 10.24412/2709-1201-2025-31-93-101 (VAK, Library.ru, google scholar) </w:t>
      </w:r>
    </w:p>
    <w:p w14:paraId="3547E2F0">
      <w:pPr>
        <w:spacing w:before="100" w:beforeAutospacing="1" w:line="273" w:lineRule="auto"/>
        <w:jc w:val="both"/>
        <w:rPr>
          <w:rFonts w:ascii="Times New Roman" w:hAnsi="Times New Roman" w:eastAsia="Times New Roman" w:cs="Times New Roman"/>
          <w:sz w:val="28"/>
          <w:szCs w:val="28"/>
          <w14:ligatures w14:val="none"/>
        </w:rPr>
      </w:pPr>
      <w:r>
        <w:rPr>
          <w:rFonts w:ascii="Times New Roman" w:hAnsi="Times New Roman" w:eastAsia="Times New Roman" w:cs="Times New Roman"/>
          <w:sz w:val="28"/>
          <w:szCs w:val="28"/>
          <w14:ligatures w14:val="none"/>
        </w:rPr>
        <w:t xml:space="preserve"> 6. Godspower Oke Omokaro, Ikioukenigha Michael, Paul Obokparo Ewubare , Zipporah Simiyu Nafula , Obed Kohol Niambe , Shaibu Ochoche, Abdulmajeed Allan Chikukula and Elohor-Oghene Amarie. (2025). </w:t>
      </w:r>
      <w:bookmarkStart w:id="91" w:name="_Hlk202099207"/>
      <w:r>
        <w:rPr>
          <w:rFonts w:ascii="Times New Roman" w:hAnsi="Times New Roman" w:eastAsia="Times New Roman" w:cs="Times New Roman"/>
          <w:sz w:val="28"/>
          <w:szCs w:val="28"/>
          <w14:ligatures w14:val="none"/>
        </w:rPr>
        <w:t xml:space="preserve">Soil fertility management practices among smallholder farmers in Ughelli North, Delta State, Nigeria. (2025). Tropical Agriculture, 102(3), 358–367. </w:t>
      </w:r>
      <w:bookmarkEnd w:id="91"/>
      <w:r>
        <w:rPr>
          <w:rFonts w:ascii="Times New Roman" w:hAnsi="Times New Roman" w:eastAsia="Times New Roman" w:cs="Times New Roman"/>
          <w:sz w:val="28"/>
          <w:szCs w:val="28"/>
          <w14:ligatures w14:val="none"/>
        </w:rPr>
        <w:fldChar w:fldCharType="begin"/>
      </w:r>
      <w:r>
        <w:rPr>
          <w:rFonts w:ascii="Times New Roman" w:hAnsi="Times New Roman" w:eastAsia="Times New Roman" w:cs="Times New Roman"/>
          <w:sz w:val="28"/>
          <w:szCs w:val="28"/>
          <w14:ligatures w14:val="none"/>
        </w:rPr>
        <w:instrText xml:space="preserve"> HYPERLINK "https://journals.sta.uwi.edu/ojs/index.php/ta/article/view/9040" </w:instrText>
      </w:r>
      <w:r>
        <w:rPr>
          <w:rFonts w:ascii="Times New Roman" w:hAnsi="Times New Roman" w:eastAsia="Times New Roman" w:cs="Times New Roman"/>
          <w:sz w:val="28"/>
          <w:szCs w:val="28"/>
          <w14:ligatures w14:val="none"/>
        </w:rPr>
        <w:fldChar w:fldCharType="separate"/>
      </w:r>
      <w:r>
        <w:rPr>
          <w:rFonts w:ascii="Times New Roman" w:hAnsi="Times New Roman" w:cs="Times New Roman" w:eastAsiaTheme="majorEastAsia"/>
          <w:sz w:val="28"/>
          <w:szCs w:val="28"/>
          <w14:ligatures w14:val="none"/>
        </w:rPr>
        <w:t>https://journals.sta.uwi.edu/ojs/index.php/ta/article/view/9040</w:t>
      </w:r>
      <w:r>
        <w:rPr>
          <w:rFonts w:ascii="Times New Roman" w:hAnsi="Times New Roman" w:eastAsia="Times New Roman" w:cs="Times New Roman"/>
          <w:sz w:val="28"/>
          <w:szCs w:val="28"/>
          <w14:ligatures w14:val="none"/>
        </w:rPr>
        <w:fldChar w:fldCharType="end"/>
      </w:r>
    </w:p>
    <w:p w14:paraId="21D9E290">
      <w:pPr>
        <w:spacing w:before="100" w:beforeAutospacing="1" w:line="273" w:lineRule="auto"/>
        <w:jc w:val="both"/>
        <w:rPr>
          <w:rFonts w:ascii="Times New Roman" w:hAnsi="Times New Roman" w:eastAsia="Times New Roman" w:cs="Times New Roman"/>
          <w:sz w:val="28"/>
          <w:szCs w:val="28"/>
          <w14:ligatures w14:val="none"/>
        </w:rPr>
      </w:pPr>
      <w:r>
        <w:rPr>
          <w:rFonts w:ascii="Times New Roman" w:hAnsi="Times New Roman" w:eastAsia="Times New Roman" w:cs="Times New Roman"/>
          <w:sz w:val="28"/>
          <w:szCs w:val="28"/>
          <w14:ligatures w14:val="none"/>
        </w:rPr>
        <w:t xml:space="preserve"> (SCOPUS Q4 &amp; WOS Q4)</w:t>
      </w:r>
    </w:p>
    <w:p w14:paraId="3ED56BD4">
      <w:pPr>
        <w:spacing w:before="100" w:beforeAutospacing="1" w:line="273" w:lineRule="auto"/>
        <w:jc w:val="both"/>
        <w:rPr>
          <w:rFonts w:ascii="Times New Roman" w:hAnsi="Times New Roman" w:eastAsia="Times New Roman" w:cs="Times New Roman"/>
          <w:sz w:val="16"/>
          <w:szCs w:val="16"/>
          <w14:ligatures w14:val="none"/>
        </w:rPr>
        <w:sectPr>
          <w:pgSz w:w="12240" w:h="15840"/>
          <w:pgMar w:top="1440" w:right="1440" w:bottom="1440" w:left="1440" w:header="720" w:footer="720" w:gutter="0"/>
          <w:cols w:space="720" w:num="1"/>
        </w:sectPr>
      </w:pPr>
      <w:r>
        <w:rPr>
          <w:rFonts w:ascii="Times New Roman" w:hAnsi="Times New Roman" w:eastAsia="Times New Roman" w:cs="Times New Roman"/>
          <w:sz w:val="28"/>
          <w:szCs w:val="28"/>
          <w14:ligatures w14:val="none"/>
        </w:rPr>
        <w:t xml:space="preserve">7. Shaibu Ochoche, Emmanuel Igwe, Vladimir Evgenievich Pinaev Emaikwu Patience Onyamoche (2025). </w:t>
      </w:r>
      <w:bookmarkStart w:id="92" w:name="_Hlk202099358"/>
      <w:r>
        <w:rPr>
          <w:rFonts w:ascii="Times New Roman" w:hAnsi="Times New Roman" w:eastAsia="Times New Roman" w:cs="Times New Roman"/>
          <w:sz w:val="28"/>
          <w:szCs w:val="28"/>
          <w14:ligatures w14:val="none"/>
        </w:rPr>
        <w:t>Spatiotemporal Analysis of Land Use and Land Cover Changes Driven by Urbanization in Makurdi, Nigeria (1990 to 2024): Implications for Cropland Loss, Environmental Risk, and Sustainable Urban Development (SCOPUS Q3 WOS Q3)</w:t>
      </w:r>
      <w:bookmarkEnd w:id="92"/>
      <w:r>
        <w:rPr>
          <w:rFonts w:ascii="Times New Roman" w:hAnsi="Times New Roman" w:eastAsia="Times New Roman" w:cs="Times New Roman"/>
          <w:sz w:val="28"/>
          <w:szCs w:val="28"/>
          <w14:ligatures w14:val="none"/>
        </w:rPr>
        <w:t xml:space="preserve"> UNDER REVIEW</w:t>
      </w:r>
    </w:p>
    <w:p w14:paraId="1C9682BA">
      <w:pPr>
        <w:spacing w:before="100" w:beforeAutospacing="1" w:line="256" w:lineRule="auto"/>
        <w:rPr>
          <w:rFonts w:ascii="Calibri" w:hAnsi="Calibri" w:eastAsia="Times New Roman" w:cs="Times New Roman"/>
          <w14:ligatures w14:val="none"/>
        </w:rPr>
      </w:pPr>
    </w:p>
    <w:p w14:paraId="5521E3D3">
      <w:pPr>
        <w:spacing w:before="100" w:beforeAutospacing="1" w:line="256" w:lineRule="auto"/>
        <w:rPr>
          <w:rFonts w:ascii="Calibri" w:hAnsi="Calibri" w:eastAsia="Times New Roman" w:cs="Times New Roman"/>
          <w14:ligatures w14:val="none"/>
        </w:rPr>
      </w:pPr>
    </w:p>
    <w:p w14:paraId="102DEFB8">
      <w:pPr>
        <w:keepNext/>
        <w:keepLines/>
        <w:widowControl w:val="0"/>
        <w:spacing w:before="240" w:after="0" w:line="256" w:lineRule="auto"/>
        <w:outlineLvl w:val="0"/>
        <w:rPr>
          <w:rFonts w:ascii="Times New Roman" w:hAnsi="Times New Roman" w:eastAsia="DengXian Light" w:cs="Times New Roman"/>
          <w:sz w:val="32"/>
          <w:szCs w:val="32"/>
          <w14:ligatures w14:val="none"/>
        </w:rPr>
      </w:pPr>
      <w:r>
        <w:rPr>
          <w:rFonts w:ascii="Times New Roman" w:hAnsi="Times New Roman" w:eastAsia="DengXian Light" w:cs="Times New Roman"/>
          <w:sz w:val="32"/>
          <w:szCs w:val="32"/>
          <w14:ligatures w14:val="none"/>
        </w:rPr>
        <w:t xml:space="preserve"> </w:t>
      </w:r>
      <w:bookmarkStart w:id="93" w:name="_Toc215220540"/>
      <w:r>
        <w:rPr>
          <w:rFonts w:ascii="Times New Roman" w:hAnsi="Times New Roman" w:eastAsia="DengXian Light" w:cs="Times New Roman"/>
          <w:sz w:val="32"/>
          <w:szCs w:val="32"/>
          <w14:ligatures w14:val="none"/>
        </w:rPr>
        <w:t>REFERNCES</w:t>
      </w:r>
      <w:bookmarkEnd w:id="93"/>
    </w:p>
    <w:p w14:paraId="4D52260F">
      <w:pPr>
        <w:spacing w:before="100" w:beforeAutospacing="1" w:line="256" w:lineRule="auto"/>
        <w:rPr>
          <w:rFonts w:ascii="Calibri" w:hAnsi="Calibri" w:eastAsia="Times New Roman" w:cs="Times New Roman"/>
          <w14:ligatures w14:val="none"/>
        </w:rPr>
      </w:pPr>
      <w:bookmarkStart w:id="94" w:name="ZOTERO_BREF_xncIpcXZUQl6"/>
      <w:r>
        <w:rPr>
          <w:rFonts w:ascii="Calibri" w:hAnsi="Calibri" w:eastAsia="Times New Roman" w:cs="Times New Roman"/>
          <w14:ligatures w14:val="none"/>
        </w:rPr>
        <w:t xml:space="preserve">Abanga, S., Akweongo, P., Kukula, V., Manu, A., Hazel, J., Abagre, T., &amp; Willcox, M. 2025. “Poster Presentations.” </w:t>
      </w:r>
      <w:r>
        <w:rPr>
          <w:rFonts w:ascii="Calibri" w:hAnsi="Calibri" w:eastAsia="Times New Roman" w:cs="Times New Roman"/>
          <w:i/>
          <w:iCs/>
          <w14:ligatures w14:val="none"/>
        </w:rPr>
        <w:t>International Journal of Gynecology &amp; Obstetrics</w:t>
      </w:r>
      <w:r>
        <w:rPr>
          <w:rFonts w:ascii="Calibri" w:hAnsi="Calibri" w:eastAsia="Times New Roman" w:cs="Times New Roman"/>
          <w14:ligatures w14:val="none"/>
        </w:rPr>
        <w:t xml:space="preserve"> 171 (S2): 121–653. https://doi.org/10.1002/ijgo.70503.</w:t>
      </w:r>
    </w:p>
    <w:p w14:paraId="638ADA79">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Abidi, A. 2024. </w:t>
      </w:r>
      <w:r>
        <w:rPr>
          <w:rFonts w:ascii="Calibri" w:hAnsi="Calibri" w:eastAsia="Times New Roman" w:cs="Times New Roman"/>
          <w:i/>
          <w:iCs/>
          <w14:ligatures w14:val="none"/>
        </w:rPr>
        <w:t>Investigating Deep Learning and Image-Encoded Time Series Approaches for Multi-Scale Remote Sensing Analysis in the Context of Land Use/Land Cover Mapping (Doctoral Dissertation, Université de La Manouba, Tunisie; Université de Montpellier, France).</w:t>
      </w:r>
      <w:r>
        <w:rPr>
          <w:rFonts w:ascii="Calibri" w:hAnsi="Calibri" w:eastAsia="Times New Roman" w:cs="Times New Roman"/>
          <w14:ligatures w14:val="none"/>
        </w:rPr>
        <w:t xml:space="preserve"> https://hal.science/tel-04689658.</w:t>
      </w:r>
    </w:p>
    <w:p w14:paraId="60EC49AB">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Agbelade, Aladesanmi D, Jonathan C. Onyekwelu, and Matthew B. Oyun. 2017. “Tree Species Richness, Diversity, and Vegetation Index for Federal Capital Territory, Abuja, Nigeria.” </w:t>
      </w:r>
      <w:r>
        <w:rPr>
          <w:rFonts w:ascii="Calibri" w:hAnsi="Calibri" w:eastAsia="Times New Roman" w:cs="Times New Roman"/>
          <w:i/>
          <w:iCs/>
          <w14:ligatures w14:val="none"/>
        </w:rPr>
        <w:t>International Journal of Forestry Research</w:t>
      </w:r>
      <w:r>
        <w:rPr>
          <w:rFonts w:ascii="Calibri" w:hAnsi="Calibri" w:eastAsia="Times New Roman" w:cs="Times New Roman"/>
          <w14:ligatures w14:val="none"/>
        </w:rPr>
        <w:t xml:space="preserve"> 2017: 1–12. https://doi.org/10.1155/2017/4549756.</w:t>
      </w:r>
    </w:p>
    <w:p w14:paraId="63D30CAC">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Ahn, Young-Jin, Mirzohid Koriyev, and Zuhriddin Juraev. 2024. “Urban Soil Dynamics: The Relationship Between Soil Health and Urbanization.” </w:t>
      </w:r>
      <w:r>
        <w:rPr>
          <w:rFonts w:ascii="Calibri" w:hAnsi="Calibri" w:eastAsia="Times New Roman" w:cs="Times New Roman"/>
          <w:i/>
          <w:iCs/>
          <w14:ligatures w14:val="none"/>
        </w:rPr>
        <w:t>Journal of Asian Geography</w:t>
      </w:r>
      <w:r>
        <w:rPr>
          <w:rFonts w:ascii="Calibri" w:hAnsi="Calibri" w:eastAsia="Times New Roman" w:cs="Times New Roman"/>
          <w14:ligatures w14:val="none"/>
        </w:rPr>
        <w:t xml:space="preserve"> 3 (2): 62–69. https://doi.org/10.36777/jag2024.3.2.6.</w:t>
      </w:r>
    </w:p>
    <w:p w14:paraId="3299FD6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Akiner, Muhammed Ernur, and Mehdi Ghasri. 2025. “Integrating Remote Sensing and Machine Learning to Analyze Urban Growth and Its Environmental Effects: A 30-Year Assessment in Başakşehir, Turkey.” </w:t>
      </w:r>
      <w:r>
        <w:rPr>
          <w:rFonts w:ascii="Calibri" w:hAnsi="Calibri" w:eastAsia="Times New Roman" w:cs="Times New Roman"/>
          <w:i/>
          <w:iCs/>
          <w14:ligatures w14:val="none"/>
        </w:rPr>
        <w:t>Pure and Applied Geophysics</w:t>
      </w:r>
      <w:r>
        <w:rPr>
          <w:rFonts w:ascii="Calibri" w:hAnsi="Calibri" w:eastAsia="Times New Roman" w:cs="Times New Roman"/>
          <w14:ligatures w14:val="none"/>
        </w:rPr>
        <w:t xml:space="preserve"> 182 (6): 2507–31. https://doi.org/10.1007/s00024-025-03727-w.</w:t>
      </w:r>
    </w:p>
    <w:p w14:paraId="589A0C0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Alberti, Marina. 2005. “The Effects of Urban Patterns on Ecosystem Function.” </w:t>
      </w:r>
      <w:r>
        <w:rPr>
          <w:rFonts w:ascii="Calibri" w:hAnsi="Calibri" w:eastAsia="Times New Roman" w:cs="Times New Roman"/>
          <w:i/>
          <w:iCs/>
          <w14:ligatures w14:val="none"/>
        </w:rPr>
        <w:t>International Regional Science Review</w:t>
      </w:r>
      <w:r>
        <w:rPr>
          <w:rFonts w:ascii="Calibri" w:hAnsi="Calibri" w:eastAsia="Times New Roman" w:cs="Times New Roman"/>
          <w14:ligatures w14:val="none"/>
        </w:rPr>
        <w:t xml:space="preserve"> 28 (2): 168–92. https://doi.org/10.1177/0160017605275160.</w:t>
      </w:r>
    </w:p>
    <w:p w14:paraId="28CBBB8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Alberti, Marina. 2010. “Maintaining Ecological Integrity and Sustaining Ecosystem Function in Urban Areas.” </w:t>
      </w:r>
      <w:r>
        <w:rPr>
          <w:rFonts w:ascii="Calibri" w:hAnsi="Calibri" w:eastAsia="Times New Roman" w:cs="Times New Roman"/>
          <w:i/>
          <w:iCs/>
          <w14:ligatures w14:val="none"/>
        </w:rPr>
        <w:t>Current Opinion in Environmental Sustainability</w:t>
      </w:r>
      <w:r>
        <w:rPr>
          <w:rFonts w:ascii="Calibri" w:hAnsi="Calibri" w:eastAsia="Times New Roman" w:cs="Times New Roman"/>
          <w14:ligatures w14:val="none"/>
        </w:rPr>
        <w:t xml:space="preserve"> 2 (3): 178–84. https://doi.org/10.1016/j.cosust.2010.07.002.</w:t>
      </w:r>
    </w:p>
    <w:p w14:paraId="2AE5641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Alberti, Marina. 2015. “Eco-Evolutionary Dynamics in an Urbanizing Planet.” </w:t>
      </w:r>
      <w:r>
        <w:rPr>
          <w:rFonts w:ascii="Calibri" w:hAnsi="Calibri" w:eastAsia="Times New Roman" w:cs="Times New Roman"/>
          <w:i/>
          <w:iCs/>
          <w14:ligatures w14:val="none"/>
        </w:rPr>
        <w:t>Trends in Ecology &amp; Evolution</w:t>
      </w:r>
      <w:r>
        <w:rPr>
          <w:rFonts w:ascii="Calibri" w:hAnsi="Calibri" w:eastAsia="Times New Roman" w:cs="Times New Roman"/>
          <w14:ligatures w14:val="none"/>
        </w:rPr>
        <w:t xml:space="preserve"> 30 (2): 114–26. https://doi.org/10.1016/j.tree.2014.11.007.</w:t>
      </w:r>
    </w:p>
    <w:p w14:paraId="3D3C7AA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Alberti, Marina, Eric P Palkovacs, Simone Des Roches, et al. 2020. “The Complexity of Urban Eco-Evolutionary Dynamics.” </w:t>
      </w:r>
      <w:r>
        <w:rPr>
          <w:rFonts w:ascii="Calibri" w:hAnsi="Calibri" w:eastAsia="Times New Roman" w:cs="Times New Roman"/>
          <w:i/>
          <w:iCs/>
          <w14:ligatures w14:val="none"/>
        </w:rPr>
        <w:t>BioScience</w:t>
      </w:r>
      <w:r>
        <w:rPr>
          <w:rFonts w:ascii="Calibri" w:hAnsi="Calibri" w:eastAsia="Times New Roman" w:cs="Times New Roman"/>
          <w14:ligatures w14:val="none"/>
        </w:rPr>
        <w:t xml:space="preserve"> 70 (9): 772–93. https://doi.org/10.1093/biosci/biaa079.</w:t>
      </w:r>
    </w:p>
    <w:p w14:paraId="54392A89">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Ali, Sajid, Adnan Amin, Muhammad Saeed Akhtar, and Wajid Zaman. 2025. “Phylogenetic Diversity in Forests: Insights into Evolutionary Patterns and Conservation Strategies.” </w:t>
      </w:r>
      <w:r>
        <w:rPr>
          <w:rFonts w:ascii="Calibri" w:hAnsi="Calibri" w:eastAsia="Times New Roman" w:cs="Times New Roman"/>
          <w:i/>
          <w:iCs/>
          <w14:ligatures w14:val="none"/>
        </w:rPr>
        <w:t>Forests</w:t>
      </w:r>
      <w:r>
        <w:rPr>
          <w:rFonts w:ascii="Calibri" w:hAnsi="Calibri" w:eastAsia="Times New Roman" w:cs="Times New Roman"/>
          <w14:ligatures w14:val="none"/>
        </w:rPr>
        <w:t xml:space="preserve"> 16 (6): 1004. https://doi.org/10.3390/f16061004.</w:t>
      </w:r>
    </w:p>
    <w:p w14:paraId="30219E84">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Almendro-Candel, María Belén, Ignacio Gómez Lucas, Jose Navarro-Pedreño, and Antonis A. Zorpas. 2018. “Physical Properties of Soils Affected by the Use of Agricultural Waste.” In </w:t>
      </w:r>
      <w:r>
        <w:rPr>
          <w:rFonts w:ascii="Calibri" w:hAnsi="Calibri" w:eastAsia="Times New Roman" w:cs="Times New Roman"/>
          <w:i/>
          <w:iCs/>
          <w14:ligatures w14:val="none"/>
        </w:rPr>
        <w:t>Agricultural Waste and Residues</w:t>
      </w:r>
      <w:r>
        <w:rPr>
          <w:rFonts w:ascii="Calibri" w:hAnsi="Calibri" w:eastAsia="Times New Roman" w:cs="Times New Roman"/>
          <w14:ligatures w14:val="none"/>
        </w:rPr>
        <w:t>, edited by Anna Aladjadjiyan. InTech. https://doi.org/10.5772/intechopen.77993.</w:t>
      </w:r>
    </w:p>
    <w:p w14:paraId="14CAF224">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Alue, Balqis Aqila, Noraine Salleh Hudin, Fatimah Mohamed, Zahid Mat Said, and Kamarul Ismail. 2022. “Plant Diversity along an Urbanization Gradient of a Tropical City.” </w:t>
      </w:r>
      <w:r>
        <w:rPr>
          <w:rFonts w:ascii="Calibri" w:hAnsi="Calibri" w:eastAsia="Times New Roman" w:cs="Times New Roman"/>
          <w:i/>
          <w:iCs/>
          <w14:ligatures w14:val="none"/>
        </w:rPr>
        <w:t>Diversity</w:t>
      </w:r>
      <w:r>
        <w:rPr>
          <w:rFonts w:ascii="Calibri" w:hAnsi="Calibri" w:eastAsia="Times New Roman" w:cs="Times New Roman"/>
          <w14:ligatures w14:val="none"/>
        </w:rPr>
        <w:t xml:space="preserve"> 14 (12): 1024. https://doi.org/10.3390/d14121024.</w:t>
      </w:r>
    </w:p>
    <w:p w14:paraId="48B80DCB">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Ancha et al., u. 2021. ““Assessment of the Impact of </w:t>
      </w:r>
      <w:r>
        <w:rPr>
          <w:rFonts w:ascii="Calibri" w:hAnsi="Calibri" w:eastAsia="Times New Roman" w:cs="Times New Roman"/>
          <w14:ligatures w14:val="none"/>
        </w:rPr>
        <w:tab/>
      </w:r>
      <w:r>
        <w:rPr>
          <w:rFonts w:ascii="Calibri" w:hAnsi="Calibri" w:eastAsia="Times New Roman" w:cs="Times New Roman"/>
          <w14:ligatures w14:val="none"/>
        </w:rPr>
        <w:t xml:space="preserve">Urbanization on Forest Resources in Otukpo Local Government Area, </w:t>
      </w:r>
      <w:r>
        <w:rPr>
          <w:rFonts w:ascii="Calibri" w:hAnsi="Calibri" w:eastAsia="Times New Roman" w:cs="Times New Roman"/>
          <w14:ligatures w14:val="none"/>
        </w:rPr>
        <w:tab/>
      </w:r>
      <w:r>
        <w:rPr>
          <w:rFonts w:ascii="Calibri" w:hAnsi="Calibri" w:eastAsia="Times New Roman" w:cs="Times New Roman"/>
          <w14:ligatures w14:val="none"/>
        </w:rPr>
        <w:t xml:space="preserve">Benue State, Nigeria,.” </w:t>
      </w:r>
      <w:r>
        <w:rPr>
          <w:rFonts w:ascii="Calibri" w:hAnsi="Calibri" w:eastAsia="Times New Roman" w:cs="Times New Roman"/>
          <w:i/>
          <w:iCs/>
          <w14:ligatures w14:val="none"/>
        </w:rPr>
        <w:t>Journal of Research in Forestry, Wildlife and Environment</w:t>
      </w:r>
      <w:r>
        <w:rPr>
          <w:rFonts w:ascii="Calibri" w:hAnsi="Calibri" w:eastAsia="Times New Roman" w:cs="Times New Roman"/>
          <w14:ligatures w14:val="none"/>
        </w:rPr>
        <w:t xml:space="preserve"> 13(4),, (137): nos. 137-149. jfewr@yahoo.com http://www.ajol.info/index.php/jrfw.</w:t>
      </w:r>
    </w:p>
    <w:p w14:paraId="57F5FFDC">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Aryal, Jagannath, Chiranjibi Sitaula, and Alejandro C. Frery. 2023. “Land Use and Land Cover (LULC) Performance Modeling Using Machine Learning Algorithms: A Case Study of the City of Melbourne, Australia.” </w:t>
      </w:r>
      <w:r>
        <w:rPr>
          <w:rFonts w:ascii="Calibri" w:hAnsi="Calibri" w:eastAsia="Times New Roman" w:cs="Times New Roman"/>
          <w:i/>
          <w:iCs/>
          <w14:ligatures w14:val="none"/>
        </w:rPr>
        <w:t>Scientific Reports</w:t>
      </w:r>
      <w:r>
        <w:rPr>
          <w:rFonts w:ascii="Calibri" w:hAnsi="Calibri" w:eastAsia="Times New Roman" w:cs="Times New Roman"/>
          <w14:ligatures w14:val="none"/>
        </w:rPr>
        <w:t xml:space="preserve"> 13 (1): 13510. https://doi.org/10.1038/s41598-023-40564-0.</w:t>
      </w:r>
    </w:p>
    <w:p w14:paraId="13656FF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Atchade, Jonas Assouhan, Madjouma Kanda, Fousseni Folega, et al. 2023. “Trees Diversity and Species with High Ecological Importance for Resilient Urban Area: Evidence from Cotonou City in West Africa.” Preprint, Environmental and Earth Sciences, June 22. https://doi.org/10.20944/preprints202306.1606.v1.</w:t>
      </w:r>
    </w:p>
    <w:p w14:paraId="358536CA">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Awoyemi, Adewale G., Yahkat Barshep, Shiiwua Manu, and Juan Diego Ibáñez-Álamo. 2024. “Associations between Urbanization and Avian Communities in the Afrotropics: Evidence from Taxonomic, Functional and Phylogenetic Diversity.” </w:t>
      </w:r>
      <w:r>
        <w:rPr>
          <w:rFonts w:ascii="Calibri" w:hAnsi="Calibri" w:eastAsia="Times New Roman" w:cs="Times New Roman"/>
          <w:i/>
          <w:iCs/>
          <w14:ligatures w14:val="none"/>
        </w:rPr>
        <w:t>Global Ecology and Conservation</w:t>
      </w:r>
      <w:r>
        <w:rPr>
          <w:rFonts w:ascii="Calibri" w:hAnsi="Calibri" w:eastAsia="Times New Roman" w:cs="Times New Roman"/>
          <w14:ligatures w14:val="none"/>
        </w:rPr>
        <w:t xml:space="preserve"> 54 (October): e03108. https://doi.org/10.1016/j.gecco.2024.e03108.</w:t>
      </w:r>
    </w:p>
    <w:p w14:paraId="5293B7FA">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Ayeni, Amidu Owolabi, Adeshina Gbenga Aborisade, Temitope Olabisi Onuminya, Alabi Selibi Okanlawon Soneye, and Oluwatoyin Temitayo Ogundipe. 2023. “Urban Development in Africa and Impact on Biodiversity.” </w:t>
      </w:r>
      <w:r>
        <w:rPr>
          <w:rFonts w:ascii="Calibri" w:hAnsi="Calibri" w:eastAsia="Times New Roman" w:cs="Times New Roman"/>
          <w:i/>
          <w:iCs/>
          <w14:ligatures w14:val="none"/>
        </w:rPr>
        <w:t>Current Landscape Ecology Reports</w:t>
      </w:r>
      <w:r>
        <w:rPr>
          <w:rFonts w:ascii="Calibri" w:hAnsi="Calibri" w:eastAsia="Times New Roman" w:cs="Times New Roman"/>
          <w14:ligatures w14:val="none"/>
        </w:rPr>
        <w:t xml:space="preserve"> 8 (2): 73–89. https://doi.org/10.1007/s40823-023-00086-x.</w:t>
      </w:r>
    </w:p>
    <w:p w14:paraId="0805CE6F">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Bai, Xuemei, Timon McPhearson, Helen Cleugh, et al. 2017. “Linking Urbanization and the Environment: Conceptual and Empirical Advances.” </w:t>
      </w:r>
      <w:r>
        <w:rPr>
          <w:rFonts w:ascii="Calibri" w:hAnsi="Calibri" w:eastAsia="Times New Roman" w:cs="Times New Roman"/>
          <w:i/>
          <w:iCs/>
          <w14:ligatures w14:val="none"/>
        </w:rPr>
        <w:t>Annual Review of Environment and Resources</w:t>
      </w:r>
      <w:r>
        <w:rPr>
          <w:rFonts w:ascii="Calibri" w:hAnsi="Calibri" w:eastAsia="Times New Roman" w:cs="Times New Roman"/>
          <w14:ligatures w14:val="none"/>
        </w:rPr>
        <w:t xml:space="preserve"> 42 (1): 215–40. https://doi.org/10.1146/annurev-environ-102016-061128.</w:t>
      </w:r>
    </w:p>
    <w:p w14:paraId="61CD3F4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Barau, Aliyu Salisu, Roy Maconachie, A.N.M. Ludin, and Adnan Abdulhamid. 2015. “Urban Morphology Dynamics and Environmental Change in Kano, Nigeria.” </w:t>
      </w:r>
      <w:r>
        <w:rPr>
          <w:rFonts w:ascii="Calibri" w:hAnsi="Calibri" w:eastAsia="Times New Roman" w:cs="Times New Roman"/>
          <w:i/>
          <w:iCs/>
          <w14:ligatures w14:val="none"/>
        </w:rPr>
        <w:t>Land Use Policy</w:t>
      </w:r>
      <w:r>
        <w:rPr>
          <w:rFonts w:ascii="Calibri" w:hAnsi="Calibri" w:eastAsia="Times New Roman" w:cs="Times New Roman"/>
          <w14:ligatures w14:val="none"/>
        </w:rPr>
        <w:t xml:space="preserve"> 42 (January): 307–17. https://doi.org/10.1016/j.landusepol.2014.08.007.</w:t>
      </w:r>
    </w:p>
    <w:p w14:paraId="1A018786">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Barbieri, Alisson Flávio, Marden Barbosa De Campos, Diego Rodrigues Macedo, Rodrigo Coelho De Carvalho, and Reinaldo Onofre Dos Santos. 2023. “URBAN GRADIENT.” </w:t>
      </w:r>
      <w:r>
        <w:rPr>
          <w:rFonts w:ascii="Calibri" w:hAnsi="Calibri" w:eastAsia="Times New Roman" w:cs="Times New Roman"/>
          <w:i/>
          <w:iCs/>
          <w14:ligatures w14:val="none"/>
        </w:rPr>
        <w:t>Mercator</w:t>
      </w:r>
      <w:r>
        <w:rPr>
          <w:rFonts w:ascii="Calibri" w:hAnsi="Calibri" w:eastAsia="Times New Roman" w:cs="Times New Roman"/>
          <w14:ligatures w14:val="none"/>
        </w:rPr>
        <w:t xml:space="preserve"> 22 (2023): 1–15. https://doi.org/10.4215/rm2023.e22008.</w:t>
      </w:r>
    </w:p>
    <w:p w14:paraId="47B8D567">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Bayat, Mahmoud, Harold Burkhart, Manouchehr Namiranian, Seyedeh Kosar Hamidi, Sahar Heidari, and Majid Hassani. 2021. “Assessing Biotic and Abiotic Effects on Biodiversity Index Using Machine Learning.” </w:t>
      </w:r>
      <w:r>
        <w:rPr>
          <w:rFonts w:ascii="Calibri" w:hAnsi="Calibri" w:eastAsia="Times New Roman" w:cs="Times New Roman"/>
          <w:i/>
          <w:iCs/>
          <w14:ligatures w14:val="none"/>
        </w:rPr>
        <w:t>Forests</w:t>
      </w:r>
      <w:r>
        <w:rPr>
          <w:rFonts w:ascii="Calibri" w:hAnsi="Calibri" w:eastAsia="Times New Roman" w:cs="Times New Roman"/>
          <w14:ligatures w14:val="none"/>
        </w:rPr>
        <w:t xml:space="preserve"> 12 (4): 461. https://doi.org/10.3390/f12040461.</w:t>
      </w:r>
    </w:p>
    <w:p w14:paraId="18DFB35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Behnisch, Martin, Tobias Krüger, and Jochen A. G. Jaeger. 2022. “Rapid Rise in Urban Sprawl: Global Hotspots and Trends since 1990.” </w:t>
      </w:r>
      <w:r>
        <w:rPr>
          <w:rFonts w:ascii="Calibri" w:hAnsi="Calibri" w:eastAsia="Times New Roman" w:cs="Times New Roman"/>
          <w:i/>
          <w:iCs/>
          <w14:ligatures w14:val="none"/>
        </w:rPr>
        <w:t>PLOS Sustainability and Transformation</w:t>
      </w:r>
      <w:r>
        <w:rPr>
          <w:rFonts w:ascii="Calibri" w:hAnsi="Calibri" w:eastAsia="Times New Roman" w:cs="Times New Roman"/>
          <w14:ligatures w14:val="none"/>
        </w:rPr>
        <w:t xml:space="preserve"> 1 (11): e0000034. https://doi.org/10.1371/journal.pstr.0000034.</w:t>
      </w:r>
    </w:p>
    <w:p w14:paraId="58EF480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Benhizia, Ramzi, Kwanele Phinzi, Fatemeh Hateffard, Haithem Aib, and György Szabó. 2024. “Drought Monitoring Using Moderate Resolution Imaging Spectroradiometer-Derived NDVI Anomalies in Northern Algeria from 2011 to 2022.” </w:t>
      </w:r>
      <w:r>
        <w:rPr>
          <w:rFonts w:ascii="Calibri" w:hAnsi="Calibri" w:eastAsia="Times New Roman" w:cs="Times New Roman"/>
          <w:i/>
          <w:iCs/>
          <w14:ligatures w14:val="none"/>
        </w:rPr>
        <w:t>Environments</w:t>
      </w:r>
      <w:r>
        <w:rPr>
          <w:rFonts w:ascii="Calibri" w:hAnsi="Calibri" w:eastAsia="Times New Roman" w:cs="Times New Roman"/>
          <w14:ligatures w14:val="none"/>
        </w:rPr>
        <w:t xml:space="preserve"> 11 (5): 95. https://doi.org/10.3390/environments11050095.</w:t>
      </w:r>
    </w:p>
    <w:p w14:paraId="6EAA0176">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Bettencourt, Luís M. A., and José Lobo. 2016. “Urban Scaling in Europe.” </w:t>
      </w:r>
      <w:r>
        <w:rPr>
          <w:rFonts w:ascii="Calibri" w:hAnsi="Calibri" w:eastAsia="Times New Roman" w:cs="Times New Roman"/>
          <w:i/>
          <w:iCs/>
          <w14:ligatures w14:val="none"/>
        </w:rPr>
        <w:t>Journal of The Royal Society Interface</w:t>
      </w:r>
      <w:r>
        <w:rPr>
          <w:rFonts w:ascii="Calibri" w:hAnsi="Calibri" w:eastAsia="Times New Roman" w:cs="Times New Roman"/>
          <w14:ligatures w14:val="none"/>
        </w:rPr>
        <w:t xml:space="preserve"> 13 (116): 20160005. https://doi.org/10.1098/rsif.2016.0005.</w:t>
      </w:r>
    </w:p>
    <w:p w14:paraId="0B07076D">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Bettencourt, Luís M. A., Vicky Chuqiao Yang, José Lobo, Christopher P. Kempes, Diego Rybski, and Marcus J. Hamilton. 2020. “The Interpretation of Urban Scaling Analysis in Time.” </w:t>
      </w:r>
      <w:r>
        <w:rPr>
          <w:rFonts w:ascii="Calibri" w:hAnsi="Calibri" w:eastAsia="Times New Roman" w:cs="Times New Roman"/>
          <w:i/>
          <w:iCs/>
          <w14:ligatures w14:val="none"/>
        </w:rPr>
        <w:t>Journal of The Royal Society Interface</w:t>
      </w:r>
      <w:r>
        <w:rPr>
          <w:rFonts w:ascii="Calibri" w:hAnsi="Calibri" w:eastAsia="Times New Roman" w:cs="Times New Roman"/>
          <w14:ligatures w14:val="none"/>
        </w:rPr>
        <w:t xml:space="preserve"> 17 (163): 20190846. https://doi.org/10.1098/rsif.2019.0846.</w:t>
      </w:r>
    </w:p>
    <w:p w14:paraId="27B4A84E">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Bolanle-Ojo, Oluwasanmi T., Adepeju R. Falana, Oluwayomi I. Bolanle-Ojo, and Cuong Levan. 2020. “Assessment of Tree Species Diversity and Benefits in Selected Recreation Centres for Biodiversity Conservation in Ibadan Metropolis, Nigeria.” </w:t>
      </w:r>
      <w:r>
        <w:rPr>
          <w:rFonts w:ascii="Calibri" w:hAnsi="Calibri" w:eastAsia="Times New Roman" w:cs="Times New Roman"/>
          <w:i/>
          <w:iCs/>
          <w14:ligatures w14:val="none"/>
        </w:rPr>
        <w:t>Notulae Scientia Biologicae</w:t>
      </w:r>
      <w:r>
        <w:rPr>
          <w:rFonts w:ascii="Calibri" w:hAnsi="Calibri" w:eastAsia="Times New Roman" w:cs="Times New Roman"/>
          <w14:ligatures w14:val="none"/>
        </w:rPr>
        <w:t xml:space="preserve"> 12 (1): 100–113. https://doi.org/10.15835/nsb12110561.</w:t>
      </w:r>
    </w:p>
    <w:p w14:paraId="58A98BA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Braimah, Mohammed, Colton Hyatt, and Timothy Assal. 2025. “Satellite Detection of Vegetation Loss in Artisanal and Small-Scale Mining Regions of Ghana.” </w:t>
      </w:r>
      <w:r>
        <w:rPr>
          <w:rFonts w:ascii="Calibri" w:hAnsi="Calibri" w:eastAsia="Times New Roman" w:cs="Times New Roman"/>
          <w:i/>
          <w:iCs/>
          <w14:ligatures w14:val="none"/>
        </w:rPr>
        <w:t>Geology, Ecology, and Landscapes</w:t>
      </w:r>
      <w:r>
        <w:rPr>
          <w:rFonts w:ascii="Calibri" w:hAnsi="Calibri" w:eastAsia="Times New Roman" w:cs="Times New Roman"/>
          <w14:ligatures w14:val="none"/>
        </w:rPr>
        <w:t>, October 7, 1–13. https://doi.org/10.1080/24749508.2025.2563918.</w:t>
      </w:r>
    </w:p>
    <w:p w14:paraId="7B5F8544">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Breuste, Jürgen H., Muhammad Mushahid Anwar, Rab Nawaz, and Mehwish Rani. 2017. “Urban Ecosystems: Functions, Value and Management.” In </w:t>
      </w:r>
      <w:r>
        <w:rPr>
          <w:rFonts w:ascii="Calibri" w:hAnsi="Calibri" w:eastAsia="Times New Roman" w:cs="Times New Roman"/>
          <w:i/>
          <w:iCs/>
          <w14:ligatures w14:val="none"/>
        </w:rPr>
        <w:t>Ecosystem Functions and Management</w:t>
      </w:r>
      <w:r>
        <w:rPr>
          <w:rFonts w:ascii="Calibri" w:hAnsi="Calibri" w:eastAsia="Times New Roman" w:cs="Times New Roman"/>
          <w14:ligatures w14:val="none"/>
        </w:rPr>
        <w:t>, edited by Harpinder Sandhu. Springer International Publishing. https://doi.org/10.1007/978-3-319-53967-6_7.</w:t>
      </w:r>
    </w:p>
    <w:p w14:paraId="1A888EB9">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Burger, Joseph R., Jordan G. Okie, Ian A. Hatton, et al. 2022. “Global City Densities: Re-Examining Urban Scaling Theory.” </w:t>
      </w:r>
      <w:r>
        <w:rPr>
          <w:rFonts w:ascii="Calibri" w:hAnsi="Calibri" w:eastAsia="Times New Roman" w:cs="Times New Roman"/>
          <w:i/>
          <w:iCs/>
          <w14:ligatures w14:val="none"/>
        </w:rPr>
        <w:t>Frontiers in Conservation Science</w:t>
      </w:r>
      <w:r>
        <w:rPr>
          <w:rFonts w:ascii="Calibri" w:hAnsi="Calibri" w:eastAsia="Times New Roman" w:cs="Times New Roman"/>
          <w14:ligatures w14:val="none"/>
        </w:rPr>
        <w:t xml:space="preserve"> 3 (December): 879934. https://doi.org/10.3389/fcosc.2022.879934.</w:t>
      </w:r>
    </w:p>
    <w:p w14:paraId="03D7FCFE">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Byrne, Jason. 2024. “Urban Ecology.” In </w:t>
      </w:r>
      <w:r>
        <w:rPr>
          <w:rFonts w:ascii="Calibri" w:hAnsi="Calibri" w:eastAsia="Times New Roman" w:cs="Times New Roman"/>
          <w:i/>
          <w:iCs/>
          <w14:ligatures w14:val="none"/>
        </w:rPr>
        <w:t>The Encyclopedia of Human Geography</w:t>
      </w:r>
      <w:r>
        <w:rPr>
          <w:rFonts w:ascii="Calibri" w:hAnsi="Calibri" w:eastAsia="Times New Roman" w:cs="Times New Roman"/>
          <w14:ligatures w14:val="none"/>
        </w:rPr>
        <w:t>, edited by Barney Warf. Springer International Publishing. https://doi.org/10.1007/978-3-031-25900-5_318-1.</w:t>
      </w:r>
    </w:p>
    <w:p w14:paraId="10114F14">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Campos-Silva, Lucas Andrei, and Augusto João Piratelli. 2021. “Vegetation Structure Drives Taxonomic Diversity and Functional Traits of Birds in Urban Private Native Forest Fragments.” </w:t>
      </w:r>
      <w:r>
        <w:rPr>
          <w:rFonts w:ascii="Calibri" w:hAnsi="Calibri" w:eastAsia="Times New Roman" w:cs="Times New Roman"/>
          <w:i/>
          <w:iCs/>
          <w14:ligatures w14:val="none"/>
        </w:rPr>
        <w:t>Urban Ecosystems</w:t>
      </w:r>
      <w:r>
        <w:rPr>
          <w:rFonts w:ascii="Calibri" w:hAnsi="Calibri" w:eastAsia="Times New Roman" w:cs="Times New Roman"/>
          <w14:ligatures w14:val="none"/>
        </w:rPr>
        <w:t xml:space="preserve"> 24 (2): 375–90. https://doi.org/10.1007/s11252-020-01045-8.</w:t>
      </w:r>
    </w:p>
    <w:p w14:paraId="03136B97">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Çelikgil, Atilla, Lars Henzschel, Jonathan Sänger, et al. 2025. “Urbanisation Drives Biodiversity Loss, Fitness Decline and Community Shifts in Cavity-Nesting Hymenoptera.” Preprint, Ecology, July 31. https://doi.org/10.1101/2025.07.28.667168.</w:t>
      </w:r>
    </w:p>
    <w:p w14:paraId="1B13319C">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Chahbi, Mariame, Youssef El Ganadi, and Khalil Idrissi Gartoumi. 2025. “Monitoring Urban Vegetation by GeoAI Driven Multi-Scale Indices: A Case Study of Rabat, Morocco.” </w:t>
      </w:r>
      <w:r>
        <w:rPr>
          <w:rFonts w:ascii="Calibri" w:hAnsi="Calibri" w:eastAsia="Times New Roman" w:cs="Times New Roman"/>
          <w:i/>
          <w:iCs/>
          <w14:ligatures w14:val="none"/>
        </w:rPr>
        <w:t>Journal of Umm Al-Qura University for Engineering and Architecture</w:t>
      </w:r>
      <w:r>
        <w:rPr>
          <w:rFonts w:ascii="Calibri" w:hAnsi="Calibri" w:eastAsia="Times New Roman" w:cs="Times New Roman"/>
          <w14:ligatures w14:val="none"/>
        </w:rPr>
        <w:t xml:space="preserve"> 16 (3): 649–63. https://doi.org/10.1007/s43995-025-00153-w.</w:t>
      </w:r>
    </w:p>
    <w:p w14:paraId="4A62F887">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Chaurasia, Meenakshi, Kajal Patel, and Kottapalli Sreenivasa Rao. 2023. “Soil Organic Carbon and Nitrogen Status in Peri-Urban Landscape.” </w:t>
      </w:r>
      <w:r>
        <w:rPr>
          <w:rFonts w:ascii="Calibri" w:hAnsi="Calibri" w:eastAsia="Times New Roman" w:cs="Times New Roman"/>
          <w:i/>
          <w:iCs/>
          <w14:ligatures w14:val="none"/>
        </w:rPr>
        <w:t>International Journal of Ecology and Environmental Sciences</w:t>
      </w:r>
      <w:r>
        <w:rPr>
          <w:rFonts w:ascii="Calibri" w:hAnsi="Calibri" w:eastAsia="Times New Roman" w:cs="Times New Roman"/>
          <w14:ligatures w14:val="none"/>
        </w:rPr>
        <w:t xml:space="preserve"> 49 (4): 435–41. https://doi.org/10.55863/ijees.2023.2947.</w:t>
      </w:r>
    </w:p>
    <w:p w14:paraId="51E52F21">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Chen, Jie. 2007. “Rapid Urbanization in China: A Real Challenge to Soil Protection and Food Security.” </w:t>
      </w:r>
      <w:r>
        <w:rPr>
          <w:rFonts w:ascii="Calibri" w:hAnsi="Calibri" w:eastAsia="Times New Roman" w:cs="Times New Roman"/>
          <w:i/>
          <w:iCs/>
          <w14:ligatures w14:val="none"/>
        </w:rPr>
        <w:t>CATENA</w:t>
      </w:r>
      <w:r>
        <w:rPr>
          <w:rFonts w:ascii="Calibri" w:hAnsi="Calibri" w:eastAsia="Times New Roman" w:cs="Times New Roman"/>
          <w14:ligatures w14:val="none"/>
        </w:rPr>
        <w:t xml:space="preserve"> 69 (1): 1–15. https://doi.org/10.1016/j.catena.2006.04.019.</w:t>
      </w:r>
    </w:p>
    <w:p w14:paraId="604DE7E4">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Chen, Yuan, Meixia Lin, Tao Lin, et al. 2023. “Spatial Heterogeneity of Vegetation Phenology Caused by Urbanization in China Based on Remote Sensing.” </w:t>
      </w:r>
      <w:r>
        <w:rPr>
          <w:rFonts w:ascii="Calibri" w:hAnsi="Calibri" w:eastAsia="Times New Roman" w:cs="Times New Roman"/>
          <w:i/>
          <w:iCs/>
          <w14:ligatures w14:val="none"/>
        </w:rPr>
        <w:t>Ecological Indicators</w:t>
      </w:r>
      <w:r>
        <w:rPr>
          <w:rFonts w:ascii="Calibri" w:hAnsi="Calibri" w:eastAsia="Times New Roman" w:cs="Times New Roman"/>
          <w14:ligatures w14:val="none"/>
        </w:rPr>
        <w:t xml:space="preserve"> 153 (September): 110448. https://doi.org/10.1016/j.ecolind.2023.110448.</w:t>
      </w:r>
    </w:p>
    <w:p w14:paraId="27C60D0A">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Chughtai, Ali Hassan, Habibullah Abbasi, and Ismail Rakip Karas. 2021. “A Review on Change Detection Method and Accuracy Assessment for Land Use Land Cover.” </w:t>
      </w:r>
      <w:r>
        <w:rPr>
          <w:rFonts w:ascii="Calibri" w:hAnsi="Calibri" w:eastAsia="Times New Roman" w:cs="Times New Roman"/>
          <w:i/>
          <w:iCs/>
          <w14:ligatures w14:val="none"/>
        </w:rPr>
        <w:t>Remote Sensing Applications: Society and Environment</w:t>
      </w:r>
      <w:r>
        <w:rPr>
          <w:rFonts w:ascii="Calibri" w:hAnsi="Calibri" w:eastAsia="Times New Roman" w:cs="Times New Roman"/>
          <w14:ligatures w14:val="none"/>
        </w:rPr>
        <w:t xml:space="preserve"> 22 (April): 100482. https://doi.org/10.1016/j.rsase.2021.100482.</w:t>
      </w:r>
    </w:p>
    <w:p w14:paraId="73EF121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Chytrý, Milan, and Zdenka Otýpková. 2003. “Plot Sizes Used for Phytosociological Sampling of European Vegetation.” </w:t>
      </w:r>
      <w:r>
        <w:rPr>
          <w:rFonts w:ascii="Calibri" w:hAnsi="Calibri" w:eastAsia="Times New Roman" w:cs="Times New Roman"/>
          <w:i/>
          <w:iCs/>
          <w14:ligatures w14:val="none"/>
        </w:rPr>
        <w:t>Journal of Vegetation Science</w:t>
      </w:r>
      <w:r>
        <w:rPr>
          <w:rFonts w:ascii="Calibri" w:hAnsi="Calibri" w:eastAsia="Times New Roman" w:cs="Times New Roman"/>
          <w14:ligatures w14:val="none"/>
        </w:rPr>
        <w:t xml:space="preserve"> 14 (4): 563–70. https://doi.org/10.1111/j.1654-1103.2003.tb02183.x.</w:t>
      </w:r>
    </w:p>
    <w:p w14:paraId="35961E47">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Connor, M. I o’, J. R Bernhardt, K Stark, et al. 2022. “Experimental Evidence for How Biodiversity Affects Ecosystem Functioning. In Ecological and Societal Consequences of Biodiversity Loss. Wiley, 97-118, 2022.” </w:t>
      </w:r>
      <w:r>
        <w:rPr>
          <w:rFonts w:ascii="Calibri" w:hAnsi="Calibri" w:eastAsia="Times New Roman" w:cs="Times New Roman"/>
          <w:i/>
          <w:iCs/>
          <w14:ligatures w14:val="none"/>
        </w:rPr>
        <w:t>Wiley</w:t>
      </w:r>
      <w:r>
        <w:rPr>
          <w:rFonts w:ascii="Calibri" w:hAnsi="Calibri" w:eastAsia="Times New Roman" w:cs="Times New Roman"/>
          <w14:ligatures w14:val="none"/>
        </w:rPr>
        <w:t>, 97-118,.</w:t>
      </w:r>
    </w:p>
    <w:p w14:paraId="5B14517F">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Da Silva, Vanessa Sousa, Gabriela Salami, Marília Isabelle Oliveira Da Silva, Emanuel Araújo Silva, José Jorge Monteiro Junior, and Elisiane Alba. 2020. “Methodological Evaluation of Vegetation Indexes in Land Use and Land Cover (LULC) Classification.” </w:t>
      </w:r>
      <w:r>
        <w:rPr>
          <w:rFonts w:ascii="Calibri" w:hAnsi="Calibri" w:eastAsia="Times New Roman" w:cs="Times New Roman"/>
          <w:i/>
          <w:iCs/>
          <w14:ligatures w14:val="none"/>
        </w:rPr>
        <w:t>Geology, Ecology, and Landscapes</w:t>
      </w:r>
      <w:r>
        <w:rPr>
          <w:rFonts w:ascii="Calibri" w:hAnsi="Calibri" w:eastAsia="Times New Roman" w:cs="Times New Roman"/>
          <w14:ligatures w14:val="none"/>
        </w:rPr>
        <w:t xml:space="preserve"> 4 (2): 159–69. https://doi.org/10.1080/24749508.2019.1608409.</w:t>
      </w:r>
    </w:p>
    <w:p w14:paraId="35876ED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Dadi, Diriba, Hossein Azadi, Feyera Senbeta, Ketema Abebe, Fatemeh Taheri, and Till Stellmacher. 2016. “Urban Sprawl and Its Impacts on Land Use Change in Central Ethiopia.” </w:t>
      </w:r>
      <w:r>
        <w:rPr>
          <w:rFonts w:ascii="Calibri" w:hAnsi="Calibri" w:eastAsia="Times New Roman" w:cs="Times New Roman"/>
          <w:i/>
          <w:iCs/>
          <w14:ligatures w14:val="none"/>
        </w:rPr>
        <w:t>Urban Forestry &amp; Urban Greening</w:t>
      </w:r>
      <w:r>
        <w:rPr>
          <w:rFonts w:ascii="Calibri" w:hAnsi="Calibri" w:eastAsia="Times New Roman" w:cs="Times New Roman"/>
          <w14:ligatures w14:val="none"/>
        </w:rPr>
        <w:t xml:space="preserve"> 16: 132–41. https://doi.org/10.1016/j.ufug.2016.02.005.</w:t>
      </w:r>
    </w:p>
    <w:p w14:paraId="27B3478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Daily, Gretchen C., and Pamela A. Matson. 2008. “Ecosystem Services: From Theory to Implementation.” </w:t>
      </w:r>
      <w:r>
        <w:rPr>
          <w:rFonts w:ascii="Calibri" w:hAnsi="Calibri" w:eastAsia="Times New Roman" w:cs="Times New Roman"/>
          <w:i/>
          <w:iCs/>
          <w14:ligatures w14:val="none"/>
        </w:rPr>
        <w:t>Proceedings of the National Academy of Sciences</w:t>
      </w:r>
      <w:r>
        <w:rPr>
          <w:rFonts w:ascii="Calibri" w:hAnsi="Calibri" w:eastAsia="Times New Roman" w:cs="Times New Roman"/>
          <w14:ligatures w14:val="none"/>
        </w:rPr>
        <w:t xml:space="preserve"> 105 (28): 9455–56. https://doi.org/10.1073/pnas.0804960105.</w:t>
      </w:r>
    </w:p>
    <w:p w14:paraId="23CBECB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Danso, George Kofi, Stephen Appiah Takyi, Owusu Amponsah, Ata Senior Yeboah, and Rexford Osei Owusu. 2021. “Exploring the Effects of Rapid Urbanization on Wetlands: Insights from the Greater Accra Metropolitan Area, Ghana.” </w:t>
      </w:r>
      <w:r>
        <w:rPr>
          <w:rFonts w:ascii="Calibri" w:hAnsi="Calibri" w:eastAsia="Times New Roman" w:cs="Times New Roman"/>
          <w:i/>
          <w:iCs/>
          <w14:ligatures w14:val="none"/>
        </w:rPr>
        <w:t>SN Social Sciences</w:t>
      </w:r>
      <w:r>
        <w:rPr>
          <w:rFonts w:ascii="Calibri" w:hAnsi="Calibri" w:eastAsia="Times New Roman" w:cs="Times New Roman"/>
          <w14:ligatures w14:val="none"/>
        </w:rPr>
        <w:t xml:space="preserve"> 1 (8): 212. https://doi.org/10.1007/s43545-021-00218-2.</w:t>
      </w:r>
    </w:p>
    <w:p w14:paraId="61443CA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Davis, Zoë, Lorien Nesbitt, Martin Guhn, and Matilda Van Den Bosch. 2023. “Assessing Changes in Urban Vegetation Using Normalised Difference Vegetation Index (NDVI) for Epidemiological Studies.” </w:t>
      </w:r>
      <w:r>
        <w:rPr>
          <w:rFonts w:ascii="Calibri" w:hAnsi="Calibri" w:eastAsia="Times New Roman" w:cs="Times New Roman"/>
          <w:i/>
          <w:iCs/>
          <w14:ligatures w14:val="none"/>
        </w:rPr>
        <w:t>Urban Forestry &amp; Urban Greening</w:t>
      </w:r>
      <w:r>
        <w:rPr>
          <w:rFonts w:ascii="Calibri" w:hAnsi="Calibri" w:eastAsia="Times New Roman" w:cs="Times New Roman"/>
          <w14:ligatures w14:val="none"/>
        </w:rPr>
        <w:t xml:space="preserve"> 88 (October): 128080. https://doi.org/10.1016/j.ufug.2023.128080.</w:t>
      </w:r>
    </w:p>
    <w:p w14:paraId="11D7EAA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Derdouri, Ahmed, Ruci Wang, Yuji Murayama, and Toshihiro Osaragi. 2021. “Understanding the Links between LULC Changes and SUHI in Cities: Insights from Two-Decadal Studies (2001–2020).” </w:t>
      </w:r>
      <w:r>
        <w:rPr>
          <w:rFonts w:ascii="Calibri" w:hAnsi="Calibri" w:eastAsia="Times New Roman" w:cs="Times New Roman"/>
          <w:i/>
          <w:iCs/>
          <w14:ligatures w14:val="none"/>
        </w:rPr>
        <w:t>Remote Sensing</w:t>
      </w:r>
      <w:r>
        <w:rPr>
          <w:rFonts w:ascii="Calibri" w:hAnsi="Calibri" w:eastAsia="Times New Roman" w:cs="Times New Roman"/>
          <w14:ligatures w14:val="none"/>
        </w:rPr>
        <w:t xml:space="preserve"> 13 (18): 3654. https://doi.org/10.3390/rs13183654.</w:t>
      </w:r>
    </w:p>
    <w:p w14:paraId="2350BDB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Dobbs, C., C. Nitschke, and D. Kendal. 2017. “Assessing the Drivers Shaping Global Patterns of Urban Vegetation Landscape Structure.” </w:t>
      </w:r>
      <w:r>
        <w:rPr>
          <w:rFonts w:ascii="Calibri" w:hAnsi="Calibri" w:eastAsia="Times New Roman" w:cs="Times New Roman"/>
          <w:i/>
          <w:iCs/>
          <w14:ligatures w14:val="none"/>
        </w:rPr>
        <w:t>Science of The Total Environment</w:t>
      </w:r>
      <w:r>
        <w:rPr>
          <w:rFonts w:ascii="Calibri" w:hAnsi="Calibri" w:eastAsia="Times New Roman" w:cs="Times New Roman"/>
          <w14:ligatures w14:val="none"/>
        </w:rPr>
        <w:t xml:space="preserve"> 592 (August): 171–77. https://doi.org/10.1016/j.scitotenv.2017.03.058.</w:t>
      </w:r>
    </w:p>
    <w:p w14:paraId="6B89E04D">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Douglas, Ian. 2017. “Urban Ecology.” In </w:t>
      </w:r>
      <w:r>
        <w:rPr>
          <w:rFonts w:ascii="Calibri" w:hAnsi="Calibri" w:eastAsia="Times New Roman" w:cs="Times New Roman"/>
          <w:i/>
          <w:iCs/>
          <w14:ligatures w14:val="none"/>
        </w:rPr>
        <w:t>International Encyclopedia of Geography</w:t>
      </w:r>
      <w:r>
        <w:rPr>
          <w:rFonts w:ascii="Calibri" w:hAnsi="Calibri" w:eastAsia="Times New Roman" w:cs="Times New Roman"/>
          <w14:ligatures w14:val="none"/>
        </w:rPr>
        <w:t>, 1st ed., edited by Douglas Richardson, Noel Castree, Michael F. Goodchild, Audrey Kobayashi, Weidong Liu, and Richard A. Marston. Wiley. https://doi.org/10.1002/9781118786352.wbieg0829.</w:t>
      </w:r>
    </w:p>
    <w:p w14:paraId="236EE23C">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Drakare, Stina, Jack J. Lennon, and Helmut Hillebrand. 2006. “The Imprint of the Geographical, Evolutionary and Ecological Context on Species–Area Relationships.” </w:t>
      </w:r>
      <w:r>
        <w:rPr>
          <w:rFonts w:ascii="Calibri" w:hAnsi="Calibri" w:eastAsia="Times New Roman" w:cs="Times New Roman"/>
          <w:i/>
          <w:iCs/>
          <w14:ligatures w14:val="none"/>
        </w:rPr>
        <w:t>Ecology Letters</w:t>
      </w:r>
      <w:r>
        <w:rPr>
          <w:rFonts w:ascii="Calibri" w:hAnsi="Calibri" w:eastAsia="Times New Roman" w:cs="Times New Roman"/>
          <w14:ligatures w14:val="none"/>
        </w:rPr>
        <w:t xml:space="preserve"> 9 (2): 215–27. https://doi.org/10.1111/j.1461-0248.2005.00848.x.</w:t>
      </w:r>
    </w:p>
    <w:p w14:paraId="6FE9DFCD">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Du, Jifeng, Mengxiao Yu, Yanguo Cong, Huanzhe Lv, and Zhongyou Yuan. 2022. “Soil Organic Carbon Storage in Urban Green Space and Its Influencing Factors: A Case Study of the 0–20 Cm Soil Layer in Guangzhou City.” </w:t>
      </w:r>
      <w:r>
        <w:rPr>
          <w:rFonts w:ascii="Calibri" w:hAnsi="Calibri" w:eastAsia="Times New Roman" w:cs="Times New Roman"/>
          <w:i/>
          <w:iCs/>
          <w14:ligatures w14:val="none"/>
        </w:rPr>
        <w:t>Land</w:t>
      </w:r>
      <w:r>
        <w:rPr>
          <w:rFonts w:ascii="Calibri" w:hAnsi="Calibri" w:eastAsia="Times New Roman" w:cs="Times New Roman"/>
          <w14:ligatures w14:val="none"/>
        </w:rPr>
        <w:t xml:space="preserve"> 11 (9): 1484. https://doi.org/10.3390/land11091484.</w:t>
      </w:r>
    </w:p>
    <w:p w14:paraId="7A3BAAAA">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Duan, Yifan, Hua Bai, Le Yang, Shuhua Li, and Qiuchen Zhu. 2024. “Impact of Seasonal Changes in Urban Green Spaces with Diverse Vegetation Structures on College Students’ Physical and Mental Health.” </w:t>
      </w:r>
      <w:r>
        <w:rPr>
          <w:rFonts w:ascii="Calibri" w:hAnsi="Calibri" w:eastAsia="Times New Roman" w:cs="Times New Roman"/>
          <w:i/>
          <w:iCs/>
          <w14:ligatures w14:val="none"/>
        </w:rPr>
        <w:t>Scientific Reports</w:t>
      </w:r>
      <w:r>
        <w:rPr>
          <w:rFonts w:ascii="Calibri" w:hAnsi="Calibri" w:eastAsia="Times New Roman" w:cs="Times New Roman"/>
          <w14:ligatures w14:val="none"/>
        </w:rPr>
        <w:t xml:space="preserve"> 14 (1): 16277. https://doi.org/10.1038/s41598-024-67075-w.</w:t>
      </w:r>
    </w:p>
    <w:p w14:paraId="5E0F2AE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Durdu, Behiye, Fatma Gurbuz, Hasan Koçyiğit, and Mustafa Gurbuz. 2023. “Urbanization-Driven Soil Degradation; Ecological Risks and Human Health Implications.” </w:t>
      </w:r>
      <w:r>
        <w:rPr>
          <w:rFonts w:ascii="Calibri" w:hAnsi="Calibri" w:eastAsia="Times New Roman" w:cs="Times New Roman"/>
          <w:i/>
          <w:iCs/>
          <w14:ligatures w14:val="none"/>
        </w:rPr>
        <w:t>Environmental Monitoring and Assessment</w:t>
      </w:r>
      <w:r>
        <w:rPr>
          <w:rFonts w:ascii="Calibri" w:hAnsi="Calibri" w:eastAsia="Times New Roman" w:cs="Times New Roman"/>
          <w14:ligatures w14:val="none"/>
        </w:rPr>
        <w:t xml:space="preserve"> 195 (8): 1002. https://doi.org/10.1007/s10661-023-11595-x.</w:t>
      </w:r>
    </w:p>
    <w:p w14:paraId="06ECBB9B">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Elmqvist, T., E. Andersson, T. McPhearson, et al. 2021. “Urbanization in and for the Anthropocene.” </w:t>
      </w:r>
      <w:r>
        <w:rPr>
          <w:rFonts w:ascii="Calibri" w:hAnsi="Calibri" w:eastAsia="Times New Roman" w:cs="Times New Roman"/>
          <w:i/>
          <w:iCs/>
          <w14:ligatures w14:val="none"/>
        </w:rPr>
        <w:t>Npj Urban Sustainability</w:t>
      </w:r>
      <w:r>
        <w:rPr>
          <w:rFonts w:ascii="Calibri" w:hAnsi="Calibri" w:eastAsia="Times New Roman" w:cs="Times New Roman"/>
          <w14:ligatures w14:val="none"/>
        </w:rPr>
        <w:t xml:space="preserve"> 1 (1): 6. https://doi.org/10.1038/s42949-021-00018-w.</w:t>
      </w:r>
    </w:p>
    <w:p w14:paraId="42E5CFD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Elmqvist, T., W. C Zipperer, and B. Güneralp. 2015. “Urbanization, Habitat Loss and Biodiversity Decline: Solution Pathways to Break the Cycle.,.” </w:t>
      </w:r>
      <w:r>
        <w:rPr>
          <w:rFonts w:ascii="Calibri" w:hAnsi="Calibri" w:eastAsia="Times New Roman" w:cs="Times New Roman"/>
          <w:i/>
          <w:iCs/>
          <w14:ligatures w14:val="none"/>
        </w:rPr>
        <w:t>The Routledge Handbook of Urbanization and Global Environmental Change</w:t>
      </w:r>
      <w:r>
        <w:rPr>
          <w:rFonts w:ascii="Calibri" w:hAnsi="Calibri" w:eastAsia="Times New Roman" w:cs="Times New Roman"/>
          <w14:ligatures w14:val="none"/>
        </w:rPr>
        <w:t>, (1st ed., 13).</w:t>
      </w:r>
    </w:p>
    <w:p w14:paraId="0562931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Ercan Oğuztürk, Gülcay, Sude Sünbül, and Cem Alparslan. 2025. “The Effect of Green Areas on Urban Microclimate: A University Campus Model Case.” </w:t>
      </w:r>
      <w:r>
        <w:rPr>
          <w:rFonts w:ascii="Calibri" w:hAnsi="Calibri" w:eastAsia="Times New Roman" w:cs="Times New Roman"/>
          <w:i/>
          <w:iCs/>
          <w14:ligatures w14:val="none"/>
        </w:rPr>
        <w:t>Applied Sciences</w:t>
      </w:r>
      <w:r>
        <w:rPr>
          <w:rFonts w:ascii="Calibri" w:hAnsi="Calibri" w:eastAsia="Times New Roman" w:cs="Times New Roman"/>
          <w14:ligatures w14:val="none"/>
        </w:rPr>
        <w:t xml:space="preserve"> 15 (8): 4358. https://doi.org/10.3390/app15084358.</w:t>
      </w:r>
    </w:p>
    <w:p w14:paraId="31B0BC9B">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Falasca, Federico, and Alessandro Marucci. 2024. “Urban Ecosystem Services: Land Cover and Potential of Urban Soils.” In </w:t>
      </w:r>
      <w:r>
        <w:rPr>
          <w:rFonts w:ascii="Calibri" w:hAnsi="Calibri" w:eastAsia="Times New Roman" w:cs="Times New Roman"/>
          <w:i/>
          <w:iCs/>
          <w14:ligatures w14:val="none"/>
        </w:rPr>
        <w:t>Innovation in Urban and Regional Planning</w:t>
      </w:r>
      <w:r>
        <w:rPr>
          <w:rFonts w:ascii="Calibri" w:hAnsi="Calibri" w:eastAsia="Times New Roman" w:cs="Times New Roman"/>
          <w14:ligatures w14:val="none"/>
        </w:rPr>
        <w:t>, edited by Alessandro Marucci, Francesco Zullo, Lorena Fiorini, and Lucia Saganeiti, vol. 463. Lecture Notes in Civil Engineering. Springer Nature Switzerland. https://doi.org/10.1007/978-3-031-54096-7_19.</w:t>
      </w:r>
    </w:p>
    <w:p w14:paraId="6440607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Fellowes, Mark D. E., Piotr Tryjanowski, and Fabio Angeoletto. 2025. “The Ecology and Biodiversity of Tropical Cities Are as Important as They Are Unknown.” In </w:t>
      </w:r>
      <w:r>
        <w:rPr>
          <w:rFonts w:ascii="Calibri" w:hAnsi="Calibri" w:eastAsia="Times New Roman" w:cs="Times New Roman"/>
          <w:i/>
          <w:iCs/>
          <w14:ligatures w14:val="none"/>
        </w:rPr>
        <w:t>Ecology of Tropical Cities, Volume I</w:t>
      </w:r>
      <w:r>
        <w:rPr>
          <w:rFonts w:ascii="Calibri" w:hAnsi="Calibri" w:eastAsia="Times New Roman" w:cs="Times New Roman"/>
          <w14:ligatures w14:val="none"/>
        </w:rPr>
        <w:t>, edited by Fabio Angeoletto, Piotr Tryjanowski, and Mark D. E. Fellowes. Springer Nature Switzerland. https://doi.org/10.1007/978-3-031-48012-6_1.</w:t>
      </w:r>
    </w:p>
    <w:p w14:paraId="14C0E2F6">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Ferreira, Lucianna Marques Rocha, Luciana S. Esteves, Enio Pereira De Souza, and Carlos Antonio Costa Dos Santos. 2019. “Impact of the Urbanisation Process in the Availability of Ecosystem Services in a Tropical Ecotone Area.” </w:t>
      </w:r>
      <w:r>
        <w:rPr>
          <w:rFonts w:ascii="Calibri" w:hAnsi="Calibri" w:eastAsia="Times New Roman" w:cs="Times New Roman"/>
          <w:i/>
          <w:iCs/>
          <w14:ligatures w14:val="none"/>
        </w:rPr>
        <w:t>Ecosystems</w:t>
      </w:r>
      <w:r>
        <w:rPr>
          <w:rFonts w:ascii="Calibri" w:hAnsi="Calibri" w:eastAsia="Times New Roman" w:cs="Times New Roman"/>
          <w14:ligatures w14:val="none"/>
        </w:rPr>
        <w:t xml:space="preserve"> 22 (2): 266–82. https://doi.org/10.1007/s10021-018-0270-0.</w:t>
      </w:r>
    </w:p>
    <w:p w14:paraId="46CFC046">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Filgueiras, Bruno K.C., Carlos A. Peres, Felipe P.L. Melo, Inara R. Leal, and Marcelo Tabarelli. 2021. “Winner–Loser Species Replacements in Human-Modified Landscapes.” </w:t>
      </w:r>
      <w:r>
        <w:rPr>
          <w:rFonts w:ascii="Calibri" w:hAnsi="Calibri" w:eastAsia="Times New Roman" w:cs="Times New Roman"/>
          <w:i/>
          <w:iCs/>
          <w14:ligatures w14:val="none"/>
        </w:rPr>
        <w:t>Trends in Ecology &amp; Evolution</w:t>
      </w:r>
      <w:r>
        <w:rPr>
          <w:rFonts w:ascii="Calibri" w:hAnsi="Calibri" w:eastAsia="Times New Roman" w:cs="Times New Roman"/>
          <w14:ligatures w14:val="none"/>
        </w:rPr>
        <w:t xml:space="preserve"> 36 (6): 545–55. https://doi.org/10.1016/j.tree.2021.02.006.</w:t>
      </w:r>
    </w:p>
    <w:p w14:paraId="2B100D2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Finizio, Michele, Federica Pontieri, Chiara Bottaro, et al. 2024. “Remote Sensing for Urban Biodiversity: A Review and Meta-Analysis.” </w:t>
      </w:r>
      <w:r>
        <w:rPr>
          <w:rFonts w:ascii="Calibri" w:hAnsi="Calibri" w:eastAsia="Times New Roman" w:cs="Times New Roman"/>
          <w:i/>
          <w:iCs/>
          <w14:ligatures w14:val="none"/>
        </w:rPr>
        <w:t>Remote Sensing</w:t>
      </w:r>
      <w:r>
        <w:rPr>
          <w:rFonts w:ascii="Calibri" w:hAnsi="Calibri" w:eastAsia="Times New Roman" w:cs="Times New Roman"/>
          <w14:ligatures w14:val="none"/>
        </w:rPr>
        <w:t xml:space="preserve"> 16 (23): 4483. https://doi.org/10.3390/rs16234483.</w:t>
      </w:r>
    </w:p>
    <w:p w14:paraId="21D5753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Forget, Yann, Michal Shimoni, Marius Gilbert, and Catherine Linard. 2021. “Mapping 20 Years of Urban Expansion in 45 Urban Areas of Sub-Saharan Africa.” </w:t>
      </w:r>
      <w:r>
        <w:rPr>
          <w:rFonts w:ascii="Calibri" w:hAnsi="Calibri" w:eastAsia="Times New Roman" w:cs="Times New Roman"/>
          <w:i/>
          <w:iCs/>
          <w14:ligatures w14:val="none"/>
        </w:rPr>
        <w:t>Remote Sensing</w:t>
      </w:r>
      <w:r>
        <w:rPr>
          <w:rFonts w:ascii="Calibri" w:hAnsi="Calibri" w:eastAsia="Times New Roman" w:cs="Times New Roman"/>
          <w14:ligatures w14:val="none"/>
        </w:rPr>
        <w:t xml:space="preserve"> 13 (3): 525. https://doi.org/10.3390/rs13030525.</w:t>
      </w:r>
    </w:p>
    <w:p w14:paraId="14FDEBD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Fox, Jeremy W. 2013. “The Intermediate Disturbance Hypothesis Should Be Abandoned.” </w:t>
      </w:r>
      <w:r>
        <w:rPr>
          <w:rFonts w:ascii="Calibri" w:hAnsi="Calibri" w:eastAsia="Times New Roman" w:cs="Times New Roman"/>
          <w:i/>
          <w:iCs/>
          <w14:ligatures w14:val="none"/>
        </w:rPr>
        <w:t>Trends in Ecology &amp; Evolution</w:t>
      </w:r>
      <w:r>
        <w:rPr>
          <w:rFonts w:ascii="Calibri" w:hAnsi="Calibri" w:eastAsia="Times New Roman" w:cs="Times New Roman"/>
          <w14:ligatures w14:val="none"/>
        </w:rPr>
        <w:t xml:space="preserve"> 28 (2): 86–92. https://doi.org/10.1016/j.tree.2012.08.014.</w:t>
      </w:r>
    </w:p>
    <w:p w14:paraId="6C4C4C9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Franzén, Markus, Oliver Schweiger, and Per-Eric Betzholtz. 2012. “Species-Area Relationships Are Controlled by Species Traits.” </w:t>
      </w:r>
      <w:r>
        <w:rPr>
          <w:rFonts w:ascii="Calibri" w:hAnsi="Calibri" w:eastAsia="Times New Roman" w:cs="Times New Roman"/>
          <w:i/>
          <w:iCs/>
          <w14:ligatures w14:val="none"/>
        </w:rPr>
        <w:t>PLoS ONE</w:t>
      </w:r>
      <w:r>
        <w:rPr>
          <w:rFonts w:ascii="Calibri" w:hAnsi="Calibri" w:eastAsia="Times New Roman" w:cs="Times New Roman"/>
          <w14:ligatures w14:val="none"/>
        </w:rPr>
        <w:t xml:space="preserve"> 7 (5): e37359. https://doi.org/10.1371/journal.pone.0037359.</w:t>
      </w:r>
    </w:p>
    <w:p w14:paraId="46227E37">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Frene, Juan P., Bipin K. Pandey, and Gabriel Castrillo. 2024. “Under Pressure: Elucidating Soil Compaction and Its Effect on Soil Functions.” </w:t>
      </w:r>
      <w:r>
        <w:rPr>
          <w:rFonts w:ascii="Calibri" w:hAnsi="Calibri" w:eastAsia="Times New Roman" w:cs="Times New Roman"/>
          <w:i/>
          <w:iCs/>
          <w14:ligatures w14:val="none"/>
        </w:rPr>
        <w:t>Plant and Soil</w:t>
      </w:r>
      <w:r>
        <w:rPr>
          <w:rFonts w:ascii="Calibri" w:hAnsi="Calibri" w:eastAsia="Times New Roman" w:cs="Times New Roman"/>
          <w14:ligatures w14:val="none"/>
        </w:rPr>
        <w:t>, ahead of print, March 1. https://doi.org/10.1007/s11104-024-06573-2.</w:t>
      </w:r>
    </w:p>
    <w:p w14:paraId="3450E384">
      <w:pPr>
        <w:spacing w:before="100" w:beforeAutospacing="1" w:line="256" w:lineRule="auto"/>
        <w:rPr>
          <w:rFonts w:ascii="Calibri" w:hAnsi="Calibri" w:eastAsia="Times New Roman" w:cs="Times New Roman"/>
          <w14:ligatures w14:val="none"/>
        </w:rPr>
      </w:pPr>
      <w:r>
        <w:rPr>
          <w:rFonts w:ascii="Calibri" w:hAnsi="Calibri" w:eastAsia="Times New Roman" w:cs="Times New Roman"/>
          <w:lang w:val="de-DE"/>
          <w14:ligatures w14:val="none"/>
        </w:rPr>
        <w:t xml:space="preserve">Fu, B.J., S.L. Liu, K.M. Ma, and Y.G. Zhu. 2004. </w:t>
      </w:r>
      <w:r>
        <w:rPr>
          <w:rFonts w:ascii="Calibri" w:hAnsi="Calibri" w:eastAsia="Times New Roman" w:cs="Times New Roman"/>
          <w14:ligatures w14:val="none"/>
        </w:rPr>
        <w:t xml:space="preserve">“Relationships between Soil Characteristics, Topography and Plant Diversity in a Heterogeneous Deciduous Broad-Leaved Forest near Beijing, China.” </w:t>
      </w:r>
      <w:r>
        <w:rPr>
          <w:rFonts w:ascii="Calibri" w:hAnsi="Calibri" w:eastAsia="Times New Roman" w:cs="Times New Roman"/>
          <w:i/>
          <w:iCs/>
          <w14:ligatures w14:val="none"/>
        </w:rPr>
        <w:t>Plant and Soil</w:t>
      </w:r>
      <w:r>
        <w:rPr>
          <w:rFonts w:ascii="Calibri" w:hAnsi="Calibri" w:eastAsia="Times New Roman" w:cs="Times New Roman"/>
          <w14:ligatures w14:val="none"/>
        </w:rPr>
        <w:t xml:space="preserve"> 261 (1–2): 47–54. https://doi.org/10.1023/B:PLSO.0000035567.97093.48.</w:t>
      </w:r>
    </w:p>
    <w:p w14:paraId="1E35092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Gad, A. 2020. “Qualitative and Quantitative Assessment of Land Degradation and Desertification in Egypt Based on Satellite Remote Sensing: Urbanization, Salinization and Wind Erosion.” In </w:t>
      </w:r>
      <w:r>
        <w:rPr>
          <w:rFonts w:ascii="Calibri" w:hAnsi="Calibri" w:eastAsia="Times New Roman" w:cs="Times New Roman"/>
          <w:i/>
          <w:iCs/>
          <w14:ligatures w14:val="none"/>
        </w:rPr>
        <w:t>Environmental Remote Sensing in Egypt</w:t>
      </w:r>
      <w:r>
        <w:rPr>
          <w:rFonts w:ascii="Calibri" w:hAnsi="Calibri" w:eastAsia="Times New Roman" w:cs="Times New Roman"/>
          <w14:ligatures w14:val="none"/>
        </w:rPr>
        <w:t>, edited by Salwa F. Elbeih, Abdelazim M. Negm, and Andrey Kostianoy. Springer Geophysics. Springer International Publishing. https://doi.org/10.1007/978-3-030-39593-3_15.</w:t>
      </w:r>
    </w:p>
    <w:p w14:paraId="73AC307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Gaikwad, Nitin, Pradnya Maheshmalkar, and Shafiyoddin Sayyad. 2025. “Vegetation Indices for Optimizing Crop Management.” </w:t>
      </w:r>
      <w:r>
        <w:rPr>
          <w:rFonts w:ascii="Calibri" w:hAnsi="Calibri" w:eastAsia="Times New Roman" w:cs="Times New Roman"/>
          <w:i/>
          <w:iCs/>
          <w14:ligatures w14:val="none"/>
        </w:rPr>
        <w:t>International Journal For Multidisciplinary Research</w:t>
      </w:r>
      <w:r>
        <w:rPr>
          <w:rFonts w:ascii="Calibri" w:hAnsi="Calibri" w:eastAsia="Times New Roman" w:cs="Times New Roman"/>
          <w14:ligatures w14:val="none"/>
        </w:rPr>
        <w:t xml:space="preserve"> 7 (3): 44081. https://doi.org/10.36948/ijfmr.2025.v07i03.44081.</w:t>
      </w:r>
    </w:p>
    <w:p w14:paraId="2FCB701D">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Gao, Junjing, and Yohay Carmel. 2020. “Can the Intermediate Disturbance Hypothesis Explain Grazing–Diversity Relations at a Global Scale?” </w:t>
      </w:r>
      <w:r>
        <w:rPr>
          <w:rFonts w:ascii="Calibri" w:hAnsi="Calibri" w:eastAsia="Times New Roman" w:cs="Times New Roman"/>
          <w:i/>
          <w:iCs/>
          <w14:ligatures w14:val="none"/>
        </w:rPr>
        <w:t>Oikos</w:t>
      </w:r>
      <w:r>
        <w:rPr>
          <w:rFonts w:ascii="Calibri" w:hAnsi="Calibri" w:eastAsia="Times New Roman" w:cs="Times New Roman"/>
          <w14:ligatures w14:val="none"/>
        </w:rPr>
        <w:t xml:space="preserve"> 129 (4): 493–502. https://doi.org/10.1111/oik.06338.</w:t>
      </w:r>
    </w:p>
    <w:p w14:paraId="2A98D53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Garamszegi, László Zsolt. 2011. “Information-Theoretic Approaches to Statistical Analysis in Behavioural Ecology: An Introduction.” </w:t>
      </w:r>
      <w:r>
        <w:rPr>
          <w:rFonts w:ascii="Calibri" w:hAnsi="Calibri" w:eastAsia="Times New Roman" w:cs="Times New Roman"/>
          <w:i/>
          <w:iCs/>
          <w14:ligatures w14:val="none"/>
        </w:rPr>
        <w:t>Behavioral Ecology and Sociobiology</w:t>
      </w:r>
      <w:r>
        <w:rPr>
          <w:rFonts w:ascii="Calibri" w:hAnsi="Calibri" w:eastAsia="Times New Roman" w:cs="Times New Roman"/>
          <w14:ligatures w14:val="none"/>
        </w:rPr>
        <w:t xml:space="preserve"> 65 (1): 1–11. https://doi.org/10.1007/s00265-010-1028-7.</w:t>
      </w:r>
    </w:p>
    <w:p w14:paraId="4437654F">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Gardini, Pietro, Simone Fattorini, Paolo Audisio, and Simone Sabatelli. 2025. “Influence of Different Land-Use Types on Soil Arthropod Communities in an Urban Area: A Case Study from Rome (Italy).” </w:t>
      </w:r>
      <w:r>
        <w:rPr>
          <w:rFonts w:ascii="Calibri" w:hAnsi="Calibri" w:eastAsia="Times New Roman" w:cs="Times New Roman"/>
          <w:i/>
          <w:iCs/>
          <w14:ligatures w14:val="none"/>
        </w:rPr>
        <w:t>Land</w:t>
      </w:r>
      <w:r>
        <w:rPr>
          <w:rFonts w:ascii="Calibri" w:hAnsi="Calibri" w:eastAsia="Times New Roman" w:cs="Times New Roman"/>
          <w14:ligatures w14:val="none"/>
        </w:rPr>
        <w:t xml:space="preserve"> 14 (4): 714. https://doi.org/10.3390/land14040714.</w:t>
      </w:r>
    </w:p>
    <w:p w14:paraId="1C365D7F">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Gaur, Srishti, and Rajendra Singh. 2023. “A Comprehensive Review on Land Use/Land Cover (LULC) Change Modeling for Urban Development: Current Status and Future Prospects.” </w:t>
      </w:r>
      <w:r>
        <w:rPr>
          <w:rFonts w:ascii="Calibri" w:hAnsi="Calibri" w:eastAsia="Times New Roman" w:cs="Times New Roman"/>
          <w:i/>
          <w:iCs/>
          <w14:ligatures w14:val="none"/>
        </w:rPr>
        <w:t>Sustainability</w:t>
      </w:r>
      <w:r>
        <w:rPr>
          <w:rFonts w:ascii="Calibri" w:hAnsi="Calibri" w:eastAsia="Times New Roman" w:cs="Times New Roman"/>
          <w14:ligatures w14:val="none"/>
        </w:rPr>
        <w:t xml:space="preserve"> 15 (2): 903. https://doi.org/10.3390/su15020903.</w:t>
      </w:r>
    </w:p>
    <w:p w14:paraId="6CAD83C9">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Gerstner, Katharina, Carsten F. Dormann, Anke Stein, Ameur M. Manceur, and Ralf Seppelt. 2014. “EDITOR’S CHOICE: REVIEW: Effects of Land Use on Plant Diversity – A Global Meta‐analysis.” </w:t>
      </w:r>
      <w:r>
        <w:rPr>
          <w:rFonts w:ascii="Calibri" w:hAnsi="Calibri" w:eastAsia="Times New Roman" w:cs="Times New Roman"/>
          <w:i/>
          <w:iCs/>
          <w14:ligatures w14:val="none"/>
        </w:rPr>
        <w:t>Journal of Applied Ecology</w:t>
      </w:r>
      <w:r>
        <w:rPr>
          <w:rFonts w:ascii="Calibri" w:hAnsi="Calibri" w:eastAsia="Times New Roman" w:cs="Times New Roman"/>
          <w14:ligatures w14:val="none"/>
        </w:rPr>
        <w:t xml:space="preserve"> 51 (6): 1690–700. https://doi.org/10.1111/1365-2664.12329.</w:t>
      </w:r>
    </w:p>
    <w:p w14:paraId="57A5AE21">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Gu, Chaolin. 2019. “Urbanization: Processes and Driving Forces.” </w:t>
      </w:r>
      <w:r>
        <w:rPr>
          <w:rFonts w:ascii="Calibri" w:hAnsi="Calibri" w:eastAsia="Times New Roman" w:cs="Times New Roman"/>
          <w:i/>
          <w:iCs/>
          <w14:ligatures w14:val="none"/>
        </w:rPr>
        <w:t>Science China Earth Sciences</w:t>
      </w:r>
      <w:r>
        <w:rPr>
          <w:rFonts w:ascii="Calibri" w:hAnsi="Calibri" w:eastAsia="Times New Roman" w:cs="Times New Roman"/>
          <w14:ligatures w14:val="none"/>
        </w:rPr>
        <w:t xml:space="preserve"> 62 (9): 1351–60. https://doi.org/10.1007/s11430-018-9359-y.</w:t>
      </w:r>
    </w:p>
    <w:p w14:paraId="0A16086D">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Gu, Qing, Fudeng Huang, Weidong Lou, et al. 2024. “Unmanned Aerial Vehicle-Based Assessment of Rice Leaf Chlorophyll Content Dynamics across Genotypes.” </w:t>
      </w:r>
      <w:r>
        <w:rPr>
          <w:rFonts w:ascii="Calibri" w:hAnsi="Calibri" w:eastAsia="Times New Roman" w:cs="Times New Roman"/>
          <w:i/>
          <w:iCs/>
          <w14:ligatures w14:val="none"/>
        </w:rPr>
        <w:t>Computers and Electronics in Agriculture</w:t>
      </w:r>
      <w:r>
        <w:rPr>
          <w:rFonts w:ascii="Calibri" w:hAnsi="Calibri" w:eastAsia="Times New Roman" w:cs="Times New Roman"/>
          <w14:ligatures w14:val="none"/>
        </w:rPr>
        <w:t xml:space="preserve"> 221 (June): 108939. https://doi.org/10.1016/j.compag.2024.108939.</w:t>
      </w:r>
    </w:p>
    <w:p w14:paraId="0A4DE84F">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Gutu Sakketa, Tekalign. 2023. “Urbanisation and Rural Development in Sub-Saharan Africa: A Review of Pathways and Impacts.” </w:t>
      </w:r>
      <w:r>
        <w:rPr>
          <w:rFonts w:ascii="Calibri" w:hAnsi="Calibri" w:eastAsia="Times New Roman" w:cs="Times New Roman"/>
          <w:i/>
          <w:iCs/>
          <w14:ligatures w14:val="none"/>
        </w:rPr>
        <w:t>Research in Globalization</w:t>
      </w:r>
      <w:r>
        <w:rPr>
          <w:rFonts w:ascii="Calibri" w:hAnsi="Calibri" w:eastAsia="Times New Roman" w:cs="Times New Roman"/>
          <w14:ligatures w14:val="none"/>
        </w:rPr>
        <w:t xml:space="preserve"> 6 (June): 100133. https://doi.org/10.1016/j.resglo.2023.100133.</w:t>
      </w:r>
    </w:p>
    <w:p w14:paraId="69D5E6B4">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Hahs, Amy K., Mark J. McDonnell, Michael A. McCarthy, et al. 2009. “A Global Synthesis of Plant Extinction Rates in Urban Areas.” </w:t>
      </w:r>
      <w:r>
        <w:rPr>
          <w:rFonts w:ascii="Calibri" w:hAnsi="Calibri" w:eastAsia="Times New Roman" w:cs="Times New Roman"/>
          <w:i/>
          <w:iCs/>
          <w14:ligatures w14:val="none"/>
        </w:rPr>
        <w:t>Ecology Letters</w:t>
      </w:r>
      <w:r>
        <w:rPr>
          <w:rFonts w:ascii="Calibri" w:hAnsi="Calibri" w:eastAsia="Times New Roman" w:cs="Times New Roman"/>
          <w14:ligatures w14:val="none"/>
        </w:rPr>
        <w:t xml:space="preserve"> 12 (11): 1165–73. https://doi.org/10.1111/j.1461-0248.2009.01372.x.</w:t>
      </w:r>
    </w:p>
    <w:p w14:paraId="4E007695">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Halder, Subhra, and Suddhasil Bose. 2024. “Comparative Study on Remote Sensing-Based Indices for Urban Ecology Assessment: A Case Study of 12 Urban Centers in the Metropolitan Area of Eastern India.” </w:t>
      </w:r>
      <w:r>
        <w:rPr>
          <w:rFonts w:ascii="Calibri" w:hAnsi="Calibri" w:eastAsia="Times New Roman" w:cs="Times New Roman"/>
          <w:i/>
          <w:iCs/>
          <w14:ligatures w14:val="none"/>
        </w:rPr>
        <w:t>Journal of Earth System Science</w:t>
      </w:r>
      <w:r>
        <w:rPr>
          <w:rFonts w:ascii="Calibri" w:hAnsi="Calibri" w:eastAsia="Times New Roman" w:cs="Times New Roman"/>
          <w14:ligatures w14:val="none"/>
        </w:rPr>
        <w:t xml:space="preserve"> 133 (2): 100. https://doi.org/10.1007/s12040-024-02321-3.</w:t>
      </w:r>
    </w:p>
    <w:p w14:paraId="02D2214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Halmy, Marwa Waseem A., Paul E. Gessler, Jeffrey A. Hicke, and Boshra B. Salem. 2015. “Land Use/Land Cover Change Detection and Prediction in the North-Western Coastal Desert of Egypt Using Markov-CA.” </w:t>
      </w:r>
      <w:r>
        <w:rPr>
          <w:rFonts w:ascii="Calibri" w:hAnsi="Calibri" w:eastAsia="Times New Roman" w:cs="Times New Roman"/>
          <w:i/>
          <w:iCs/>
          <w14:ligatures w14:val="none"/>
        </w:rPr>
        <w:t>Applied Geography</w:t>
      </w:r>
      <w:r>
        <w:rPr>
          <w:rFonts w:ascii="Calibri" w:hAnsi="Calibri" w:eastAsia="Times New Roman" w:cs="Times New Roman"/>
          <w14:ligatures w14:val="none"/>
        </w:rPr>
        <w:t xml:space="preserve"> 63 (September): 101–12. https://doi.org/10.1016/j.apgeog.2015.06.015.</w:t>
      </w:r>
    </w:p>
    <w:p w14:paraId="52525609">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Hansen, Rieke, Anna Mattes, Maren Meier, and Andreas Kurths. 2023. “Reorienting Urban Green Infrastructure Planning towards Biodiversity – Perspectives and Ongoing Debates from Germany.” </w:t>
      </w:r>
      <w:r>
        <w:rPr>
          <w:rFonts w:ascii="Calibri" w:hAnsi="Calibri" w:eastAsia="Times New Roman" w:cs="Times New Roman"/>
          <w:i/>
          <w:iCs/>
          <w14:ligatures w14:val="none"/>
        </w:rPr>
        <w:t>Urban Forestry &amp; Urban Greening</w:t>
      </w:r>
      <w:r>
        <w:rPr>
          <w:rFonts w:ascii="Calibri" w:hAnsi="Calibri" w:eastAsia="Times New Roman" w:cs="Times New Roman"/>
          <w14:ligatures w14:val="none"/>
        </w:rPr>
        <w:t xml:space="preserve"> 90 (December): 128155. https://doi.org/10.1016/j.ufug.2023.128155.</w:t>
      </w:r>
    </w:p>
    <w:p w14:paraId="3BBB838B">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Hassani, Kianoosh, Hamed Gholizadeh, Saleh Taghvaeian, Victoria Natalie, Jonathan Carpenter, and Jamey Jacob. 2023. “Assessing the Impact of Spatial Resolution of UAS-Based Remote Sensing and Spectral Resolution of Proximal Sensing on Crop Nitrogen Retrieval Accuracy.” </w:t>
      </w:r>
      <w:r>
        <w:rPr>
          <w:rFonts w:ascii="Calibri" w:hAnsi="Calibri" w:eastAsia="Times New Roman" w:cs="Times New Roman"/>
          <w:i/>
          <w:iCs/>
          <w14:ligatures w14:val="none"/>
        </w:rPr>
        <w:t>International Journal of Remote Sensing</w:t>
      </w:r>
      <w:r>
        <w:rPr>
          <w:rFonts w:ascii="Calibri" w:hAnsi="Calibri" w:eastAsia="Times New Roman" w:cs="Times New Roman"/>
          <w14:ligatures w14:val="none"/>
        </w:rPr>
        <w:t xml:space="preserve"> 44 (14): 4441–64. https://doi.org/10.1080/01431161.2023.2237162.</w:t>
      </w:r>
    </w:p>
    <w:p w14:paraId="23B24809">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He, Chunyang, Zhifeng Liu, Jianguo Wu, et al. 2021. “Future Global Urban Water Scarcity and Potential Solutions.” </w:t>
      </w:r>
      <w:r>
        <w:rPr>
          <w:rFonts w:ascii="Calibri" w:hAnsi="Calibri" w:eastAsia="Times New Roman" w:cs="Times New Roman"/>
          <w:i/>
          <w:iCs/>
          <w14:ligatures w14:val="none"/>
        </w:rPr>
        <w:t>Nature Communications</w:t>
      </w:r>
      <w:r>
        <w:rPr>
          <w:rFonts w:ascii="Calibri" w:hAnsi="Calibri" w:eastAsia="Times New Roman" w:cs="Times New Roman"/>
          <w14:ligatures w14:val="none"/>
        </w:rPr>
        <w:t xml:space="preserve"> 12 (1): 4667. https://doi.org/10.1038/s41467-021-25026-3.</w:t>
      </w:r>
    </w:p>
    <w:p w14:paraId="0982414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Hemba, Stephen, Enoch T. Iortyom, and Olusesan A. Adelabu. 2017. “Wetland Loss in Makurdi Town and Its Environs in North Central Nigeria: Implication for Gender.” </w:t>
      </w:r>
      <w:r>
        <w:rPr>
          <w:rFonts w:ascii="Calibri" w:hAnsi="Calibri" w:eastAsia="Times New Roman" w:cs="Times New Roman"/>
          <w:i/>
          <w:iCs/>
          <w14:ligatures w14:val="none"/>
        </w:rPr>
        <w:t>Journal of Human Ecology</w:t>
      </w:r>
      <w:r>
        <w:rPr>
          <w:rFonts w:ascii="Calibri" w:hAnsi="Calibri" w:eastAsia="Times New Roman" w:cs="Times New Roman"/>
          <w14:ligatures w14:val="none"/>
        </w:rPr>
        <w:t xml:space="preserve"> 60 (2–3): 72–79. https://doi.org/10.1080/09709274.2017.1413972.</w:t>
      </w:r>
    </w:p>
    <w:p w14:paraId="650E5F76">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Hengl, Tomislav, Jorge Mendes De Jesus, Gerard B. M. Heuvelink, et al. 2017. “SoilGrids250m: Global Gridded Soil Information Based on Machine Learning.” </w:t>
      </w:r>
      <w:r>
        <w:rPr>
          <w:rFonts w:ascii="Calibri" w:hAnsi="Calibri" w:eastAsia="Times New Roman" w:cs="Times New Roman"/>
          <w:i/>
          <w:iCs/>
          <w14:ligatures w14:val="none"/>
        </w:rPr>
        <w:t>PLOS ONE</w:t>
      </w:r>
      <w:r>
        <w:rPr>
          <w:rFonts w:ascii="Calibri" w:hAnsi="Calibri" w:eastAsia="Times New Roman" w:cs="Times New Roman"/>
          <w14:ligatures w14:val="none"/>
        </w:rPr>
        <w:t xml:space="preserve"> 12 (2): e0169748. https://doi.org/10.1371/journal.pone.0169748.</w:t>
      </w:r>
    </w:p>
    <w:p w14:paraId="73710D94">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Hines, Jes, and Henrique M. Pereira. 2021. “Biodiversity: Monitoring Trends and Implications for Ecosystem Functioning.” </w:t>
      </w:r>
      <w:r>
        <w:rPr>
          <w:rFonts w:ascii="Calibri" w:hAnsi="Calibri" w:eastAsia="Times New Roman" w:cs="Times New Roman"/>
          <w:i/>
          <w:iCs/>
          <w14:ligatures w14:val="none"/>
        </w:rPr>
        <w:t>Current Biology</w:t>
      </w:r>
      <w:r>
        <w:rPr>
          <w:rFonts w:ascii="Calibri" w:hAnsi="Calibri" w:eastAsia="Times New Roman" w:cs="Times New Roman"/>
          <w14:ligatures w14:val="none"/>
        </w:rPr>
        <w:t xml:space="preserve"> 31 (20): R1390–92. https://doi.org/10.1016/j.cub.2021.09.051.</w:t>
      </w:r>
    </w:p>
    <w:p w14:paraId="5322CD31">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Hisano, M., E. B Searle, and H. Y. H Chen,. 2017. “Biodiversity as a Solution to Mitigate Climate Change Impacts on the Functioning of Forest Ecosystems.” </w:t>
      </w:r>
      <w:r>
        <w:rPr>
          <w:rFonts w:ascii="Calibri" w:hAnsi="Calibri" w:eastAsia="Times New Roman" w:cs="Times New Roman"/>
          <w:i/>
          <w:iCs/>
          <w14:ligatures w14:val="none"/>
        </w:rPr>
        <w:t>Biological Reviews</w:t>
      </w:r>
      <w:r>
        <w:rPr>
          <w:rFonts w:ascii="Calibri" w:hAnsi="Calibri" w:eastAsia="Times New Roman" w:cs="Times New Roman"/>
          <w14:ligatures w14:val="none"/>
        </w:rPr>
        <w:t xml:space="preserve"> 93(1): 439-456. https://doi.org/10.1111/brv.12351.</w:t>
      </w:r>
    </w:p>
    <w:p w14:paraId="7926B65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Hong, Wuyang, Shuwen Yang, Renzhong Guo, Yelin Li, Lin Jiang, and Xiaoming Li. 2025. “Suitable Scale Structures for Urban Multi-Functions: An Integrative Approach Grounded in Socio-Ecological System Analysis.” </w:t>
      </w:r>
      <w:r>
        <w:rPr>
          <w:rFonts w:ascii="Calibri" w:hAnsi="Calibri" w:eastAsia="Times New Roman" w:cs="Times New Roman"/>
          <w:i/>
          <w:iCs/>
          <w14:ligatures w14:val="none"/>
        </w:rPr>
        <w:t>Ecological Processes</w:t>
      </w:r>
      <w:r>
        <w:rPr>
          <w:rFonts w:ascii="Calibri" w:hAnsi="Calibri" w:eastAsia="Times New Roman" w:cs="Times New Roman"/>
          <w14:ligatures w14:val="none"/>
        </w:rPr>
        <w:t xml:space="preserve"> 14 (1): 19. https://doi.org/10.1186/s13717-025-00582-4.</w:t>
      </w:r>
    </w:p>
    <w:p w14:paraId="5D2D931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Isendahl, Christian, Monica L. Smith, Miriam T. Stark, Federica Sulas, and Stephan Barthel. 2020. “Urban Ecology in the Ancient Tropics.” In </w:t>
      </w:r>
      <w:r>
        <w:rPr>
          <w:rFonts w:ascii="Calibri" w:hAnsi="Calibri" w:eastAsia="Times New Roman" w:cs="Times New Roman"/>
          <w:i/>
          <w:iCs/>
          <w14:ligatures w14:val="none"/>
        </w:rPr>
        <w:t>The Routledge Handbook of Urban Ecology</w:t>
      </w:r>
      <w:r>
        <w:rPr>
          <w:rFonts w:ascii="Calibri" w:hAnsi="Calibri" w:eastAsia="Times New Roman" w:cs="Times New Roman"/>
          <w14:ligatures w14:val="none"/>
        </w:rPr>
        <w:t>, 2nd ed., edited by Ian Douglas, P M L Anderson, David Goode, et al. Routledge. https://doi.org/10.4324/9780429506758-3.</w:t>
      </w:r>
    </w:p>
    <w:p w14:paraId="387022BC">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Jensen, Johan Kjellberg, Marcus Hedblom, and Anna S. Persson. 2025. “Evidence-Based Urban Greening: A Missing Piece in Biodiversity Conservation.” </w:t>
      </w:r>
      <w:r>
        <w:rPr>
          <w:rFonts w:ascii="Calibri" w:hAnsi="Calibri" w:eastAsia="Times New Roman" w:cs="Times New Roman"/>
          <w:i/>
          <w:iCs/>
          <w14:ligatures w14:val="none"/>
        </w:rPr>
        <w:t>Trends in Ecology &amp; Evolution</w:t>
      </w:r>
      <w:r>
        <w:rPr>
          <w:rFonts w:ascii="Calibri" w:hAnsi="Calibri" w:eastAsia="Times New Roman" w:cs="Times New Roman"/>
          <w14:ligatures w14:val="none"/>
        </w:rPr>
        <w:t xml:space="preserve"> 40 (6): 523–26. https://doi.org/10.1016/j.tree.2025.04.007.</w:t>
      </w:r>
    </w:p>
    <w:p w14:paraId="40F1502D">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Jiao, Zhijun, Aizhu Zhang, Genyun Sun, Hang Fu, and Yanjuan Yao. 2021. “Hyperspectral Image Based Vegetation Index (HSVI): A New Vegetation Index for Urban Ecological Research.” </w:t>
      </w:r>
      <w:r>
        <w:rPr>
          <w:rFonts w:ascii="Calibri" w:hAnsi="Calibri" w:eastAsia="Times New Roman" w:cs="Times New Roman"/>
          <w:i/>
          <w:iCs/>
          <w14:ligatures w14:val="none"/>
        </w:rPr>
        <w:t>2021 IEEE International Geoscience and Remote Sensing Symposium IGARSS</w:t>
      </w:r>
      <w:r>
        <w:rPr>
          <w:rFonts w:ascii="Calibri" w:hAnsi="Calibri" w:eastAsia="Times New Roman" w:cs="Times New Roman"/>
          <w14:ligatures w14:val="none"/>
        </w:rPr>
        <w:t>, July 11, 8249–52. https://doi.org/10.1109/IGARSS47720.2021.9554921.</w:t>
      </w:r>
    </w:p>
    <w:p w14:paraId="049DABF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Kalema, James, Mary Namaganda, Godfrey Bbosa, and Jasper Ogwal-Okeng. 2016. “Diversity and Status of Carnivorous Plants in Uganda: Towards Identification of Sites Most Critical for Their Conservation.” </w:t>
      </w:r>
      <w:r>
        <w:rPr>
          <w:rFonts w:ascii="Calibri" w:hAnsi="Calibri" w:eastAsia="Times New Roman" w:cs="Times New Roman"/>
          <w:i/>
          <w:iCs/>
          <w14:ligatures w14:val="none"/>
        </w:rPr>
        <w:t>Biodiversity and Conservation</w:t>
      </w:r>
      <w:r>
        <w:rPr>
          <w:rFonts w:ascii="Calibri" w:hAnsi="Calibri" w:eastAsia="Times New Roman" w:cs="Times New Roman"/>
          <w14:ligatures w14:val="none"/>
        </w:rPr>
        <w:t xml:space="preserve"> 25 (11): 2035–53. https://doi.org/10.1007/s10531-016-1177-8.</w:t>
      </w:r>
    </w:p>
    <w:p w14:paraId="2FD9C4A5">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Kamble, M. V., K. Ghosh, M. Rajeevan, and R. P. Samui. 2010. “Drought Monitoring over India through Normalized Difference Vegetation Index (NDVI).” </w:t>
      </w:r>
      <w:r>
        <w:rPr>
          <w:rFonts w:ascii="Calibri" w:hAnsi="Calibri" w:eastAsia="Times New Roman" w:cs="Times New Roman"/>
          <w:i/>
          <w:iCs/>
          <w14:ligatures w14:val="none"/>
        </w:rPr>
        <w:t>MAUSAM</w:t>
      </w:r>
      <w:r>
        <w:rPr>
          <w:rFonts w:ascii="Calibri" w:hAnsi="Calibri" w:eastAsia="Times New Roman" w:cs="Times New Roman"/>
          <w14:ligatures w14:val="none"/>
        </w:rPr>
        <w:t xml:space="preserve"> 61 (4): 537–46. https://doi.org/10.54302/mausam.v61i4.911.</w:t>
      </w:r>
    </w:p>
    <w:p w14:paraId="5059B91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Kankam, Stephen, HongMi Koo, Justice Nana Inkoom, and Christine Fürst. 2024. “Modeling the Impacts of Coastal Land Use Scenarios on Ecosystem Services Restoration in Southwest Ghana, West Africa.” Preprint, In Review, May 29. https://doi.org/10.21203/rs.3.rs-4432789/v1.</w:t>
      </w:r>
    </w:p>
    <w:p w14:paraId="1D1EAEAE">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King, Ruth. 2014. “Statistical Ecology.” </w:t>
      </w:r>
      <w:r>
        <w:rPr>
          <w:rFonts w:ascii="Calibri" w:hAnsi="Calibri" w:eastAsia="Times New Roman" w:cs="Times New Roman"/>
          <w:i/>
          <w:iCs/>
          <w14:ligatures w14:val="none"/>
        </w:rPr>
        <w:t>Annual Review of Statistics and Its Application</w:t>
      </w:r>
      <w:r>
        <w:rPr>
          <w:rFonts w:ascii="Calibri" w:hAnsi="Calibri" w:eastAsia="Times New Roman" w:cs="Times New Roman"/>
          <w14:ligatures w14:val="none"/>
        </w:rPr>
        <w:t xml:space="preserve"> 1 (1): 401–26. https://doi.org/10.1146/annurev-statistics-022513-115633.</w:t>
      </w:r>
    </w:p>
    <w:p w14:paraId="3D1FFE56">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Kirchhoff, T., L. Trepl, and V Vicenzotti,. 2013. </w:t>
      </w:r>
      <w:r>
        <w:rPr>
          <w:rFonts w:ascii="Calibri" w:hAnsi="Calibri" w:eastAsia="Times New Roman" w:cs="Times New Roman"/>
          <w:i/>
          <w:iCs/>
          <w14:ligatures w14:val="none"/>
        </w:rPr>
        <w:t>What Is Landscape Ecology? An Analysis and Evaluation of Six Different Conceptions. Landscape</w:t>
      </w:r>
      <w:r>
        <w:rPr>
          <w:rFonts w:ascii="Calibri" w:hAnsi="Calibri" w:eastAsia="Times New Roman" w:cs="Times New Roman"/>
          <w14:ligatures w14:val="none"/>
        </w:rPr>
        <w:t>. 38(1) ((1)): 33-51.</w:t>
      </w:r>
    </w:p>
    <w:p w14:paraId="0F6CFAC4">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Kisvarga, Szilvia, Katalin Horotán, Muneeb Ahmad Wani, and László Orlóci. 2023. “Plant Responses to Global Climate Change and Urbanization: Implications for Sustainable Urban Landscapes.” </w:t>
      </w:r>
      <w:r>
        <w:rPr>
          <w:rFonts w:ascii="Calibri" w:hAnsi="Calibri" w:eastAsia="Times New Roman" w:cs="Times New Roman"/>
          <w:i/>
          <w:iCs/>
          <w14:ligatures w14:val="none"/>
        </w:rPr>
        <w:t>Horticulturae</w:t>
      </w:r>
      <w:r>
        <w:rPr>
          <w:rFonts w:ascii="Calibri" w:hAnsi="Calibri" w:eastAsia="Times New Roman" w:cs="Times New Roman"/>
          <w14:ligatures w14:val="none"/>
        </w:rPr>
        <w:t xml:space="preserve"> 9 (9): 1051. https://doi.org/10.3390/horticulturae9091051.</w:t>
      </w:r>
    </w:p>
    <w:p w14:paraId="62DCFCA7">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Kitikidou, Kyriaki, Elias Milios, Athanasios Stampoulidis, Elias Pipinis, and Kalliopi Radoglou. 2024. “Using Biodiversity Indices Effectively: Considerations for Forest Management.” </w:t>
      </w:r>
      <w:r>
        <w:rPr>
          <w:rFonts w:ascii="Calibri" w:hAnsi="Calibri" w:eastAsia="Times New Roman" w:cs="Times New Roman"/>
          <w:i/>
          <w:iCs/>
          <w14:ligatures w14:val="none"/>
        </w:rPr>
        <w:t>Ecologies</w:t>
      </w:r>
      <w:r>
        <w:rPr>
          <w:rFonts w:ascii="Calibri" w:hAnsi="Calibri" w:eastAsia="Times New Roman" w:cs="Times New Roman"/>
          <w14:ligatures w14:val="none"/>
        </w:rPr>
        <w:t xml:space="preserve"> 5 (1): 42–51. https://doi.org/10.3390/ecologies5010003.</w:t>
      </w:r>
    </w:p>
    <w:p w14:paraId="52D58F7F">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Korpilo, Silviya, Elina Nyberg, Kati Vierikko, Hanna Nieminen, Gustavo Arciniegas, and Christopher M. Raymond. 2023. “Developing a Multi-Sensory Public Participation GIS (MSPPGIS) Method for Integrating Landscape Values and Soundscapes of Urban Green Infrastructure.” </w:t>
      </w:r>
      <w:r>
        <w:rPr>
          <w:rFonts w:ascii="Calibri" w:hAnsi="Calibri" w:eastAsia="Times New Roman" w:cs="Times New Roman"/>
          <w:i/>
          <w:iCs/>
          <w14:ligatures w14:val="none"/>
        </w:rPr>
        <w:t>Landscape and Urban Planning</w:t>
      </w:r>
      <w:r>
        <w:rPr>
          <w:rFonts w:ascii="Calibri" w:hAnsi="Calibri" w:eastAsia="Times New Roman" w:cs="Times New Roman"/>
          <w14:ligatures w14:val="none"/>
        </w:rPr>
        <w:t xml:space="preserve"> 230 (February): 104617. https://doi.org/10.1016/j.landurbplan.2022.104617.</w:t>
      </w:r>
    </w:p>
    <w:p w14:paraId="65EEEC8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Kovacs, Melinda Haydee, Nguyen Khoi Nghia, and Emoke Dalma Kovacs. 2025. “Urban Forest Fragmentation Reshapes Soil Microbiome–Carbon Dynamics.” </w:t>
      </w:r>
      <w:r>
        <w:rPr>
          <w:rFonts w:ascii="Calibri" w:hAnsi="Calibri" w:eastAsia="Times New Roman" w:cs="Times New Roman"/>
          <w:i/>
          <w:iCs/>
          <w14:ligatures w14:val="none"/>
        </w:rPr>
        <w:t>Diversity</w:t>
      </w:r>
      <w:r>
        <w:rPr>
          <w:rFonts w:ascii="Calibri" w:hAnsi="Calibri" w:eastAsia="Times New Roman" w:cs="Times New Roman"/>
          <w14:ligatures w14:val="none"/>
        </w:rPr>
        <w:t xml:space="preserve"> 17 (8): 545. https://doi.org/10.3390/d17080545.</w:t>
      </w:r>
    </w:p>
    <w:p w14:paraId="19F3E3E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Kumar, Deepak. 2015. “Remote Sensing Based Vegetation Indices Analysis to Improve Water Resources Management in Urban Environment.” </w:t>
      </w:r>
      <w:r>
        <w:rPr>
          <w:rFonts w:ascii="Calibri" w:hAnsi="Calibri" w:eastAsia="Times New Roman" w:cs="Times New Roman"/>
          <w:i/>
          <w:iCs/>
          <w14:ligatures w14:val="none"/>
        </w:rPr>
        <w:t>Aquatic Procedia</w:t>
      </w:r>
      <w:r>
        <w:rPr>
          <w:rFonts w:ascii="Calibri" w:hAnsi="Calibri" w:eastAsia="Times New Roman" w:cs="Times New Roman"/>
          <w14:ligatures w14:val="none"/>
        </w:rPr>
        <w:t xml:space="preserve"> 4: 1374–80. https://doi.org/10.1016/j.aqpro.2015.02.178.</w:t>
      </w:r>
    </w:p>
    <w:p w14:paraId="3C7A38D5">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Kumari, Nikul, Ankur Srivastava, and Umesh Chandra Dumka. 2021. “A Long-Term Spatiotemporal Analysis of Vegetation Greenness over the Himalayan Region Using Google Earth Engine.” </w:t>
      </w:r>
      <w:r>
        <w:rPr>
          <w:rFonts w:ascii="Calibri" w:hAnsi="Calibri" w:eastAsia="Times New Roman" w:cs="Times New Roman"/>
          <w:i/>
          <w:iCs/>
          <w14:ligatures w14:val="none"/>
        </w:rPr>
        <w:t>Climate</w:t>
      </w:r>
      <w:r>
        <w:rPr>
          <w:rFonts w:ascii="Calibri" w:hAnsi="Calibri" w:eastAsia="Times New Roman" w:cs="Times New Roman"/>
          <w14:ligatures w14:val="none"/>
        </w:rPr>
        <w:t xml:space="preserve"> 9 (7): 109. https://doi.org/10.3390/cli9070109.</w:t>
      </w:r>
    </w:p>
    <w:p w14:paraId="37E31427">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Larondelle, Neele, and Dagmar Haase. 2013. “Urban Ecosystem Services Assessment along a Rural–Urban Gradient: A Cross-Analysis of European Cities.” </w:t>
      </w:r>
      <w:r>
        <w:rPr>
          <w:rFonts w:ascii="Calibri" w:hAnsi="Calibri" w:eastAsia="Times New Roman" w:cs="Times New Roman"/>
          <w:i/>
          <w:iCs/>
          <w14:ligatures w14:val="none"/>
        </w:rPr>
        <w:t>Ecological Indicators</w:t>
      </w:r>
      <w:r>
        <w:rPr>
          <w:rFonts w:ascii="Calibri" w:hAnsi="Calibri" w:eastAsia="Times New Roman" w:cs="Times New Roman"/>
          <w14:ligatures w14:val="none"/>
        </w:rPr>
        <w:t xml:space="preserve"> 29 (June): 179–90. https://doi.org/10.1016/j.ecolind.2012.12.022.</w:t>
      </w:r>
    </w:p>
    <w:p w14:paraId="1D88EEAB">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Lemenkova, Polina, and Olivier Debeir. 2023. “Computing Vegetation Indices from the Satellite Images Using GRASS GIS Scripts for Monitoring Mangrove Forests in the Coastal Landscapes of Niger Delta, Nigeria.” </w:t>
      </w:r>
      <w:r>
        <w:rPr>
          <w:rFonts w:ascii="Calibri" w:hAnsi="Calibri" w:eastAsia="Times New Roman" w:cs="Times New Roman"/>
          <w:i/>
          <w:iCs/>
          <w14:ligatures w14:val="none"/>
        </w:rPr>
        <w:t>Journal of Marine Science and Engineering</w:t>
      </w:r>
      <w:r>
        <w:rPr>
          <w:rFonts w:ascii="Calibri" w:hAnsi="Calibri" w:eastAsia="Times New Roman" w:cs="Times New Roman"/>
          <w14:ligatures w14:val="none"/>
        </w:rPr>
        <w:t xml:space="preserve"> 11 (4): 871. https://doi.org/10.3390/jmse11040871.</w:t>
      </w:r>
    </w:p>
    <w:p w14:paraId="2938C91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Li, Baojie, --&gt;Dongxiang Chen, --&gt;Shaohua Wu, --&gt;Shenglu Zhou, Teng Wang, and Hao Chen. 2016. “Spatio-Temporal Assessment of Urbanization Impacts on Ecosystem Services: Case Study of Nanjing City, China.” </w:t>
      </w:r>
      <w:r>
        <w:rPr>
          <w:rFonts w:ascii="Calibri" w:hAnsi="Calibri" w:eastAsia="Times New Roman" w:cs="Times New Roman"/>
          <w:i/>
          <w:iCs/>
          <w14:ligatures w14:val="none"/>
        </w:rPr>
        <w:t>Ecological Indicators</w:t>
      </w:r>
      <w:r>
        <w:rPr>
          <w:rFonts w:ascii="Calibri" w:hAnsi="Calibri" w:eastAsia="Times New Roman" w:cs="Times New Roman"/>
          <w14:ligatures w14:val="none"/>
        </w:rPr>
        <w:t xml:space="preserve"> 71 (December): 416–27. https://doi.org/10.1016/j.ecolind.2016.07.017.</w:t>
      </w:r>
    </w:p>
    <w:p w14:paraId="0286A52A">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Lima, Luana Brito, Washington J. S. Franca Rocha, Deorgia T. M. Souza, et al. 2025. “Urban Quality: A Remote-Sensing-Perspective Review.” </w:t>
      </w:r>
      <w:r>
        <w:rPr>
          <w:rFonts w:ascii="Calibri" w:hAnsi="Calibri" w:eastAsia="Times New Roman" w:cs="Times New Roman"/>
          <w:i/>
          <w:iCs/>
          <w14:ligatures w14:val="none"/>
        </w:rPr>
        <w:t>Urban Science</w:t>
      </w:r>
      <w:r>
        <w:rPr>
          <w:rFonts w:ascii="Calibri" w:hAnsi="Calibri" w:eastAsia="Times New Roman" w:cs="Times New Roman"/>
          <w14:ligatures w14:val="none"/>
        </w:rPr>
        <w:t xml:space="preserve"> 9 (2): 31. https://doi.org/10.3390/urbansci9020031.</w:t>
      </w:r>
    </w:p>
    <w:p w14:paraId="027AE5C6">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Lin, Meixia, Tao Lin, Laurence Jones, et al. 2021. “Quantitatively Assessing Ecological Stress of Urbanization on Natural Ecosystems by Using a Landscape-Adjacency Index.” </w:t>
      </w:r>
      <w:r>
        <w:rPr>
          <w:rFonts w:ascii="Calibri" w:hAnsi="Calibri" w:eastAsia="Times New Roman" w:cs="Times New Roman"/>
          <w:i/>
          <w:iCs/>
          <w14:ligatures w14:val="none"/>
        </w:rPr>
        <w:t>Remote Sensing</w:t>
      </w:r>
      <w:r>
        <w:rPr>
          <w:rFonts w:ascii="Calibri" w:hAnsi="Calibri" w:eastAsia="Times New Roman" w:cs="Times New Roman"/>
          <w14:ligatures w14:val="none"/>
        </w:rPr>
        <w:t xml:space="preserve"> 13 (7): 1352. https://doi.org/10.3390/rs13071352.</w:t>
      </w:r>
    </w:p>
    <w:p w14:paraId="3FCD822C">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Liu, Naiyi, Zihan Liu, Felista Kasyoka Kilunda, Yanqi Liu, and Chao Qin. 2025. “Urban-Rural Gradient in Biodiversity Intactness across Global Cities.” </w:t>
      </w:r>
      <w:r>
        <w:rPr>
          <w:rFonts w:ascii="Calibri" w:hAnsi="Calibri" w:eastAsia="Times New Roman" w:cs="Times New Roman"/>
          <w:i/>
          <w:iCs/>
          <w14:ligatures w14:val="none"/>
        </w:rPr>
        <w:t>Ecological Informatics</w:t>
      </w:r>
      <w:r>
        <w:rPr>
          <w:rFonts w:ascii="Calibri" w:hAnsi="Calibri" w:eastAsia="Times New Roman" w:cs="Times New Roman"/>
          <w14:ligatures w14:val="none"/>
        </w:rPr>
        <w:t xml:space="preserve"> 90 (December): 103350. https://doi.org/10.1016/j.ecoinf.2025.103350.</w:t>
      </w:r>
    </w:p>
    <w:p w14:paraId="4A07A706">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Longo, Regina Márcia, Alessandra Leite Da Silva, Adélia N. Nunes, et al. 2023. “Analysis of Potential Supply of Ecosystem Services in Forest Remnants through Neural Networks.” </w:t>
      </w:r>
      <w:r>
        <w:rPr>
          <w:rFonts w:ascii="Calibri" w:hAnsi="Calibri" w:eastAsia="Times New Roman" w:cs="Times New Roman"/>
          <w:i/>
          <w:iCs/>
          <w14:ligatures w14:val="none"/>
        </w:rPr>
        <w:t>Sustainability</w:t>
      </w:r>
      <w:r>
        <w:rPr>
          <w:rFonts w:ascii="Calibri" w:hAnsi="Calibri" w:eastAsia="Times New Roman" w:cs="Times New Roman"/>
          <w14:ligatures w14:val="none"/>
        </w:rPr>
        <w:t xml:space="preserve"> 15 (20): 15017. https://doi.org/10.3390/su152015017.</w:t>
      </w:r>
    </w:p>
    <w:p w14:paraId="229F6999">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Loreau, Michel. 2000. “Biodiversity and Ecosystem Functioning: Recent Theoretical Advances.” </w:t>
      </w:r>
      <w:r>
        <w:rPr>
          <w:rFonts w:ascii="Calibri" w:hAnsi="Calibri" w:eastAsia="Times New Roman" w:cs="Times New Roman"/>
          <w:i/>
          <w:iCs/>
          <w14:ligatures w14:val="none"/>
        </w:rPr>
        <w:t>Oikos</w:t>
      </w:r>
      <w:r>
        <w:rPr>
          <w:rFonts w:ascii="Calibri" w:hAnsi="Calibri" w:eastAsia="Times New Roman" w:cs="Times New Roman"/>
          <w14:ligatures w14:val="none"/>
        </w:rPr>
        <w:t xml:space="preserve"> 91 (1): 3–17. https://doi.org/10.1034/j.1600-0706.2000.910101.x.</w:t>
      </w:r>
    </w:p>
    <w:p w14:paraId="58A2D2F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Lou, Chen, Mohammed A. A. Al-qaness, Dalal AL-Alimi, et al. 2025. “Land Use/Land Cover (LULC) Classification Using Hyperspectral Images: A Review.” </w:t>
      </w:r>
      <w:r>
        <w:rPr>
          <w:rFonts w:ascii="Calibri" w:hAnsi="Calibri" w:eastAsia="Times New Roman" w:cs="Times New Roman"/>
          <w:i/>
          <w:iCs/>
          <w14:ligatures w14:val="none"/>
        </w:rPr>
        <w:t>Geo-Spatial Information Science</w:t>
      </w:r>
      <w:r>
        <w:rPr>
          <w:rFonts w:ascii="Calibri" w:hAnsi="Calibri" w:eastAsia="Times New Roman" w:cs="Times New Roman"/>
          <w14:ligatures w14:val="none"/>
        </w:rPr>
        <w:t xml:space="preserve"> 28 (2): 345–86. https://doi.org/10.1080/10095020.2024.2332638.</w:t>
      </w:r>
    </w:p>
    <w:p w14:paraId="798368E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Luu, Quang-Hung, Man F. Lau, Sebastian P.H. Ng, and Tsong Yueh Chen. 2021. “Testing Multiple Linear Regression Systems with Metamorphic Testing.” </w:t>
      </w:r>
      <w:r>
        <w:rPr>
          <w:rFonts w:ascii="Calibri" w:hAnsi="Calibri" w:eastAsia="Times New Roman" w:cs="Times New Roman"/>
          <w:i/>
          <w:iCs/>
          <w14:ligatures w14:val="none"/>
        </w:rPr>
        <w:t>Journal of Systems and Software</w:t>
      </w:r>
      <w:r>
        <w:rPr>
          <w:rFonts w:ascii="Calibri" w:hAnsi="Calibri" w:eastAsia="Times New Roman" w:cs="Times New Roman"/>
          <w14:ligatures w14:val="none"/>
        </w:rPr>
        <w:t xml:space="preserve"> 182 (December): 111062. https://doi.org/10.1016/j.jss.2021.111062.</w:t>
      </w:r>
    </w:p>
    <w:p w14:paraId="415B46D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Macci, Cristina, Francesca Vannucchi, Andrea Scartazza, Grazia Masciandaro, Serena Doni, and Eleonora Peruzzi. 2025. “Soil–Plant Indicators for Assessing Nutrient Cycling and Ecosystem Functionality in Urban Forestry.” </w:t>
      </w:r>
      <w:r>
        <w:rPr>
          <w:rFonts w:ascii="Calibri" w:hAnsi="Calibri" w:eastAsia="Times New Roman" w:cs="Times New Roman"/>
          <w:i/>
          <w:iCs/>
          <w14:ligatures w14:val="none"/>
        </w:rPr>
        <w:t>Urban Science</w:t>
      </w:r>
      <w:r>
        <w:rPr>
          <w:rFonts w:ascii="Calibri" w:hAnsi="Calibri" w:eastAsia="Times New Roman" w:cs="Times New Roman"/>
          <w14:ligatures w14:val="none"/>
        </w:rPr>
        <w:t xml:space="preserve"> 9 (3): 82. https://doi.org/10.3390/urbansci9030082.</w:t>
      </w:r>
    </w:p>
    <w:p w14:paraId="65B9B4D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Marlow, Bailey N., and Blaine D. Griffen. 2025. “Urbanization Indices Development and Use in the Coastal Ecological Realm: A Review.” </w:t>
      </w:r>
      <w:r>
        <w:rPr>
          <w:rFonts w:ascii="Calibri" w:hAnsi="Calibri" w:eastAsia="Times New Roman" w:cs="Times New Roman"/>
          <w:i/>
          <w:iCs/>
          <w14:ligatures w14:val="none"/>
        </w:rPr>
        <w:t>Frontiers in Ecology and Evolution</w:t>
      </w:r>
      <w:r>
        <w:rPr>
          <w:rFonts w:ascii="Calibri" w:hAnsi="Calibri" w:eastAsia="Times New Roman" w:cs="Times New Roman"/>
          <w14:ligatures w14:val="none"/>
        </w:rPr>
        <w:t xml:space="preserve"> 13 (June): 1607614. https://doi.org/10.3389/fevo.2025.1607614.</w:t>
      </w:r>
    </w:p>
    <w:p w14:paraId="205B9D49">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Marques, Piatã, and Nicholas E. Mandrak. 2024. “Ecosystem Functions in Urban Stormwater Management Ponds: A Scoping Review.” </w:t>
      </w:r>
      <w:r>
        <w:rPr>
          <w:rFonts w:ascii="Calibri" w:hAnsi="Calibri" w:eastAsia="Times New Roman" w:cs="Times New Roman"/>
          <w:i/>
          <w:iCs/>
          <w14:ligatures w14:val="none"/>
        </w:rPr>
        <w:t>Sustainability</w:t>
      </w:r>
      <w:r>
        <w:rPr>
          <w:rFonts w:ascii="Calibri" w:hAnsi="Calibri" w:eastAsia="Times New Roman" w:cs="Times New Roman"/>
          <w14:ligatures w14:val="none"/>
        </w:rPr>
        <w:t xml:space="preserve"> 16 (17): 7766. https://doi.org/10.3390/su16177766.</w:t>
      </w:r>
    </w:p>
    <w:p w14:paraId="75ADB2B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Mas, Jean-François, Richard Lemoine-Rodríguez, Rafael González-López, Jairo López-Sánchez, Andrés Piña-Garduño, and Evelyn Herrera-Flores. 2017. “Land Use/Land Cover Change Detection Combining Automatic Processing and Visual Interpretation.” </w:t>
      </w:r>
      <w:r>
        <w:rPr>
          <w:rFonts w:ascii="Calibri" w:hAnsi="Calibri" w:eastAsia="Times New Roman" w:cs="Times New Roman"/>
          <w:i/>
          <w:iCs/>
          <w14:ligatures w14:val="none"/>
        </w:rPr>
        <w:t>European Journal of Remote Sensing</w:t>
      </w:r>
      <w:r>
        <w:rPr>
          <w:rFonts w:ascii="Calibri" w:hAnsi="Calibri" w:eastAsia="Times New Roman" w:cs="Times New Roman"/>
          <w14:ligatures w14:val="none"/>
        </w:rPr>
        <w:t xml:space="preserve"> 50 (1): 626–35. https://doi.org/10.1080/22797254.2017.1387505.</w:t>
      </w:r>
    </w:p>
    <w:p w14:paraId="23ACFA7B">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Mattoo, Rohini, Suman B. Mallikarjuna, and Naveenachar Hemachar. 2025. “Ecosystem and Climate Change Impacts on the Nitrogen Cycle and Biodiversity.” </w:t>
      </w:r>
      <w:r>
        <w:rPr>
          <w:rFonts w:ascii="Calibri" w:hAnsi="Calibri" w:eastAsia="Times New Roman" w:cs="Times New Roman"/>
          <w:i/>
          <w:iCs/>
          <w14:ligatures w14:val="none"/>
        </w:rPr>
        <w:t>Nitrogen</w:t>
      </w:r>
      <w:r>
        <w:rPr>
          <w:rFonts w:ascii="Calibri" w:hAnsi="Calibri" w:eastAsia="Times New Roman" w:cs="Times New Roman"/>
          <w14:ligatures w14:val="none"/>
        </w:rPr>
        <w:t xml:space="preserve"> 6 (3): 78. https://doi.org/10.3390/nitrogen6030078.</w:t>
      </w:r>
    </w:p>
    <w:p w14:paraId="3E1213EE">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Mbah, E.N., C.J. Ezeano, and M.O. Agado. 2016. </w:t>
      </w:r>
      <w:r>
        <w:rPr>
          <w:rFonts w:ascii="Calibri" w:hAnsi="Calibri" w:eastAsia="Times New Roman" w:cs="Times New Roman"/>
          <w:i/>
          <w:iCs/>
          <w14:ligatures w14:val="none"/>
        </w:rPr>
        <w:t>EFFECTS OF RURAL-URBAN YOUTH MIGRATION ON FARM FAMILIES IN BENUE STATE, NIGERIA</w:t>
      </w:r>
      <w:r>
        <w:rPr>
          <w:rFonts w:ascii="Calibri" w:hAnsi="Calibri" w:eastAsia="Times New Roman" w:cs="Times New Roman"/>
          <w14:ligatures w14:val="none"/>
        </w:rPr>
        <w:t>. https://doi.org/10.22004/AG.ECON.305397.</w:t>
      </w:r>
    </w:p>
    <w:p w14:paraId="569363BB">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McDaniel, Reid D., and Frances C. O’Donnell. 2019. “Assessment of Hydrologic Alteration Metrics for Detecting Urbanization Impacts.” </w:t>
      </w:r>
      <w:r>
        <w:rPr>
          <w:rFonts w:ascii="Calibri" w:hAnsi="Calibri" w:eastAsia="Times New Roman" w:cs="Times New Roman"/>
          <w:i/>
          <w:iCs/>
          <w14:ligatures w14:val="none"/>
        </w:rPr>
        <w:t>Water</w:t>
      </w:r>
      <w:r>
        <w:rPr>
          <w:rFonts w:ascii="Calibri" w:hAnsi="Calibri" w:eastAsia="Times New Roman" w:cs="Times New Roman"/>
          <w14:ligatures w14:val="none"/>
        </w:rPr>
        <w:t xml:space="preserve"> 11 (5): 1017. https://doi.org/10.3390/w11051017.</w:t>
      </w:r>
    </w:p>
    <w:p w14:paraId="6F65E7B4">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McPhearson, Timon, Steward T. A. Pickett, Nancy B. Grimm, et al. 2016. “Advancing Urban Ecology toward a Science of Cities.” </w:t>
      </w:r>
      <w:r>
        <w:rPr>
          <w:rFonts w:ascii="Calibri" w:hAnsi="Calibri" w:eastAsia="Times New Roman" w:cs="Times New Roman"/>
          <w:i/>
          <w:iCs/>
          <w14:ligatures w14:val="none"/>
        </w:rPr>
        <w:t>BioScience</w:t>
      </w:r>
      <w:r>
        <w:rPr>
          <w:rFonts w:ascii="Calibri" w:hAnsi="Calibri" w:eastAsia="Times New Roman" w:cs="Times New Roman"/>
          <w14:ligatures w14:val="none"/>
        </w:rPr>
        <w:t xml:space="preserve"> 66 (3): 198–212. https://doi.org/10.1093/biosci/biw002.</w:t>
      </w:r>
    </w:p>
    <w:p w14:paraId="3376DE6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Mhlanga, Philisiwe Felicity, Niké Susan Wesch, Moteng Elizabeth Moseri, Frank Harald Neumann, and Nomali Ziphorah Ngobese. 2025. “Greening African Cities for Sustainability: A Systematic Review of Urban Gardening’s Role in Biodiversity and Socio-Economic Resilience.” </w:t>
      </w:r>
      <w:r>
        <w:rPr>
          <w:rFonts w:ascii="Calibri" w:hAnsi="Calibri" w:eastAsia="Times New Roman" w:cs="Times New Roman"/>
          <w:i/>
          <w:iCs/>
          <w14:ligatures w14:val="none"/>
        </w:rPr>
        <w:t>Plants</w:t>
      </w:r>
      <w:r>
        <w:rPr>
          <w:rFonts w:ascii="Calibri" w:hAnsi="Calibri" w:eastAsia="Times New Roman" w:cs="Times New Roman"/>
          <w14:ligatures w14:val="none"/>
        </w:rPr>
        <w:t xml:space="preserve"> 14 (20): 3187. https://doi.org/10.3390/plants14203187.</w:t>
      </w:r>
    </w:p>
    <w:p w14:paraId="723DD79F">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Mitchell, Matthew G. E., Dan Wu, Kasper Johansen, Martine Maron, Clive McAlpine, and Jonathan R. Rhodes. 2016. “Landscape Structure Influences Urban Vegetation Vertical Structure.” </w:t>
      </w:r>
      <w:r>
        <w:rPr>
          <w:rFonts w:ascii="Calibri" w:hAnsi="Calibri" w:eastAsia="Times New Roman" w:cs="Times New Roman"/>
          <w:i/>
          <w:iCs/>
          <w14:ligatures w14:val="none"/>
        </w:rPr>
        <w:t>Journal of Applied Ecology</w:t>
      </w:r>
      <w:r>
        <w:rPr>
          <w:rFonts w:ascii="Calibri" w:hAnsi="Calibri" w:eastAsia="Times New Roman" w:cs="Times New Roman"/>
          <w14:ligatures w14:val="none"/>
        </w:rPr>
        <w:t xml:space="preserve"> 53 (5): 1477–88. https://doi.org/10.1111/1365-2664.12741.</w:t>
      </w:r>
    </w:p>
    <w:p w14:paraId="4985EB4B">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Mogîldea, Daniela, and Claudia Biță-Nicolae. 2024. “Ruderal Plant Diversity as a Driver for Urban Green Space Sustainability.” </w:t>
      </w:r>
      <w:r>
        <w:rPr>
          <w:rFonts w:ascii="Calibri" w:hAnsi="Calibri" w:eastAsia="Times New Roman" w:cs="Times New Roman"/>
          <w:i/>
          <w:iCs/>
          <w14:ligatures w14:val="none"/>
        </w:rPr>
        <w:t>Urban Science</w:t>
      </w:r>
      <w:r>
        <w:rPr>
          <w:rFonts w:ascii="Calibri" w:hAnsi="Calibri" w:eastAsia="Times New Roman" w:cs="Times New Roman"/>
          <w14:ligatures w14:val="none"/>
        </w:rPr>
        <w:t xml:space="preserve"> 8 (4): 159. https://doi.org/10.3390/urbansci8040159.</w:t>
      </w:r>
    </w:p>
    <w:p w14:paraId="31A071E4">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Mohajane, Meriame, Ali Essahlaoui, Fatiha Oudija, et al. 2018. “Land Use/Land Cover (LULC) Using Landsat Data Series (MSS, TM, ETM+ and OLI) in Azrou Forest, in the Central Middle Atlas of Morocco.” </w:t>
      </w:r>
      <w:r>
        <w:rPr>
          <w:rFonts w:ascii="Calibri" w:hAnsi="Calibri" w:eastAsia="Times New Roman" w:cs="Times New Roman"/>
          <w:i/>
          <w:iCs/>
          <w14:ligatures w14:val="none"/>
        </w:rPr>
        <w:t>Environments</w:t>
      </w:r>
      <w:r>
        <w:rPr>
          <w:rFonts w:ascii="Calibri" w:hAnsi="Calibri" w:eastAsia="Times New Roman" w:cs="Times New Roman"/>
          <w14:ligatures w14:val="none"/>
        </w:rPr>
        <w:t xml:space="preserve"> 5 (12): 131. https://doi.org/10.3390/environments5120131.</w:t>
      </w:r>
    </w:p>
    <w:p w14:paraId="733E02E7">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Mohammadi, S. A., and B. M. Prasanna. 2003. “Analysis of Genetic Diversity in Crop Plants—Salient Statistical Tools and Considerations.” </w:t>
      </w:r>
      <w:r>
        <w:rPr>
          <w:rFonts w:ascii="Calibri" w:hAnsi="Calibri" w:eastAsia="Times New Roman" w:cs="Times New Roman"/>
          <w:i/>
          <w:iCs/>
          <w14:ligatures w14:val="none"/>
        </w:rPr>
        <w:t>Crop Science</w:t>
      </w:r>
      <w:r>
        <w:rPr>
          <w:rFonts w:ascii="Calibri" w:hAnsi="Calibri" w:eastAsia="Times New Roman" w:cs="Times New Roman"/>
          <w14:ligatures w14:val="none"/>
        </w:rPr>
        <w:t xml:space="preserve"> 43 (4): 1235–48. https://doi.org/10.2135/cropsci2003.1235.</w:t>
      </w:r>
    </w:p>
    <w:p w14:paraId="2D025846">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Moi, Dieison André, Raúl García-Ríos, Zhu Hong, Bruno Vinicius Daquila, and Roger Paulo Mormul. 2020. “Intermediate Disturbance Hypothesis in Ecology: A Literature Review.” </w:t>
      </w:r>
      <w:r>
        <w:rPr>
          <w:rFonts w:ascii="Calibri" w:hAnsi="Calibri" w:eastAsia="Times New Roman" w:cs="Times New Roman"/>
          <w:i/>
          <w:iCs/>
          <w14:ligatures w14:val="none"/>
        </w:rPr>
        <w:t>Annales Zoologici Fennici</w:t>
      </w:r>
      <w:r>
        <w:rPr>
          <w:rFonts w:ascii="Calibri" w:hAnsi="Calibri" w:eastAsia="Times New Roman" w:cs="Times New Roman"/>
          <w14:ligatures w14:val="none"/>
        </w:rPr>
        <w:t xml:space="preserve"> 57 (1–6): 67. https://doi.org/10.5735/086.057.0108.</w:t>
      </w:r>
    </w:p>
    <w:p w14:paraId="4E012EC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Moll, Remington J., Jonathon D. Cepek, Patrick D. Lorch, et al. 2019. “What Does Urbanization Actually Mean? A Framework for Urban Metrics in Wildlife Research.” </w:t>
      </w:r>
      <w:r>
        <w:rPr>
          <w:rFonts w:ascii="Calibri" w:hAnsi="Calibri" w:eastAsia="Times New Roman" w:cs="Times New Roman"/>
          <w:i/>
          <w:iCs/>
          <w14:ligatures w14:val="none"/>
        </w:rPr>
        <w:t>Journal of Applied Ecology</w:t>
      </w:r>
      <w:r>
        <w:rPr>
          <w:rFonts w:ascii="Calibri" w:hAnsi="Calibri" w:eastAsia="Times New Roman" w:cs="Times New Roman"/>
          <w14:ligatures w14:val="none"/>
        </w:rPr>
        <w:t xml:space="preserve"> 56 (5): 1289–300. https://doi.org/10.1111/1365-2664.13358.</w:t>
      </w:r>
    </w:p>
    <w:p w14:paraId="1E6B53DE">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Mollashahi, Hassanali, and Magdalena Szymura. 2022. “Urban Ecosystem: An Interaction of Biological and Physical Components.” In </w:t>
      </w:r>
      <w:r>
        <w:rPr>
          <w:rFonts w:ascii="Calibri" w:hAnsi="Calibri" w:eastAsia="Times New Roman" w:cs="Times New Roman"/>
          <w:i/>
          <w:iCs/>
          <w14:ligatures w14:val="none"/>
        </w:rPr>
        <w:t>Biodiversity of Ecosystems</w:t>
      </w:r>
      <w:r>
        <w:rPr>
          <w:rFonts w:ascii="Calibri" w:hAnsi="Calibri" w:eastAsia="Times New Roman" w:cs="Times New Roman"/>
          <w14:ligatures w14:val="none"/>
        </w:rPr>
        <w:t>, edited by Levente Hufnagel. IntechOpen. https://doi.org/10.5772/intechopen.97742.</w:t>
      </w:r>
    </w:p>
    <w:p w14:paraId="167D3681">
      <w:pPr>
        <w:spacing w:before="100" w:beforeAutospacing="1" w:line="256" w:lineRule="auto"/>
        <w:rPr>
          <w:rFonts w:ascii="Calibri" w:hAnsi="Calibri" w:eastAsia="Times New Roman" w:cs="Times New Roman"/>
          <w14:ligatures w14:val="none"/>
        </w:rPr>
      </w:pPr>
      <w:r>
        <w:rPr>
          <w:rFonts w:ascii="Calibri" w:hAnsi="Calibri" w:eastAsia="Times New Roman" w:cs="Times New Roman"/>
          <w:lang w:val="de-DE"/>
          <w14:ligatures w14:val="none"/>
        </w:rPr>
        <w:t xml:space="preserve">Mu, Weiyi, Ning Han, Zhi Qu, et al. 2024. </w:t>
      </w:r>
      <w:r>
        <w:rPr>
          <w:rFonts w:ascii="Calibri" w:hAnsi="Calibri" w:eastAsia="Times New Roman" w:cs="Times New Roman"/>
          <w14:ligatures w14:val="none"/>
        </w:rPr>
        <w:t xml:space="preserve">“ECWS: Soil Salinity Measurement Method Based on Electrical Conductivity and Moisture Content.” </w:t>
      </w:r>
      <w:r>
        <w:rPr>
          <w:rFonts w:ascii="Calibri" w:hAnsi="Calibri" w:eastAsia="Times New Roman" w:cs="Times New Roman"/>
          <w:i/>
          <w:iCs/>
          <w14:ligatures w14:val="none"/>
        </w:rPr>
        <w:t>Agronomy</w:t>
      </w:r>
      <w:r>
        <w:rPr>
          <w:rFonts w:ascii="Calibri" w:hAnsi="Calibri" w:eastAsia="Times New Roman" w:cs="Times New Roman"/>
          <w14:ligatures w14:val="none"/>
        </w:rPr>
        <w:t xml:space="preserve"> 14 (7): 1345. https://doi.org/10.3390/agronomy14071345.</w:t>
      </w:r>
    </w:p>
    <w:p w14:paraId="5CA0B7F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Murayama, Yuji, and Ronald C. Estoque. 2020. “Urbanization: Concept, Mechanism, and Global Implications.” In </w:t>
      </w:r>
      <w:r>
        <w:rPr>
          <w:rFonts w:ascii="Calibri" w:hAnsi="Calibri" w:eastAsia="Times New Roman" w:cs="Times New Roman"/>
          <w:i/>
          <w:iCs/>
          <w14:ligatures w14:val="none"/>
        </w:rPr>
        <w:t>Human Geoscience</w:t>
      </w:r>
      <w:r>
        <w:rPr>
          <w:rFonts w:ascii="Calibri" w:hAnsi="Calibri" w:eastAsia="Times New Roman" w:cs="Times New Roman"/>
          <w14:ligatures w14:val="none"/>
        </w:rPr>
        <w:t>, edited by Yukio Himiyama, Kenji Satake, and Taikan Oki. Advances in Geological Science. Springer Singapore. https://doi.org/10.1007/978-981-32-9224-6_19.</w:t>
      </w:r>
    </w:p>
    <w:p w14:paraId="1CBDAAE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Nababa, I. I. 2023. </w:t>
      </w:r>
      <w:r>
        <w:rPr>
          <w:rFonts w:ascii="Calibri" w:hAnsi="Calibri" w:eastAsia="Times New Roman" w:cs="Times New Roman"/>
          <w:i/>
          <w:iCs/>
          <w14:ligatures w14:val="none"/>
        </w:rPr>
        <w:t>Monitoring and Modelling Disturbances to the Niger Delta Mangrove Forests</w:t>
      </w:r>
      <w:r>
        <w:rPr>
          <w:rFonts w:ascii="Calibri" w:hAnsi="Calibri" w:eastAsia="Times New Roman" w:cs="Times New Roman"/>
          <w14:ligatures w14:val="none"/>
        </w:rPr>
        <w:t>. https://e-space.mmu.ac.uk/id/eprint/631020.</w:t>
      </w:r>
    </w:p>
    <w:p w14:paraId="3351967D">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Naveh, Z, and A. S. Lieberman. 2013. “Landscape Ecology: Theory and Application.” </w:t>
      </w:r>
      <w:r>
        <w:rPr>
          <w:rFonts w:ascii="Calibri" w:hAnsi="Calibri" w:eastAsia="Times New Roman" w:cs="Times New Roman"/>
          <w:i/>
          <w:iCs/>
          <w14:ligatures w14:val="none"/>
        </w:rPr>
        <w:t>Springer Science &amp; Business Media.</w:t>
      </w:r>
    </w:p>
    <w:p w14:paraId="5C0712F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Nedd, R., K Light, M. Owens, N James, E Johnson, and A Anandhi. 2021. </w:t>
      </w:r>
      <w:r>
        <w:rPr>
          <w:rFonts w:ascii="Calibri" w:hAnsi="Calibri" w:eastAsia="Times New Roman" w:cs="Times New Roman"/>
          <w:i/>
          <w:iCs/>
          <w14:ligatures w14:val="none"/>
        </w:rPr>
        <w:t>A Synthesis of Land Use/Land Cover Studies: Definitions, Classification Systems, Meta-Studies, Challenges and Knowledge Gaps on a Global Landscape.</w:t>
      </w:r>
      <w:r>
        <w:rPr>
          <w:rFonts w:ascii="Calibri" w:hAnsi="Calibri" w:eastAsia="Times New Roman" w:cs="Times New Roman"/>
          <w14:ligatures w14:val="none"/>
        </w:rPr>
        <w:t xml:space="preserve"> Land, 10(9): 994.</w:t>
      </w:r>
    </w:p>
    <w:p w14:paraId="166ED071">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Nero, B. F. 2017. </w:t>
      </w:r>
      <w:r>
        <w:rPr>
          <w:rFonts w:ascii="Calibri" w:hAnsi="Calibri" w:eastAsia="Times New Roman" w:cs="Times New Roman"/>
          <w:i/>
          <w:iCs/>
          <w14:ligatures w14:val="none"/>
        </w:rPr>
        <w:t>Urban Green Spaces Enhance Carbon Sequestration and Conserve Biodiversity in Cities of the Global South: Case of Kumasi, Ghana (Doctoral Dissertation, Rheinische Friedrich-Wilhelms-Universität Bonn).</w:t>
      </w:r>
      <w:r>
        <w:rPr>
          <w:rFonts w:ascii="Calibri" w:hAnsi="Calibri" w:eastAsia="Times New Roman" w:cs="Times New Roman"/>
          <w14:ligatures w14:val="none"/>
        </w:rPr>
        <w:t xml:space="preserve"> https://hdl.handle.net/20.500.11811/7002.</w:t>
      </w:r>
    </w:p>
    <w:p w14:paraId="343F429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Nsor, Collins Ayine, John Nkrumah Mensah, and Vincent Agumenu. 2021. “Riparian Vegetation Dynamics in Protected and Unprotected Areas, Kumawu District—Ashanti Region (Ghana).” </w:t>
      </w:r>
      <w:r>
        <w:rPr>
          <w:rFonts w:ascii="Calibri" w:hAnsi="Calibri" w:eastAsia="Times New Roman" w:cs="Times New Roman"/>
          <w:i/>
          <w:iCs/>
          <w14:ligatures w14:val="none"/>
        </w:rPr>
        <w:t>Tropical Ecology</w:t>
      </w:r>
      <w:r>
        <w:rPr>
          <w:rFonts w:ascii="Calibri" w:hAnsi="Calibri" w:eastAsia="Times New Roman" w:cs="Times New Roman"/>
          <w14:ligatures w14:val="none"/>
        </w:rPr>
        <w:t xml:space="preserve"> 62 (3): 329–46. https://doi.org/10.1007/s42965-021-00147-4.</w:t>
      </w:r>
    </w:p>
    <w:p w14:paraId="79E95B09">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Núñez, Eduardo, Ewout W. Steyerberg, and Julio Núñez. 2011. “Regression Modeling Strategies.” </w:t>
      </w:r>
      <w:r>
        <w:rPr>
          <w:rFonts w:ascii="Calibri" w:hAnsi="Calibri" w:eastAsia="Times New Roman" w:cs="Times New Roman"/>
          <w:i/>
          <w:iCs/>
          <w14:ligatures w14:val="none"/>
        </w:rPr>
        <w:t>Revista Española de Cardiología (English Edition)</w:t>
      </w:r>
      <w:r>
        <w:rPr>
          <w:rFonts w:ascii="Calibri" w:hAnsi="Calibri" w:eastAsia="Times New Roman" w:cs="Times New Roman"/>
          <w14:ligatures w14:val="none"/>
        </w:rPr>
        <w:t xml:space="preserve"> 64 (6): 501–7. https://doi.org/10.1016/j.rec.2011.01.017.</w:t>
      </w:r>
    </w:p>
    <w:p w14:paraId="0856687A">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Obateru, Rotimi Oluseyi, Appollonia Aimiosino Okhimamhe, Olutoyin Adeola Fashae, Adeyemi Oludapo Olusola, Deirdre Dragovich, and Christopher Conrad. 2025. “Assessing the Status of Ecosystem Regulating Services in the Urbanising Rainforest and Guinea Savanna Ecological Regions of Nigeria Using InVEST Models.” </w:t>
      </w:r>
      <w:r>
        <w:rPr>
          <w:rFonts w:ascii="Calibri" w:hAnsi="Calibri" w:eastAsia="Times New Roman" w:cs="Times New Roman"/>
          <w:i/>
          <w:iCs/>
          <w14:ligatures w14:val="none"/>
        </w:rPr>
        <w:t>Urban Climate</w:t>
      </w:r>
      <w:r>
        <w:rPr>
          <w:rFonts w:ascii="Calibri" w:hAnsi="Calibri" w:eastAsia="Times New Roman" w:cs="Times New Roman"/>
          <w14:ligatures w14:val="none"/>
        </w:rPr>
        <w:t xml:space="preserve"> 61 (June): 102410. https://doi.org/10.1016/j.uclim.2025.102410.</w:t>
      </w:r>
    </w:p>
    <w:p w14:paraId="75F2BBB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Odhiambo, S. 2022. </w:t>
      </w:r>
      <w:r>
        <w:rPr>
          <w:rFonts w:ascii="Calibri" w:hAnsi="Calibri" w:eastAsia="Times New Roman" w:cs="Times New Roman"/>
          <w:i/>
          <w:iCs/>
          <w14:ligatures w14:val="none"/>
        </w:rPr>
        <w:t>Predicting Urban Sprawl Patterns around Eldoret Town Using Remote Sensing and GIS Techniques (Master’s Thesis</w:t>
      </w:r>
      <w:r>
        <w:rPr>
          <w:rFonts w:ascii="Calibri" w:hAnsi="Calibri" w:eastAsia="Times New Roman" w:cs="Times New Roman"/>
          <w14:ligatures w14:val="none"/>
        </w:rPr>
        <w:t>. [Institution not specified]. http://41.89.164.27:8080/xmlui/handle/123456789/1769.</w:t>
      </w:r>
    </w:p>
    <w:p w14:paraId="7C17C8BF">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Ogwu, Matthew Chidozie. 2019. “Towards Sustainable Development in Africa: The Challenge of Urbanization and Climate Change Adaptation.” In </w:t>
      </w:r>
      <w:r>
        <w:rPr>
          <w:rFonts w:ascii="Calibri" w:hAnsi="Calibri" w:eastAsia="Times New Roman" w:cs="Times New Roman"/>
          <w:i/>
          <w:iCs/>
          <w14:ligatures w14:val="none"/>
        </w:rPr>
        <w:t>The Geography of Climate Change Adaptation in Urban Africa</w:t>
      </w:r>
      <w:r>
        <w:rPr>
          <w:rFonts w:ascii="Calibri" w:hAnsi="Calibri" w:eastAsia="Times New Roman" w:cs="Times New Roman"/>
          <w14:ligatures w14:val="none"/>
        </w:rPr>
        <w:t>, edited by Patrick Brandful Cobbinah and Michael Addaney. Springer International Publishing. https://doi.org/10.1007/978-3-030-04873-0_2.</w:t>
      </w:r>
    </w:p>
    <w:p w14:paraId="377D3801">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Oladunmoye, Oluranti. 2024. “RAPID URBANIZATION AND THE NIGERIAN LANDSCAPE: THE GAINS, THE MENACES, AND STRATEGIES FOR FUTURE SUCCESS.” </w:t>
      </w:r>
      <w:r>
        <w:rPr>
          <w:rFonts w:ascii="Calibri" w:hAnsi="Calibri" w:eastAsia="Times New Roman" w:cs="Times New Roman"/>
          <w:i/>
          <w:iCs/>
          <w14:ligatures w14:val="none"/>
        </w:rPr>
        <w:t>Social Informatics Journal</w:t>
      </w:r>
      <w:r>
        <w:rPr>
          <w:rFonts w:ascii="Calibri" w:hAnsi="Calibri" w:eastAsia="Times New Roman" w:cs="Times New Roman"/>
          <w14:ligatures w14:val="none"/>
        </w:rPr>
        <w:t xml:space="preserve"> 3 (1): 39–44. https://doi.org/10.58898/sij.v3i1.39-44.</w:t>
      </w:r>
    </w:p>
    <w:p w14:paraId="59DA588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Olchowik, Jacek, Paweł Jankowski, Marzena Suchocka, Tadeusz Malewski, Adam Wiesiołek, and Dorota Hilszczańska. 2023. “The Impact of Anthropogenic Transformation of Urban Soils on Ectomycorrhizal Fungal Communities Associated with Silver Birch (Betula Pendula Roth.) Growth in Natural versus Urban Soils.” </w:t>
      </w:r>
      <w:r>
        <w:rPr>
          <w:rFonts w:ascii="Calibri" w:hAnsi="Calibri" w:eastAsia="Times New Roman" w:cs="Times New Roman"/>
          <w:i/>
          <w:iCs/>
          <w14:ligatures w14:val="none"/>
        </w:rPr>
        <w:t>Scientific Reports</w:t>
      </w:r>
      <w:r>
        <w:rPr>
          <w:rFonts w:ascii="Calibri" w:hAnsi="Calibri" w:eastAsia="Times New Roman" w:cs="Times New Roman"/>
          <w14:ligatures w14:val="none"/>
        </w:rPr>
        <w:t xml:space="preserve"> 13 (1): 21268. https://doi.org/10.1038/s41598-023-48592-6.</w:t>
      </w:r>
    </w:p>
    <w:p w14:paraId="2882140C">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Olusola Helen Adekanmbi, Okwong John Walter, Nchedochukwu Clara Ikegbunam, and Fatimoh Towobola Afolabi. 2023. “Changes in Vegetation in Relation to Human Activities in Atlas Cove, Lagos, Nigeria.” </w:t>
      </w:r>
      <w:r>
        <w:rPr>
          <w:rFonts w:ascii="Calibri" w:hAnsi="Calibri" w:eastAsia="Times New Roman" w:cs="Times New Roman"/>
          <w:i/>
          <w:iCs/>
          <w14:ligatures w14:val="none"/>
        </w:rPr>
        <w:t>Journal of Tropical Resources and Sustainable Science (JTRSS)</w:t>
      </w:r>
      <w:r>
        <w:rPr>
          <w:rFonts w:ascii="Calibri" w:hAnsi="Calibri" w:eastAsia="Times New Roman" w:cs="Times New Roman"/>
          <w14:ligatures w14:val="none"/>
        </w:rPr>
        <w:t xml:space="preserve"> 11 (1): 55–63. https://doi.org/10.47253/jtrss.v11i1.1098.</w:t>
      </w:r>
    </w:p>
    <w:p w14:paraId="2147D944">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Onandia, Gabriela, Conrad Schittko, Masahiro Ryo, et al. 2019. “Ecosystem Functioning in Urban Grasslands: The Role of Biodiversity, Plant Invasions and Urbanization.” </w:t>
      </w:r>
      <w:r>
        <w:rPr>
          <w:rFonts w:ascii="Calibri" w:hAnsi="Calibri" w:eastAsia="Times New Roman" w:cs="Times New Roman"/>
          <w:i/>
          <w:iCs/>
          <w14:ligatures w14:val="none"/>
        </w:rPr>
        <w:t>PLOS ONE</w:t>
      </w:r>
      <w:r>
        <w:rPr>
          <w:rFonts w:ascii="Calibri" w:hAnsi="Calibri" w:eastAsia="Times New Roman" w:cs="Times New Roman"/>
          <w14:ligatures w14:val="none"/>
        </w:rPr>
        <w:t xml:space="preserve"> 14 (11): e0225438. https://doi.org/10.1371/journal.pone.0225438.</w:t>
      </w:r>
    </w:p>
    <w:p w14:paraId="5C66D56D">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Onyango, Sharon Anyango. 2024. </w:t>
      </w:r>
      <w:r>
        <w:rPr>
          <w:rFonts w:ascii="Calibri" w:hAnsi="Calibri" w:eastAsia="Times New Roman" w:cs="Times New Roman"/>
          <w:i/>
          <w:iCs/>
          <w14:ligatures w14:val="none"/>
        </w:rPr>
        <w:t>Land Use and Vegetation Changes Impact on Thermal Comfort in Urban Open Spaces of Nairobi City, Kenya</w:t>
      </w:r>
      <w:r>
        <w:rPr>
          <w:rFonts w:ascii="Calibri" w:hAnsi="Calibri" w:eastAsia="Times New Roman" w:cs="Times New Roman"/>
          <w14:ligatures w14:val="none"/>
        </w:rPr>
        <w:t>. http://localhost/xmlui/handle/123456789/6354.</w:t>
      </w:r>
    </w:p>
    <w:p w14:paraId="70169AA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Ossola, Alessandro, Dexter Locke, Brenda Lin, and Emily Minor. 2019. “Greening in Style: Urban Form, Architecture and the Structure of Front and Backyard Vegetation.” </w:t>
      </w:r>
      <w:r>
        <w:rPr>
          <w:rFonts w:ascii="Calibri" w:hAnsi="Calibri" w:eastAsia="Times New Roman" w:cs="Times New Roman"/>
          <w:i/>
          <w:iCs/>
          <w14:ligatures w14:val="none"/>
        </w:rPr>
        <w:t>Landscape and Urban Planning</w:t>
      </w:r>
      <w:r>
        <w:rPr>
          <w:rFonts w:ascii="Calibri" w:hAnsi="Calibri" w:eastAsia="Times New Roman" w:cs="Times New Roman"/>
          <w14:ligatures w14:val="none"/>
        </w:rPr>
        <w:t xml:space="preserve"> 185 (May): 141–57. https://doi.org/10.1016/j.landurbplan.2019.02.014.</w:t>
      </w:r>
    </w:p>
    <w:p w14:paraId="2E36D8C6">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Owolabi David. 2019. </w:t>
      </w:r>
      <w:r>
        <w:rPr>
          <w:rFonts w:ascii="Calibri" w:hAnsi="Calibri" w:eastAsia="Times New Roman" w:cs="Times New Roman"/>
          <w:i/>
          <w:iCs/>
          <w14:ligatures w14:val="none"/>
        </w:rPr>
        <w:t>Forest Loss in Nigeria, the Impact on Climate and People from the Perspectives of Illegal Forest Activities and Government Negligence.</w:t>
      </w:r>
      <w:r>
        <w:rPr>
          <w:rFonts w:ascii="Calibri" w:hAnsi="Calibri" w:eastAsia="Times New Roman" w:cs="Times New Roman"/>
          <w14:ligatures w14:val="none"/>
        </w:rPr>
        <w:t xml:space="preserve"> https://doi.org/10.13140/RG.2.2.16994.17603.</w:t>
      </w:r>
    </w:p>
    <w:p w14:paraId="0926E61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Pan, Xubin. 2013. “Fundamental Equations for Species-Area Theory.” </w:t>
      </w:r>
      <w:r>
        <w:rPr>
          <w:rFonts w:ascii="Calibri" w:hAnsi="Calibri" w:eastAsia="Times New Roman" w:cs="Times New Roman"/>
          <w:i/>
          <w:iCs/>
          <w14:ligatures w14:val="none"/>
        </w:rPr>
        <w:t>Scientific Reports</w:t>
      </w:r>
      <w:r>
        <w:rPr>
          <w:rFonts w:ascii="Calibri" w:hAnsi="Calibri" w:eastAsia="Times New Roman" w:cs="Times New Roman"/>
          <w14:ligatures w14:val="none"/>
        </w:rPr>
        <w:t xml:space="preserve"> 3 (1): 1334. https://doi.org/10.1038/srep01334.</w:t>
      </w:r>
    </w:p>
    <w:p w14:paraId="3455E91B">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Panagos, M.D., and B.K. Reilly. 2006. “Use of an Area-Based Survey Technique to Detect Vegetation Changes in Sour Bushveld.” </w:t>
      </w:r>
      <w:r>
        <w:rPr>
          <w:rFonts w:ascii="Calibri" w:hAnsi="Calibri" w:eastAsia="Times New Roman" w:cs="Times New Roman"/>
          <w:i/>
          <w:iCs/>
          <w14:ligatures w14:val="none"/>
        </w:rPr>
        <w:t>Koedoe</w:t>
      </w:r>
      <w:r>
        <w:rPr>
          <w:rFonts w:ascii="Calibri" w:hAnsi="Calibri" w:eastAsia="Times New Roman" w:cs="Times New Roman"/>
          <w14:ligatures w14:val="none"/>
        </w:rPr>
        <w:t xml:space="preserve"> 49 (1): 69–78. https://doi.org/10.4102/koedoe.v49i1.105.</w:t>
      </w:r>
    </w:p>
    <w:p w14:paraId="5EDC8819">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Phiri, M. 2020. </w:t>
      </w:r>
      <w:r>
        <w:rPr>
          <w:rFonts w:ascii="Calibri" w:hAnsi="Calibri" w:eastAsia="Times New Roman" w:cs="Times New Roman"/>
          <w:i/>
          <w:iCs/>
          <w14:ligatures w14:val="none"/>
        </w:rPr>
        <w:t>Spatial and Temporal Assessment of Vegetation Indices and Climatic Variables: The Case of Eastern Cape Province, South Africa. University of Johannesburg (South Africa).</w:t>
      </w:r>
    </w:p>
    <w:p w14:paraId="4D5E186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Pinho, Pedro, Joan Casanelles-Abella, Ana Catarina Luz, et al. 2021. “Research Agenda on Biodiversity and Ecosystem Functions and Services in European Cities.” </w:t>
      </w:r>
      <w:r>
        <w:rPr>
          <w:rFonts w:ascii="Calibri" w:hAnsi="Calibri" w:eastAsia="Times New Roman" w:cs="Times New Roman"/>
          <w:i/>
          <w:iCs/>
          <w14:ligatures w14:val="none"/>
        </w:rPr>
        <w:t>Basic and Applied Ecology</w:t>
      </w:r>
      <w:r>
        <w:rPr>
          <w:rFonts w:ascii="Calibri" w:hAnsi="Calibri" w:eastAsia="Times New Roman" w:cs="Times New Roman"/>
          <w14:ligatures w14:val="none"/>
        </w:rPr>
        <w:t xml:space="preserve"> 53 (June): 124–33. https://doi.org/10.1016/j.baae.2021.02.014.</w:t>
      </w:r>
    </w:p>
    <w:p w14:paraId="2DD9E6EE">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Prakash, S, and A. K Verma. 2022. “Anthropogenic Activities and Biodiversity Threats.” </w:t>
      </w:r>
      <w:r>
        <w:rPr>
          <w:rFonts w:ascii="Calibri" w:hAnsi="Calibri" w:eastAsia="Times New Roman" w:cs="Times New Roman"/>
          <w:i/>
          <w:iCs/>
          <w14:ligatures w14:val="none"/>
        </w:rPr>
        <w:t>International Journal of Biological Innovations</w:t>
      </w:r>
      <w:r>
        <w:rPr>
          <w:rFonts w:ascii="Calibri" w:hAnsi="Calibri" w:eastAsia="Times New Roman" w:cs="Times New Roman"/>
          <w14:ligatures w14:val="none"/>
        </w:rPr>
        <w:t xml:space="preserve"> 4(1) (4): 94-103.</w:t>
      </w:r>
    </w:p>
    <w:p w14:paraId="1B7CF9F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Priya, M V, R Kalpana, S Pazhanivelan, et al. 2023. “Monitoring Vegetation Dynamics Using Multi-Temporal Normalized Difference Vegetation Index (NDVI) and Enhanced Vegetation Index (EVI) Images of Tamil Nadu.” </w:t>
      </w:r>
      <w:r>
        <w:rPr>
          <w:rFonts w:ascii="Calibri" w:hAnsi="Calibri" w:eastAsia="Times New Roman" w:cs="Times New Roman"/>
          <w:i/>
          <w:iCs/>
          <w14:ligatures w14:val="none"/>
        </w:rPr>
        <w:t>Journal of Applied and Natural Science</w:t>
      </w:r>
      <w:r>
        <w:rPr>
          <w:rFonts w:ascii="Calibri" w:hAnsi="Calibri" w:eastAsia="Times New Roman" w:cs="Times New Roman"/>
          <w14:ligatures w14:val="none"/>
        </w:rPr>
        <w:t xml:space="preserve"> 15 (3): 1170–77. https://doi.org/10.31018/jans.v15i3.4803.</w:t>
      </w:r>
    </w:p>
    <w:p w14:paraId="248DAFAD">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Pumain, Denise, Fabien Paulus, Céline Vacchiani-Marcuzzo, and José Lobo. 2006. “An Evolutionary Theory for Interpreting Urban Scaling Laws.” </w:t>
      </w:r>
      <w:r>
        <w:rPr>
          <w:rFonts w:ascii="Calibri" w:hAnsi="Calibri" w:eastAsia="Times New Roman" w:cs="Times New Roman"/>
          <w:i/>
          <w:iCs/>
          <w14:ligatures w14:val="none"/>
        </w:rPr>
        <w:t>Cybergeo</w:t>
      </w:r>
      <w:r>
        <w:rPr>
          <w:rFonts w:ascii="Calibri" w:hAnsi="Calibri" w:eastAsia="Times New Roman" w:cs="Times New Roman"/>
          <w14:ligatures w14:val="none"/>
        </w:rPr>
        <w:t>, ahead of print, July 5. https://doi.org/10.4000/cybergeo.2519.</w:t>
      </w:r>
    </w:p>
    <w:p w14:paraId="6A9955DD">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Qi, Rui, Xiayan Zhou, Zihao Li, et al. 2024. “Plant Diversity Distribution along an Urbanization Gradient and Relationships with Environmental Factors in Urban Agglomerations of Henan Province, China.” </w:t>
      </w:r>
      <w:r>
        <w:rPr>
          <w:rFonts w:ascii="Calibri" w:hAnsi="Calibri" w:eastAsia="Times New Roman" w:cs="Times New Roman"/>
          <w:i/>
          <w:iCs/>
          <w14:ligatures w14:val="none"/>
        </w:rPr>
        <w:t>Diversity</w:t>
      </w:r>
      <w:r>
        <w:rPr>
          <w:rFonts w:ascii="Calibri" w:hAnsi="Calibri" w:eastAsia="Times New Roman" w:cs="Times New Roman"/>
          <w14:ligatures w14:val="none"/>
        </w:rPr>
        <w:t xml:space="preserve"> 16 (1): 53. https://doi.org/10.3390/d16010053.</w:t>
      </w:r>
    </w:p>
    <w:p w14:paraId="177FED35">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Radoine, Hassan, Salwa Bajja, Francis Dakyaga, et al. 2024. “Modelling the Dynamics of Urbanization for Urban Sustainability in West Africa.” </w:t>
      </w:r>
      <w:r>
        <w:rPr>
          <w:rFonts w:ascii="Calibri" w:hAnsi="Calibri" w:eastAsia="Times New Roman" w:cs="Times New Roman"/>
          <w:i/>
          <w:iCs/>
          <w14:ligatures w14:val="none"/>
        </w:rPr>
        <w:t>Journal of Urban Management</w:t>
      </w:r>
      <w:r>
        <w:rPr>
          <w:rFonts w:ascii="Calibri" w:hAnsi="Calibri" w:eastAsia="Times New Roman" w:cs="Times New Roman"/>
          <w14:ligatures w14:val="none"/>
        </w:rPr>
        <w:t xml:space="preserve"> 13 (4): 580–95. https://doi.org/10.1016/j.jum.2024.06.004.</w:t>
      </w:r>
    </w:p>
    <w:p w14:paraId="21BBCFA4">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Ramil Abbasov. 2025. “The Impact of Climate Change on Urbanization Processes: Comprehensive Analysis.” </w:t>
      </w:r>
      <w:r>
        <w:rPr>
          <w:rFonts w:ascii="Calibri" w:hAnsi="Calibri" w:eastAsia="Times New Roman" w:cs="Times New Roman"/>
          <w:i/>
          <w:iCs/>
          <w14:ligatures w14:val="none"/>
        </w:rPr>
        <w:t>International Journal of Science and Research Archive</w:t>
      </w:r>
      <w:r>
        <w:rPr>
          <w:rFonts w:ascii="Calibri" w:hAnsi="Calibri" w:eastAsia="Times New Roman" w:cs="Times New Roman"/>
          <w14:ligatures w14:val="none"/>
        </w:rPr>
        <w:t xml:space="preserve"> 14 (3): 713–19. https://doi.org/10.30574/ijsra.2025.14.3.0634.</w:t>
      </w:r>
    </w:p>
    <w:p w14:paraId="3D1981B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Reddy, D. Sushma, and P. Rama Chandra Prasad. 2018. “Prediction of Vegetation Dynamics Using NDVI Time Series Data and LSTM.” </w:t>
      </w:r>
      <w:r>
        <w:rPr>
          <w:rFonts w:ascii="Calibri" w:hAnsi="Calibri" w:eastAsia="Times New Roman" w:cs="Times New Roman"/>
          <w:i/>
          <w:iCs/>
          <w14:ligatures w14:val="none"/>
        </w:rPr>
        <w:t>Modeling Earth Systems and Environment</w:t>
      </w:r>
      <w:r>
        <w:rPr>
          <w:rFonts w:ascii="Calibri" w:hAnsi="Calibri" w:eastAsia="Times New Roman" w:cs="Times New Roman"/>
          <w14:ligatures w14:val="none"/>
        </w:rPr>
        <w:t xml:space="preserve"> 4 (1): 409–19. https://doi.org/10.1007/s40808-018-0431-3.</w:t>
      </w:r>
    </w:p>
    <w:p w14:paraId="16916F9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Reid, Rachel, Pablo Capilla-Lasheras, Yacob Haddou, Jelle Boonekamp, and Davide M. Dominoni. 2024. “The Impact of Urbanization on Health Depends on the Health Metric, Life Stage and Level of Urbanization: A Global Meta-Analysis on Avian Species.” </w:t>
      </w:r>
      <w:r>
        <w:rPr>
          <w:rFonts w:ascii="Calibri" w:hAnsi="Calibri" w:eastAsia="Times New Roman" w:cs="Times New Roman"/>
          <w:i/>
          <w:iCs/>
          <w14:ligatures w14:val="none"/>
        </w:rPr>
        <w:t>Proceedings of the Royal Society B: Biological Sciences</w:t>
      </w:r>
      <w:r>
        <w:rPr>
          <w:rFonts w:ascii="Calibri" w:hAnsi="Calibri" w:eastAsia="Times New Roman" w:cs="Times New Roman"/>
          <w14:ligatures w14:val="none"/>
        </w:rPr>
        <w:t xml:space="preserve"> 291 (2027): 20240617. https://doi.org/10.1098/rspb.2024.0617.</w:t>
      </w:r>
    </w:p>
    <w:p w14:paraId="6471E8B6">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Ren, Qiang, Chunyang He, Qingxu Huang, Da Zhang, Peijun Shi, and Wenlu Lu. 2023. “Impacts of Global Urban Expansion on Natural Habitats Undermine the 2050 Vision for Biodiversity.” </w:t>
      </w:r>
      <w:r>
        <w:rPr>
          <w:rFonts w:ascii="Calibri" w:hAnsi="Calibri" w:eastAsia="Times New Roman" w:cs="Times New Roman"/>
          <w:i/>
          <w:iCs/>
          <w14:ligatures w14:val="none"/>
        </w:rPr>
        <w:t>Resources, Conservation and Recycling</w:t>
      </w:r>
      <w:r>
        <w:rPr>
          <w:rFonts w:ascii="Calibri" w:hAnsi="Calibri" w:eastAsia="Times New Roman" w:cs="Times New Roman"/>
          <w14:ligatures w14:val="none"/>
        </w:rPr>
        <w:t xml:space="preserve"> 190 (March): 106834. https://doi.org/10.1016/j.resconrec.2022.106834.</w:t>
      </w:r>
    </w:p>
    <w:p w14:paraId="00F9828F">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Reynolds, C.S. 2002. “Ecological Pattern and Ecosystem Theory.” </w:t>
      </w:r>
      <w:r>
        <w:rPr>
          <w:rFonts w:ascii="Calibri" w:hAnsi="Calibri" w:eastAsia="Times New Roman" w:cs="Times New Roman"/>
          <w:i/>
          <w:iCs/>
          <w14:ligatures w14:val="none"/>
        </w:rPr>
        <w:t>Ecological Modelling</w:t>
      </w:r>
      <w:r>
        <w:rPr>
          <w:rFonts w:ascii="Calibri" w:hAnsi="Calibri" w:eastAsia="Times New Roman" w:cs="Times New Roman"/>
          <w14:ligatures w14:val="none"/>
        </w:rPr>
        <w:t xml:space="preserve"> 158 (3): 181–200. https://doi.org/10.1016/S0304-3800(02)00230-2.</w:t>
      </w:r>
    </w:p>
    <w:p w14:paraId="7F1265C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Rija, Alfan A., Abubakari Said, Kuruthumu A. Mwamende, Shombe N. Hassan, and Seif S. Madoffe. 2014. “Urban Sprawl and Species Movement May Decimate Natural Plant Diversity in an Afro-Tropical City.” </w:t>
      </w:r>
      <w:r>
        <w:rPr>
          <w:rFonts w:ascii="Calibri" w:hAnsi="Calibri" w:eastAsia="Times New Roman" w:cs="Times New Roman"/>
          <w:i/>
          <w:iCs/>
          <w14:ligatures w14:val="none"/>
        </w:rPr>
        <w:t>Biodiversity and Conservation</w:t>
      </w:r>
      <w:r>
        <w:rPr>
          <w:rFonts w:ascii="Calibri" w:hAnsi="Calibri" w:eastAsia="Times New Roman" w:cs="Times New Roman"/>
          <w14:ligatures w14:val="none"/>
        </w:rPr>
        <w:t xml:space="preserve"> 23 (4): 963–78. https://doi.org/10.1007/s10531-014-0646-1.</w:t>
      </w:r>
    </w:p>
    <w:p w14:paraId="7FD6E46C">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Ross, Amanda, and Victor L. Willson. 2017. “One-Way Anova.” In </w:t>
      </w:r>
      <w:r>
        <w:rPr>
          <w:rFonts w:ascii="Calibri" w:hAnsi="Calibri" w:eastAsia="Times New Roman" w:cs="Times New Roman"/>
          <w:i/>
          <w:iCs/>
          <w14:ligatures w14:val="none"/>
        </w:rPr>
        <w:t>Basic and Advanced Statistical Tests</w:t>
      </w:r>
      <w:r>
        <w:rPr>
          <w:rFonts w:ascii="Calibri" w:hAnsi="Calibri" w:eastAsia="Times New Roman" w:cs="Times New Roman"/>
          <w14:ligatures w14:val="none"/>
        </w:rPr>
        <w:t>, by Amanda Ross and Victor L. Willson. SensePublishers. https://doi.org/10.1007/978-94-6351-086-8_5.</w:t>
      </w:r>
    </w:p>
    <w:p w14:paraId="7205EEE7">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Ruas, Renata De Barros, Laís Mara Santana Costa, and Fernanda Bered. 2022. “Urbanization Driving Changes in Plant Species and Communities – A Global View.” </w:t>
      </w:r>
      <w:r>
        <w:rPr>
          <w:rFonts w:ascii="Calibri" w:hAnsi="Calibri" w:eastAsia="Times New Roman" w:cs="Times New Roman"/>
          <w:i/>
          <w:iCs/>
          <w14:ligatures w14:val="none"/>
        </w:rPr>
        <w:t>Global Ecology and Conservation</w:t>
      </w:r>
      <w:r>
        <w:rPr>
          <w:rFonts w:ascii="Calibri" w:hAnsi="Calibri" w:eastAsia="Times New Roman" w:cs="Times New Roman"/>
          <w14:ligatures w14:val="none"/>
        </w:rPr>
        <w:t xml:space="preserve"> 38 (October): e02243. https://doi.org/10.1016/j.gecco.2022.e02243.</w:t>
      </w:r>
    </w:p>
    <w:p w14:paraId="68AB14DE">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Rumora, Luka, Ivan Majić, Mario Miler, and Damir Medak. 2021. “Spatial Video Remote Sensing for Urban Vegetation Mapping Using Vegetation Indices.” </w:t>
      </w:r>
      <w:r>
        <w:rPr>
          <w:rFonts w:ascii="Calibri" w:hAnsi="Calibri" w:eastAsia="Times New Roman" w:cs="Times New Roman"/>
          <w:i/>
          <w:iCs/>
          <w14:ligatures w14:val="none"/>
        </w:rPr>
        <w:t>Urban Ecosystems</w:t>
      </w:r>
      <w:r>
        <w:rPr>
          <w:rFonts w:ascii="Calibri" w:hAnsi="Calibri" w:eastAsia="Times New Roman" w:cs="Times New Roman"/>
          <w14:ligatures w14:val="none"/>
        </w:rPr>
        <w:t xml:space="preserve"> 24 (1): 21–33. https://doi.org/10.1007/s11252-020-01002-5.</w:t>
      </w:r>
    </w:p>
    <w:p w14:paraId="064C79B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Salem, Muhammad, and Naoki Tsurusaki. 2024. “Impacts of Rapid Urban Expansion on Peri-Urban Landscapes in the Global South: Insights from Landscape Metrics in Greater Cairo.” </w:t>
      </w:r>
      <w:r>
        <w:rPr>
          <w:rFonts w:ascii="Calibri" w:hAnsi="Calibri" w:eastAsia="Times New Roman" w:cs="Times New Roman"/>
          <w:i/>
          <w:iCs/>
          <w14:ligatures w14:val="none"/>
        </w:rPr>
        <w:t>Sustainability</w:t>
      </w:r>
      <w:r>
        <w:rPr>
          <w:rFonts w:ascii="Calibri" w:hAnsi="Calibri" w:eastAsia="Times New Roman" w:cs="Times New Roman"/>
          <w14:ligatures w14:val="none"/>
        </w:rPr>
        <w:t xml:space="preserve"> 16 (6): 2316. https://doi.org/10.3390/su16062316.</w:t>
      </w:r>
    </w:p>
    <w:p w14:paraId="3EE63EFE">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Salvati, L., M. Karamesouti, and K. Kosmas. 2014. “Soil Degradation in Environmentally Sensitive Areas Driven by Urbanization: An Example from Southeast Europe.” </w:t>
      </w:r>
      <w:r>
        <w:rPr>
          <w:rFonts w:ascii="Calibri" w:hAnsi="Calibri" w:eastAsia="Times New Roman" w:cs="Times New Roman"/>
          <w:i/>
          <w:iCs/>
          <w14:ligatures w14:val="none"/>
        </w:rPr>
        <w:t>Soil Use and Management</w:t>
      </w:r>
      <w:r>
        <w:rPr>
          <w:rFonts w:ascii="Calibri" w:hAnsi="Calibri" w:eastAsia="Times New Roman" w:cs="Times New Roman"/>
          <w14:ligatures w14:val="none"/>
        </w:rPr>
        <w:t xml:space="preserve"> 30 (3): 382–93. https://doi.org/10.1111/sum.12133.</w:t>
      </w:r>
    </w:p>
    <w:p w14:paraId="220B642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Samhouri, Jameal F., Andrew Olaf Shelton, Gregory D. Williams, et al. 2022. “How Much City Is Too Much City? Biodiversity and Ecosystem Functioning along an Urban Gradient at the Interface of Land and Sea.” </w:t>
      </w:r>
      <w:r>
        <w:rPr>
          <w:rFonts w:ascii="Calibri" w:hAnsi="Calibri" w:eastAsia="Times New Roman" w:cs="Times New Roman"/>
          <w:i/>
          <w:iCs/>
          <w14:ligatures w14:val="none"/>
        </w:rPr>
        <w:t>Frontiers in Marine Science</w:t>
      </w:r>
      <w:r>
        <w:rPr>
          <w:rFonts w:ascii="Calibri" w:hAnsi="Calibri" w:eastAsia="Times New Roman" w:cs="Times New Roman"/>
          <w14:ligatures w14:val="none"/>
        </w:rPr>
        <w:t xml:space="preserve"> 9 (September): 931319. https://doi.org/10.3389/fmars.2022.931319.</w:t>
      </w:r>
    </w:p>
    <w:p w14:paraId="2A0CEEE7">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SANI, A. 2022. “ASSESSMENT OF LAND CAPABILITY AND SUITABILITY CLASSIFICATION FOR CROP PRODUCTION IN KATSINA, NIGERIA (Doctoral Dissertation, School Of.” </w:t>
      </w:r>
      <w:r>
        <w:rPr>
          <w:rFonts w:ascii="Calibri" w:hAnsi="Calibri" w:eastAsia="Times New Roman" w:cs="Times New Roman"/>
          <w:i/>
          <w:iCs/>
          <w14:ligatures w14:val="none"/>
        </w:rPr>
        <w:t>Graduate Studies, Universiti Putra Malaysia).</w:t>
      </w:r>
    </w:p>
    <w:p w14:paraId="4D35CE2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Sathish, Karan, As Devakumar, A Kokila, et al. 2024. “Effects of Urbanization on Soil Quality in the Rural‒Urban Gradient of Bengaluru, India.” </w:t>
      </w:r>
      <w:r>
        <w:rPr>
          <w:rFonts w:ascii="Calibri" w:hAnsi="Calibri" w:eastAsia="Times New Roman" w:cs="Times New Roman"/>
          <w:i/>
          <w:iCs/>
          <w14:ligatures w14:val="none"/>
        </w:rPr>
        <w:t>International Journal of Environment and Climate Change</w:t>
      </w:r>
      <w:r>
        <w:rPr>
          <w:rFonts w:ascii="Calibri" w:hAnsi="Calibri" w:eastAsia="Times New Roman" w:cs="Times New Roman"/>
          <w14:ligatures w14:val="none"/>
        </w:rPr>
        <w:t xml:space="preserve"> 14 (9): 393–405. https://doi.org/10.9734/ijecc/2024/v14i94424.</w:t>
      </w:r>
    </w:p>
    <w:p w14:paraId="2431F3BA">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Selvaraj, Rohini, and Sureshkumar Nagarajan. 2022. “Change Detection Techniques for a Remote Sensing Application: An Overview.” In </w:t>
      </w:r>
      <w:r>
        <w:rPr>
          <w:rFonts w:ascii="Calibri" w:hAnsi="Calibri" w:eastAsia="Times New Roman" w:cs="Times New Roman"/>
          <w:i/>
          <w:iCs/>
          <w14:ligatures w14:val="none"/>
        </w:rPr>
        <w:t>Cognitive Systems and Signal Processing in Image Processing</w:t>
      </w:r>
      <w:r>
        <w:rPr>
          <w:rFonts w:ascii="Calibri" w:hAnsi="Calibri" w:eastAsia="Times New Roman" w:cs="Times New Roman"/>
          <w14:ligatures w14:val="none"/>
        </w:rPr>
        <w:t>. Elsevier. https://doi.org/10.1016/B978-0-12-824410-4.00015-5.</w:t>
      </w:r>
    </w:p>
    <w:p w14:paraId="2B5FE656">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Seress, Gábor, Ágnes Lipovits, Veronika Bókony, and László Czúni. 2014. “Quantifying the Urban Gradient: A Practical Method for Broad Measurements.” </w:t>
      </w:r>
      <w:r>
        <w:rPr>
          <w:rFonts w:ascii="Calibri" w:hAnsi="Calibri" w:eastAsia="Times New Roman" w:cs="Times New Roman"/>
          <w:i/>
          <w:iCs/>
          <w14:ligatures w14:val="none"/>
        </w:rPr>
        <w:t>Landscape and Urban Planning</w:t>
      </w:r>
      <w:r>
        <w:rPr>
          <w:rFonts w:ascii="Calibri" w:hAnsi="Calibri" w:eastAsia="Times New Roman" w:cs="Times New Roman"/>
          <w14:ligatures w14:val="none"/>
        </w:rPr>
        <w:t xml:space="preserve"> 131 (November): 42–50. https://doi.org/10.1016/j.landurbplan.2014.07.010.</w:t>
      </w:r>
    </w:p>
    <w:p w14:paraId="19143AD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Shahane, Amit Anil, and Yashbir Singh Shivay. 2021. “Soil Health and Its Improvement Through Novel Agronomic and Innovative Approaches.” </w:t>
      </w:r>
      <w:r>
        <w:rPr>
          <w:rFonts w:ascii="Calibri" w:hAnsi="Calibri" w:eastAsia="Times New Roman" w:cs="Times New Roman"/>
          <w:i/>
          <w:iCs/>
          <w14:ligatures w14:val="none"/>
        </w:rPr>
        <w:t>Frontiers in Agronomy</w:t>
      </w:r>
      <w:r>
        <w:rPr>
          <w:rFonts w:ascii="Calibri" w:hAnsi="Calibri" w:eastAsia="Times New Roman" w:cs="Times New Roman"/>
          <w14:ligatures w14:val="none"/>
        </w:rPr>
        <w:t xml:space="preserve"> 3 (September): 680456. https://doi.org/10.3389/fagro.2021.680456.</w:t>
      </w:r>
    </w:p>
    <w:p w14:paraId="3821725E">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Sheil, Douglas, and David F.R.P. Burslem. 2013. “Defining and Defending Connell’s Intermediate Disturbance Hypothesis: A Response to Fox.” </w:t>
      </w:r>
      <w:r>
        <w:rPr>
          <w:rFonts w:ascii="Calibri" w:hAnsi="Calibri" w:eastAsia="Times New Roman" w:cs="Times New Roman"/>
          <w:i/>
          <w:iCs/>
          <w14:ligatures w14:val="none"/>
        </w:rPr>
        <w:t>Trends in Ecology &amp; Evolution</w:t>
      </w:r>
      <w:r>
        <w:rPr>
          <w:rFonts w:ascii="Calibri" w:hAnsi="Calibri" w:eastAsia="Times New Roman" w:cs="Times New Roman"/>
          <w14:ligatures w14:val="none"/>
        </w:rPr>
        <w:t xml:space="preserve"> 28 (10): 571–72. https://doi.org/10.1016/j.tree.2013.07.006.</w:t>
      </w:r>
    </w:p>
    <w:p w14:paraId="762D3F16">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Shen, Yiguo, Xiaojie Chen, Qingxin Yao, Jiahui Ding, Yuhan Lai, and Yongheng Rao. 2023. “Examining the Impact of China’s Poverty Alleviation on Nighttime Lighting in 831 State-Level Impoverished Counties.” </w:t>
      </w:r>
      <w:r>
        <w:rPr>
          <w:rFonts w:ascii="Calibri" w:hAnsi="Calibri" w:eastAsia="Times New Roman" w:cs="Times New Roman"/>
          <w:i/>
          <w:iCs/>
          <w14:ligatures w14:val="none"/>
        </w:rPr>
        <w:t>Land</w:t>
      </w:r>
      <w:r>
        <w:rPr>
          <w:rFonts w:ascii="Calibri" w:hAnsi="Calibri" w:eastAsia="Times New Roman" w:cs="Times New Roman"/>
          <w14:ligatures w14:val="none"/>
        </w:rPr>
        <w:t xml:space="preserve"> 12 (6): 1128. https://doi.org/10.3390/land12061128.</w:t>
      </w:r>
    </w:p>
    <w:p w14:paraId="40DA1F0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Smith, Callum, Dominick Spracklen, and Jessica Baker. 2020. </w:t>
      </w:r>
      <w:r>
        <w:rPr>
          <w:rFonts w:ascii="Calibri" w:hAnsi="Calibri" w:eastAsia="Times New Roman" w:cs="Times New Roman"/>
          <w:i/>
          <w:iCs/>
          <w14:ligatures w14:val="none"/>
        </w:rPr>
        <w:t>Impacts of Tropical Deforestation on Local Climate</w:t>
      </w:r>
      <w:r>
        <w:rPr>
          <w:rFonts w:ascii="Calibri" w:hAnsi="Calibri" w:eastAsia="Times New Roman" w:cs="Times New Roman"/>
          <w14:ligatures w14:val="none"/>
        </w:rPr>
        <w:t>. March 23. https://doi.org/10.5194/egusphere-egu2020-11712.</w:t>
      </w:r>
    </w:p>
    <w:p w14:paraId="0AE47ED9">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Socolar, Jacob B., Simon C. Mills, James J. Gilroy, et al. 2025. “Tropical Biodiversity Loss from Land-Use Change Is Severely Underestimated by Local-Scale Assessments.” </w:t>
      </w:r>
      <w:r>
        <w:rPr>
          <w:rFonts w:ascii="Calibri" w:hAnsi="Calibri" w:eastAsia="Times New Roman" w:cs="Times New Roman"/>
          <w:i/>
          <w:iCs/>
          <w14:ligatures w14:val="none"/>
        </w:rPr>
        <w:t>Nature Ecology &amp; Evolution</w:t>
      </w:r>
      <w:r>
        <w:rPr>
          <w:rFonts w:ascii="Calibri" w:hAnsi="Calibri" w:eastAsia="Times New Roman" w:cs="Times New Roman"/>
          <w14:ligatures w14:val="none"/>
        </w:rPr>
        <w:t xml:space="preserve"> 9 (9): 1643–55. https://doi.org/10.1038/s41559-025-02779-4.</w:t>
      </w:r>
    </w:p>
    <w:p w14:paraId="7AE30C9E">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Solymosi, Kristóf, György Kövér, and Róbert Romvári. 2019. “The Progression of Vegetation Indices: A Short Overview.” </w:t>
      </w:r>
      <w:r>
        <w:rPr>
          <w:rFonts w:ascii="Calibri" w:hAnsi="Calibri" w:eastAsia="Times New Roman" w:cs="Times New Roman"/>
          <w:i/>
          <w:iCs/>
          <w14:ligatures w14:val="none"/>
        </w:rPr>
        <w:t>Acta Agraria Kaposváriensis</w:t>
      </w:r>
      <w:r>
        <w:rPr>
          <w:rFonts w:ascii="Calibri" w:hAnsi="Calibri" w:eastAsia="Times New Roman" w:cs="Times New Roman"/>
          <w14:ligatures w14:val="none"/>
        </w:rPr>
        <w:t xml:space="preserve"> 23 (1). https://doi.org/10.31914/aak.2264.</w:t>
      </w:r>
    </w:p>
    <w:p w14:paraId="7367F5AB">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Song, Anjian, Zhenbao Wang, Shihao Li, and Xinyi Chen. 2025. “Comparative Analysis of the Impact of Built Environment and Land Use on Monthly and Annual Mean PM2.5 Levels.” </w:t>
      </w:r>
      <w:r>
        <w:rPr>
          <w:rFonts w:ascii="Calibri" w:hAnsi="Calibri" w:eastAsia="Times New Roman" w:cs="Times New Roman"/>
          <w:i/>
          <w:iCs/>
          <w14:ligatures w14:val="none"/>
        </w:rPr>
        <w:t>Atmosphere</w:t>
      </w:r>
      <w:r>
        <w:rPr>
          <w:rFonts w:ascii="Calibri" w:hAnsi="Calibri" w:eastAsia="Times New Roman" w:cs="Times New Roman"/>
          <w14:ligatures w14:val="none"/>
        </w:rPr>
        <w:t xml:space="preserve"> 16 (6): 682. https://doi.org/10.3390/atmos16060682.</w:t>
      </w:r>
    </w:p>
    <w:p w14:paraId="76488D17">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Soto-Navarro, C. A., M. Harfoot, S. L. L. Hill, et al. 2021. “Towards a Multidimensional Biodiversity Index for National Application.” </w:t>
      </w:r>
      <w:r>
        <w:rPr>
          <w:rFonts w:ascii="Calibri" w:hAnsi="Calibri" w:eastAsia="Times New Roman" w:cs="Times New Roman"/>
          <w:i/>
          <w:iCs/>
          <w14:ligatures w14:val="none"/>
        </w:rPr>
        <w:t>Nature Sustainability</w:t>
      </w:r>
      <w:r>
        <w:rPr>
          <w:rFonts w:ascii="Calibri" w:hAnsi="Calibri" w:eastAsia="Times New Roman" w:cs="Times New Roman"/>
          <w14:ligatures w14:val="none"/>
        </w:rPr>
        <w:t xml:space="preserve"> 4 (11): 933–42. https://doi.org/10.1038/s41893-021-00753-z.</w:t>
      </w:r>
    </w:p>
    <w:p w14:paraId="5859A1D1">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Srivastava, Diane S., and Mark Vellend. 2005. “Biodiversity-Ecosystem Function Research: Is It Relevant to Conservation?” </w:t>
      </w:r>
      <w:r>
        <w:rPr>
          <w:rFonts w:ascii="Calibri" w:hAnsi="Calibri" w:eastAsia="Times New Roman" w:cs="Times New Roman"/>
          <w:i/>
          <w:iCs/>
          <w14:ligatures w14:val="none"/>
        </w:rPr>
        <w:t>Annual Review of Ecology, Evolution, and Systematics</w:t>
      </w:r>
      <w:r>
        <w:rPr>
          <w:rFonts w:ascii="Calibri" w:hAnsi="Calibri" w:eastAsia="Times New Roman" w:cs="Times New Roman"/>
          <w14:ligatures w14:val="none"/>
        </w:rPr>
        <w:t xml:space="preserve"> 36 (1): 267–94. https://doi.org/10.1146/annurev.ecolsys.36.102003.152636.</w:t>
      </w:r>
    </w:p>
    <w:p w14:paraId="01A1AF8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Stamin, Florin Daniel, and Sina Cosmulescu. 2025. “Assessing the Vegetation Diversity of Different Forest Ecosystems in Southern Romania Using Biodiversity Indices and Similarity Coefficients.” </w:t>
      </w:r>
      <w:r>
        <w:rPr>
          <w:rFonts w:ascii="Calibri" w:hAnsi="Calibri" w:eastAsia="Times New Roman" w:cs="Times New Roman"/>
          <w:i/>
          <w:iCs/>
          <w14:ligatures w14:val="none"/>
        </w:rPr>
        <w:t>Biology</w:t>
      </w:r>
      <w:r>
        <w:rPr>
          <w:rFonts w:ascii="Calibri" w:hAnsi="Calibri" w:eastAsia="Times New Roman" w:cs="Times New Roman"/>
          <w14:ligatures w14:val="none"/>
        </w:rPr>
        <w:t xml:space="preserve"> 14 (7): 869. https://doi.org/10.3390/biology14070869.</w:t>
      </w:r>
    </w:p>
    <w:p w14:paraId="32D6ED3D">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Stenchly, Kathrin, Antoine Waongo, Wolfgang Schaeper, George Nyarko, and Andreas Buerkert. 2019. “Structural Landscape Changes in Urban and Peri-Urban Agricultural Systems of Two West African Cities and Their Relations to Ecosystem Services Provided by Woody Plant Communities.” </w:t>
      </w:r>
      <w:r>
        <w:rPr>
          <w:rFonts w:ascii="Calibri" w:hAnsi="Calibri" w:eastAsia="Times New Roman" w:cs="Times New Roman"/>
          <w:i/>
          <w:iCs/>
          <w14:ligatures w14:val="none"/>
        </w:rPr>
        <w:t>Urban Ecosystems</w:t>
      </w:r>
      <w:r>
        <w:rPr>
          <w:rFonts w:ascii="Calibri" w:hAnsi="Calibri" w:eastAsia="Times New Roman" w:cs="Times New Roman"/>
          <w14:ligatures w14:val="none"/>
        </w:rPr>
        <w:t xml:space="preserve"> 22 (2): 397–408. https://doi.org/10.1007/s11252-018-0811-5.</w:t>
      </w:r>
    </w:p>
    <w:p w14:paraId="7A57FCEC">
      <w:pPr>
        <w:spacing w:before="100" w:beforeAutospacing="1" w:line="256" w:lineRule="auto"/>
        <w:rPr>
          <w:rFonts w:ascii="Calibri" w:hAnsi="Calibri" w:eastAsia="Times New Roman" w:cs="Times New Roman"/>
          <w:lang w:val="de-DE"/>
          <w14:ligatures w14:val="none"/>
        </w:rPr>
      </w:pPr>
      <w:r>
        <w:rPr>
          <w:rFonts w:ascii="Calibri" w:hAnsi="Calibri" w:eastAsia="Times New Roman" w:cs="Times New Roman"/>
          <w14:ligatures w14:val="none"/>
        </w:rPr>
        <w:t xml:space="preserve">Stohlgren, T. J. 2007. “Measuring Plant Diversity: Lessons from the Field.” </w:t>
      </w:r>
      <w:r>
        <w:rPr>
          <w:rFonts w:ascii="Calibri" w:hAnsi="Calibri" w:eastAsia="Times New Roman" w:cs="Times New Roman"/>
          <w:i/>
          <w:iCs/>
          <w:lang w:val="de-DE"/>
          <w14:ligatures w14:val="none"/>
        </w:rPr>
        <w:t>OUP USA.</w:t>
      </w:r>
    </w:p>
    <w:p w14:paraId="1C8EE52E">
      <w:pPr>
        <w:spacing w:before="100" w:beforeAutospacing="1" w:line="256" w:lineRule="auto"/>
        <w:rPr>
          <w:rFonts w:ascii="Calibri" w:hAnsi="Calibri" w:eastAsia="Times New Roman" w:cs="Times New Roman"/>
          <w14:ligatures w14:val="none"/>
        </w:rPr>
      </w:pPr>
      <w:r>
        <w:rPr>
          <w:rFonts w:ascii="Calibri" w:hAnsi="Calibri" w:eastAsia="Times New Roman" w:cs="Times New Roman"/>
          <w:lang w:val="de-DE"/>
          <w14:ligatures w14:val="none"/>
        </w:rPr>
        <w:t xml:space="preserve">Sun, Genyun, Zhijun Jiao, Aizhu Zhang, Feng Li, Hang Fu, and Zheng Li. 2021. </w:t>
      </w:r>
      <w:r>
        <w:rPr>
          <w:rFonts w:ascii="Calibri" w:hAnsi="Calibri" w:eastAsia="Times New Roman" w:cs="Times New Roman"/>
          <w14:ligatures w14:val="none"/>
        </w:rPr>
        <w:t xml:space="preserve">“Hyperspectral Image-Based Vegetation Index (HSVI): A New Vegetation Index for Urban Ecological Research.” </w:t>
      </w:r>
      <w:r>
        <w:rPr>
          <w:rFonts w:ascii="Calibri" w:hAnsi="Calibri" w:eastAsia="Times New Roman" w:cs="Times New Roman"/>
          <w:i/>
          <w:iCs/>
          <w14:ligatures w14:val="none"/>
        </w:rPr>
        <w:t>International Journal of Applied Earth Observation and Geoinformation</w:t>
      </w:r>
      <w:r>
        <w:rPr>
          <w:rFonts w:ascii="Calibri" w:hAnsi="Calibri" w:eastAsia="Times New Roman" w:cs="Times New Roman"/>
          <w14:ligatures w14:val="none"/>
        </w:rPr>
        <w:t xml:space="preserve"> 103 (December): 102529. https://doi.org/10.1016/j.jag.2021.102529.</w:t>
      </w:r>
    </w:p>
    <w:p w14:paraId="30FAE61C">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Sun, Yi, Xuxi Fang, Diwei Tang, and Yubo Hu. 2025. “Spatiotemporal Evolution and Multi-Scale Driving Mechanisms of Ecosystem Service Value in Wuhan, China.” </w:t>
      </w:r>
      <w:r>
        <w:rPr>
          <w:rFonts w:ascii="Calibri" w:hAnsi="Calibri" w:eastAsia="Times New Roman" w:cs="Times New Roman"/>
          <w:i/>
          <w:iCs/>
          <w14:ligatures w14:val="none"/>
        </w:rPr>
        <w:t>Sustainability</w:t>
      </w:r>
      <w:r>
        <w:rPr>
          <w:rFonts w:ascii="Calibri" w:hAnsi="Calibri" w:eastAsia="Times New Roman" w:cs="Times New Roman"/>
          <w14:ligatures w14:val="none"/>
        </w:rPr>
        <w:t xml:space="preserve"> 17 (19): 8676. https://doi.org/10.3390/su17198676.</w:t>
      </w:r>
    </w:p>
    <w:p w14:paraId="245A9631">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Taheri Shahraiyni, Hamid, and Sahar Sodoudi. 2016. “Statistical Modeling Approaches for PM10 Prediction in Urban Areas; A Review of 21st-Century Studies.” </w:t>
      </w:r>
      <w:r>
        <w:rPr>
          <w:rFonts w:ascii="Calibri" w:hAnsi="Calibri" w:eastAsia="Times New Roman" w:cs="Times New Roman"/>
          <w:i/>
          <w:iCs/>
          <w14:ligatures w14:val="none"/>
        </w:rPr>
        <w:t>Atmosphere</w:t>
      </w:r>
      <w:r>
        <w:rPr>
          <w:rFonts w:ascii="Calibri" w:hAnsi="Calibri" w:eastAsia="Times New Roman" w:cs="Times New Roman"/>
          <w14:ligatures w14:val="none"/>
        </w:rPr>
        <w:t xml:space="preserve"> 7 (2): 15. https://doi.org/10.3390/atmos7020015.</w:t>
      </w:r>
    </w:p>
    <w:p w14:paraId="42409D5C">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Takuwa, Nuubu, Eleanor Wozei, Sarah Kizza-Nkambwe, Geoffrey Malinga, George Kilande, and Joel Kinobe. 2024. “Plant Communities as Indicators of Anthropogenic Disturbance on a Peri-Urban Tropical Wetland of Lutembe Bay Wetland System, Uganda.” </w:t>
      </w:r>
      <w:r>
        <w:rPr>
          <w:rFonts w:ascii="Calibri" w:hAnsi="Calibri" w:eastAsia="Times New Roman" w:cs="Times New Roman"/>
          <w:i/>
          <w:iCs/>
          <w14:ligatures w14:val="none"/>
        </w:rPr>
        <w:t>Sustainable Environment</w:t>
      </w:r>
      <w:r>
        <w:rPr>
          <w:rFonts w:ascii="Calibri" w:hAnsi="Calibri" w:eastAsia="Times New Roman" w:cs="Times New Roman"/>
          <w14:ligatures w14:val="none"/>
        </w:rPr>
        <w:t xml:space="preserve"> 10 (1): 2374114. https://doi.org/10.1080/27658511.2024.2374114.</w:t>
      </w:r>
    </w:p>
    <w:p w14:paraId="43E197CE">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Tanner, Colby J, Frederick R Adler, Nancy B Grimm, et al. 2014. “Urban Ecology: Advancing Science and Society.” </w:t>
      </w:r>
      <w:r>
        <w:rPr>
          <w:rFonts w:ascii="Calibri" w:hAnsi="Calibri" w:eastAsia="Times New Roman" w:cs="Times New Roman"/>
          <w:i/>
          <w:iCs/>
          <w14:ligatures w14:val="none"/>
        </w:rPr>
        <w:t>Frontiers in Ecology and the Environment</w:t>
      </w:r>
      <w:r>
        <w:rPr>
          <w:rFonts w:ascii="Calibri" w:hAnsi="Calibri" w:eastAsia="Times New Roman" w:cs="Times New Roman"/>
          <w14:ligatures w14:val="none"/>
        </w:rPr>
        <w:t xml:space="preserve"> 12 (10): 574–81. https://doi.org/10.1890/140019.</w:t>
      </w:r>
    </w:p>
    <w:p w14:paraId="40899B51">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Tewabe, Dires, and Temesgen Fentahun. 2020. “Assessing Land Use and Land Cover Change Detection Using Remote Sensing in the Lake Tana Basin, Northwest Ethiopia.” </w:t>
      </w:r>
      <w:r>
        <w:rPr>
          <w:rFonts w:ascii="Calibri" w:hAnsi="Calibri" w:eastAsia="Times New Roman" w:cs="Times New Roman"/>
          <w:i/>
          <w:iCs/>
          <w14:ligatures w14:val="none"/>
        </w:rPr>
        <w:t>Cogent Environmental Science</w:t>
      </w:r>
      <w:r>
        <w:rPr>
          <w:rFonts w:ascii="Calibri" w:hAnsi="Calibri" w:eastAsia="Times New Roman" w:cs="Times New Roman"/>
          <w14:ligatures w14:val="none"/>
        </w:rPr>
        <w:t xml:space="preserve"> 6 (1): 1778998. https://doi.org/10.1080/23311843.2020.1778998.</w:t>
      </w:r>
    </w:p>
    <w:p w14:paraId="7A18585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Thompson, Grant L., and Jenny Kao‐Kniffin. 2017. “Applying Biodiversity and Ecosystem Function Theory to Turfgrass Management.” </w:t>
      </w:r>
      <w:r>
        <w:rPr>
          <w:rFonts w:ascii="Calibri" w:hAnsi="Calibri" w:eastAsia="Times New Roman" w:cs="Times New Roman"/>
          <w:i/>
          <w:iCs/>
          <w14:ligatures w14:val="none"/>
        </w:rPr>
        <w:t>Crop Science</w:t>
      </w:r>
      <w:r>
        <w:rPr>
          <w:rFonts w:ascii="Calibri" w:hAnsi="Calibri" w:eastAsia="Times New Roman" w:cs="Times New Roman"/>
          <w14:ligatures w14:val="none"/>
        </w:rPr>
        <w:t xml:space="preserve"> 57 (S1). https://doi.org/10.2135/cropsci2016.05.0433.</w:t>
      </w:r>
    </w:p>
    <w:p w14:paraId="1301698E">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Threlfall, Caragh G., Alessandro Ossola, Amy K. Hahs, Nicholas S. G. Williams, Lee Wilson, and Stephen J. Livesley. 2016. “Variation in Vegetation Structure and Composition across Urban Green Space Types.” </w:t>
      </w:r>
      <w:r>
        <w:rPr>
          <w:rFonts w:ascii="Calibri" w:hAnsi="Calibri" w:eastAsia="Times New Roman" w:cs="Times New Roman"/>
          <w:i/>
          <w:iCs/>
          <w14:ligatures w14:val="none"/>
        </w:rPr>
        <w:t>Frontiers in Ecology and Evolution</w:t>
      </w:r>
      <w:r>
        <w:rPr>
          <w:rFonts w:ascii="Calibri" w:hAnsi="Calibri" w:eastAsia="Times New Roman" w:cs="Times New Roman"/>
          <w14:ligatures w14:val="none"/>
        </w:rPr>
        <w:t xml:space="preserve"> 4 (June). https://doi.org/10.3389/fevo.2016.00066.</w:t>
      </w:r>
    </w:p>
    <w:p w14:paraId="383B3ABD">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Toroitich, Caleb, Mugwima Njuguna, and Dennis Karanja. 2022. “Effects of Urban Wetland Patch Pattern on the Biodiversity of Aquatic Birds in Nairobi, Kenya.” </w:t>
      </w:r>
      <w:r>
        <w:rPr>
          <w:rFonts w:ascii="Calibri" w:hAnsi="Calibri" w:eastAsia="Times New Roman" w:cs="Times New Roman"/>
          <w:i/>
          <w:iCs/>
          <w14:ligatures w14:val="none"/>
        </w:rPr>
        <w:t>Journal of Agriculture, Science and Technology</w:t>
      </w:r>
      <w:r>
        <w:rPr>
          <w:rFonts w:ascii="Calibri" w:hAnsi="Calibri" w:eastAsia="Times New Roman" w:cs="Times New Roman"/>
          <w14:ligatures w14:val="none"/>
        </w:rPr>
        <w:t xml:space="preserve"> 21 (1): 83–109. https://doi.org/10.4314/jagst.v21i1.8.</w:t>
      </w:r>
    </w:p>
    <w:p w14:paraId="5349297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Toscano, Stefania, Daniela Romano, Valerio Lazzeri, Luca Leotta, and Francesca Bretzel. 2025. “How Can Plants Used for Ornamental Purposes Contribute to Urban Biodiversity?” </w:t>
      </w:r>
      <w:r>
        <w:rPr>
          <w:rFonts w:ascii="Calibri" w:hAnsi="Calibri" w:eastAsia="Times New Roman" w:cs="Times New Roman"/>
          <w:i/>
          <w:iCs/>
          <w14:ligatures w14:val="none"/>
        </w:rPr>
        <w:t>Sustainability</w:t>
      </w:r>
      <w:r>
        <w:rPr>
          <w:rFonts w:ascii="Calibri" w:hAnsi="Calibri" w:eastAsia="Times New Roman" w:cs="Times New Roman"/>
          <w14:ligatures w14:val="none"/>
        </w:rPr>
        <w:t xml:space="preserve"> 17 (9): 4061. https://doi.org/10.3390/su17094061.</w:t>
      </w:r>
    </w:p>
    <w:p w14:paraId="38C7CA8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Turnbull, Lindsay A., Forest Isbell, Drew W. Purves, Michel Loreau, and Andy Hector. 2016. “Understanding the Value of Plant Diversity for Ecosystem Functioning through Niche Theory.” </w:t>
      </w:r>
      <w:r>
        <w:rPr>
          <w:rFonts w:ascii="Calibri" w:hAnsi="Calibri" w:eastAsia="Times New Roman" w:cs="Times New Roman"/>
          <w:i/>
          <w:iCs/>
          <w14:ligatures w14:val="none"/>
        </w:rPr>
        <w:t>Proceedings of the Royal Society B: Biological Sciences</w:t>
      </w:r>
      <w:r>
        <w:rPr>
          <w:rFonts w:ascii="Calibri" w:hAnsi="Calibri" w:eastAsia="Times New Roman" w:cs="Times New Roman"/>
          <w14:ligatures w14:val="none"/>
        </w:rPr>
        <w:t xml:space="preserve"> 283 (1844): 20160536. https://doi.org/10.1098/rspb.2016.0536.</w:t>
      </w:r>
    </w:p>
    <w:p w14:paraId="63B0E41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Turner, M. G, R. H Gardner, and R. V O’Neill. 2001. “Landscape Ecology. Theory and Practice.” </w:t>
      </w:r>
      <w:r>
        <w:rPr>
          <w:rFonts w:ascii="Calibri" w:hAnsi="Calibri" w:eastAsia="Times New Roman" w:cs="Times New Roman"/>
          <w:i/>
          <w:iCs/>
          <w14:ligatures w14:val="none"/>
        </w:rPr>
        <w:t>New York: Springer-Verlag.</w:t>
      </w:r>
    </w:p>
    <w:p w14:paraId="142B6B2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Udoinyang, Nathan. 2024. “Impacts of Population Trends, Agricultural Supply Chains, and Environmental Decline in Otukpo LGA, Benue State, Nigeria.” </w:t>
      </w:r>
      <w:r>
        <w:rPr>
          <w:rFonts w:ascii="Calibri" w:hAnsi="Calibri" w:eastAsia="Times New Roman" w:cs="Times New Roman"/>
          <w:i/>
          <w:iCs/>
          <w14:ligatures w14:val="none"/>
        </w:rPr>
        <w:t>International Journal of Environment, Engineering and Education</w:t>
      </w:r>
      <w:r>
        <w:rPr>
          <w:rFonts w:ascii="Calibri" w:hAnsi="Calibri" w:eastAsia="Times New Roman" w:cs="Times New Roman"/>
          <w14:ligatures w14:val="none"/>
        </w:rPr>
        <w:t xml:space="preserve"> 6 (1): 12–25. https://doi.org/10.55151/ijeedu.v6i1.128.</w:t>
      </w:r>
    </w:p>
    <w:p w14:paraId="60B96E8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Ullah, Sajid, Mudassir Khan, and Xiuchen Qiao. 2025. “Evaluating the Impact of Urbanization Patterns on LST and UHI Effect in Afghanistan’s Cities: A Machine Learning Approach for Sustainable Urban Planning.” </w:t>
      </w:r>
      <w:r>
        <w:rPr>
          <w:rFonts w:ascii="Calibri" w:hAnsi="Calibri" w:eastAsia="Times New Roman" w:cs="Times New Roman"/>
          <w:i/>
          <w:iCs/>
          <w14:ligatures w14:val="none"/>
        </w:rPr>
        <w:t>Environment, Development and Sustainability</w:t>
      </w:r>
      <w:r>
        <w:rPr>
          <w:rFonts w:ascii="Calibri" w:hAnsi="Calibri" w:eastAsia="Times New Roman" w:cs="Times New Roman"/>
          <w14:ligatures w14:val="none"/>
        </w:rPr>
        <w:t>, ahead of print, May 5. https://doi.org/10.1007/s10668-025-06249-6.</w:t>
      </w:r>
    </w:p>
    <w:p w14:paraId="44D160CB">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Ulrich, Jens, and Risa D. Sargent. 2025. “Urban Landscapes with More Natural Greenspace Support Higher Pollinator Diversity.” </w:t>
      </w:r>
      <w:r>
        <w:rPr>
          <w:rFonts w:ascii="Calibri" w:hAnsi="Calibri" w:eastAsia="Times New Roman" w:cs="Times New Roman"/>
          <w:i/>
          <w:iCs/>
          <w14:ligatures w14:val="none"/>
        </w:rPr>
        <w:t>Ecological Applications</w:t>
      </w:r>
      <w:r>
        <w:rPr>
          <w:rFonts w:ascii="Calibri" w:hAnsi="Calibri" w:eastAsia="Times New Roman" w:cs="Times New Roman"/>
          <w14:ligatures w14:val="none"/>
        </w:rPr>
        <w:t xml:space="preserve"> 35 (1): e70005. https://doi.org/10.1002/eap.70005.</w:t>
      </w:r>
    </w:p>
    <w:p w14:paraId="2F7B375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Urban, Dean L. 2005. “MODELING ECOLOGICAL PROCESSES ACROSS SCALES.” </w:t>
      </w:r>
      <w:r>
        <w:rPr>
          <w:rFonts w:ascii="Calibri" w:hAnsi="Calibri" w:eastAsia="Times New Roman" w:cs="Times New Roman"/>
          <w:i/>
          <w:iCs/>
          <w14:ligatures w14:val="none"/>
        </w:rPr>
        <w:t>Ecology</w:t>
      </w:r>
      <w:r>
        <w:rPr>
          <w:rFonts w:ascii="Calibri" w:hAnsi="Calibri" w:eastAsia="Times New Roman" w:cs="Times New Roman"/>
          <w14:ligatures w14:val="none"/>
        </w:rPr>
        <w:t xml:space="preserve"> 86 (8): 1996–2006. https://doi.org/10.1890/04-0918.</w:t>
      </w:r>
    </w:p>
    <w:p w14:paraId="2506FE84">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Urban, Mark C., Marina Alberti, Luc De Meester, et al. 2024. “Interactions between Climate Change and Urbanization Will Shape the Future of Biodiversity.” </w:t>
      </w:r>
      <w:r>
        <w:rPr>
          <w:rFonts w:ascii="Calibri" w:hAnsi="Calibri" w:eastAsia="Times New Roman" w:cs="Times New Roman"/>
          <w:i/>
          <w:iCs/>
          <w14:ligatures w14:val="none"/>
        </w:rPr>
        <w:t>Nature Climate Change</w:t>
      </w:r>
      <w:r>
        <w:rPr>
          <w:rFonts w:ascii="Calibri" w:hAnsi="Calibri" w:eastAsia="Times New Roman" w:cs="Times New Roman"/>
          <w14:ligatures w14:val="none"/>
        </w:rPr>
        <w:t xml:space="preserve"> 14 (5): 436–47. https://doi.org/10.1038/s41558-024-01996-2.</w:t>
      </w:r>
    </w:p>
    <w:p w14:paraId="185ED5BD">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Vačkář, David, Ben Ten Brink, Jonathan Loh, Jonathan E.M. Baillie, and Belinda Reyers. 2012. “Review of Multispecies Indices for Monitoring Human Impacts on Biodiversity.” </w:t>
      </w:r>
      <w:r>
        <w:rPr>
          <w:rFonts w:ascii="Calibri" w:hAnsi="Calibri" w:eastAsia="Times New Roman" w:cs="Times New Roman"/>
          <w:i/>
          <w:iCs/>
          <w14:ligatures w14:val="none"/>
        </w:rPr>
        <w:t>Ecological Indicators</w:t>
      </w:r>
      <w:r>
        <w:rPr>
          <w:rFonts w:ascii="Calibri" w:hAnsi="Calibri" w:eastAsia="Times New Roman" w:cs="Times New Roman"/>
          <w14:ligatures w14:val="none"/>
        </w:rPr>
        <w:t xml:space="preserve"> 17 (June): 58–67. https://doi.org/10.1016/j.ecolind.2011.04.024.</w:t>
      </w:r>
    </w:p>
    <w:p w14:paraId="093A6797">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Vasilevich, V. I. 2009. “Species Diversity of Plants.” </w:t>
      </w:r>
      <w:r>
        <w:rPr>
          <w:rFonts w:ascii="Calibri" w:hAnsi="Calibri" w:eastAsia="Times New Roman" w:cs="Times New Roman"/>
          <w:i/>
          <w:iCs/>
          <w14:ligatures w14:val="none"/>
        </w:rPr>
        <w:t>Contemporary Problems of Ecology</w:t>
      </w:r>
      <w:r>
        <w:rPr>
          <w:rFonts w:ascii="Calibri" w:hAnsi="Calibri" w:eastAsia="Times New Roman" w:cs="Times New Roman"/>
          <w14:ligatures w14:val="none"/>
        </w:rPr>
        <w:t xml:space="preserve"> 2 (4): 297–303. https://doi.org/10.1134/S1995425509040018.</w:t>
      </w:r>
    </w:p>
    <w:p w14:paraId="20A4BA9D">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Včeláková, Renata, Marcela Prokopová, Vilém Pechanec, et al. 2023. “Assessment and Spatial Distribution of Urban Ecosystem Functions Applied in Two Czech Cities.” </w:t>
      </w:r>
      <w:r>
        <w:rPr>
          <w:rFonts w:ascii="Calibri" w:hAnsi="Calibri" w:eastAsia="Times New Roman" w:cs="Times New Roman"/>
          <w:i/>
          <w:iCs/>
          <w14:ligatures w14:val="none"/>
        </w:rPr>
        <w:t>Applied Sciences</w:t>
      </w:r>
      <w:r>
        <w:rPr>
          <w:rFonts w:ascii="Calibri" w:hAnsi="Calibri" w:eastAsia="Times New Roman" w:cs="Times New Roman"/>
          <w14:ligatures w14:val="none"/>
        </w:rPr>
        <w:t xml:space="preserve"> 13 (9): 5759. https://doi.org/10.3390/app13095759.</w:t>
      </w:r>
    </w:p>
    <w:p w14:paraId="6A97D9B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Viana, Cláudia M., Sandra Oliveira, Sérgio C. Oliveira, and Jorge Rocha. 2019. “Land Use/Land Cover Change Detection and Urban Sprawl Analysis.” In </w:t>
      </w:r>
      <w:r>
        <w:rPr>
          <w:rFonts w:ascii="Calibri" w:hAnsi="Calibri" w:eastAsia="Times New Roman" w:cs="Times New Roman"/>
          <w:i/>
          <w:iCs/>
          <w14:ligatures w14:val="none"/>
        </w:rPr>
        <w:t>Spatial Modeling in GIS and R for Earth and Environmental Sciences</w:t>
      </w:r>
      <w:r>
        <w:rPr>
          <w:rFonts w:ascii="Calibri" w:hAnsi="Calibri" w:eastAsia="Times New Roman" w:cs="Times New Roman"/>
          <w14:ligatures w14:val="none"/>
        </w:rPr>
        <w:t>. Elsevier. https://doi.org/10.1016/B978-0-12-815226-3.00029-6.</w:t>
      </w:r>
    </w:p>
    <w:p w14:paraId="5E87788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Waheeb, Rasha. 2023. “The Concept of Urbanization in Developing Countries.” </w:t>
      </w:r>
      <w:r>
        <w:rPr>
          <w:rFonts w:ascii="Calibri" w:hAnsi="Calibri" w:eastAsia="Times New Roman" w:cs="Times New Roman"/>
          <w:i/>
          <w:iCs/>
          <w14:ligatures w14:val="none"/>
        </w:rPr>
        <w:t>SSRN Electronic Journal</w:t>
      </w:r>
      <w:r>
        <w:rPr>
          <w:rFonts w:ascii="Calibri" w:hAnsi="Calibri" w:eastAsia="Times New Roman" w:cs="Times New Roman"/>
          <w14:ligatures w14:val="none"/>
        </w:rPr>
        <w:t>, ahead of print. https://doi.org/10.2139/ssrn.4468913.</w:t>
      </w:r>
    </w:p>
    <w:p w14:paraId="0E26A37D">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Wang, Haoyang, Chunyi Li, Meng Li, Yangying Zhan, Kexin Liu, and Junxuan Li. 2025. “The Analysis of Spatial and Temporal Changes in Ecological Quality and Its Drivers in the Baiyangdian Watershed.” </w:t>
      </w:r>
      <w:r>
        <w:rPr>
          <w:rFonts w:ascii="Calibri" w:hAnsi="Calibri" w:eastAsia="Times New Roman" w:cs="Times New Roman"/>
          <w:i/>
          <w:iCs/>
          <w14:ligatures w14:val="none"/>
        </w:rPr>
        <w:t>Remote Sensing</w:t>
      </w:r>
      <w:r>
        <w:rPr>
          <w:rFonts w:ascii="Calibri" w:hAnsi="Calibri" w:eastAsia="Times New Roman" w:cs="Times New Roman"/>
          <w14:ligatures w14:val="none"/>
        </w:rPr>
        <w:t xml:space="preserve"> 17 (17): 3017. https://doi.org/10.3390/rs17173017.</w:t>
      </w:r>
    </w:p>
    <w:p w14:paraId="7B5AB5D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Wang, Xinyu, Xiangfeng Meng, and Ying Long. 2022. “Projecting 1 Km-Grid Population Distributions from 2020 to 2100 Globally under Shared Socioeconomic Pathways.” </w:t>
      </w:r>
      <w:r>
        <w:rPr>
          <w:rFonts w:ascii="Calibri" w:hAnsi="Calibri" w:eastAsia="Times New Roman" w:cs="Times New Roman"/>
          <w:i/>
          <w:iCs/>
          <w14:ligatures w14:val="none"/>
        </w:rPr>
        <w:t>Scientific Data</w:t>
      </w:r>
      <w:r>
        <w:rPr>
          <w:rFonts w:ascii="Calibri" w:hAnsi="Calibri" w:eastAsia="Times New Roman" w:cs="Times New Roman"/>
          <w14:ligatures w14:val="none"/>
        </w:rPr>
        <w:t xml:space="preserve"> 9 (1): 563. https://doi.org/10.1038/s41597-022-01675-x.</w:t>
      </w:r>
    </w:p>
    <w:p w14:paraId="61FF0B97">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Wang, Zhirong, Tongxin Wang, Xiujuan Zhang, et al. 2024. “Biodiversity Conservation in the Context of Climate Change: Facing Challenges and Management Strategies.” </w:t>
      </w:r>
      <w:r>
        <w:rPr>
          <w:rFonts w:ascii="Calibri" w:hAnsi="Calibri" w:eastAsia="Times New Roman" w:cs="Times New Roman"/>
          <w:i/>
          <w:iCs/>
          <w14:ligatures w14:val="none"/>
        </w:rPr>
        <w:t>Science of The Total Environment</w:t>
      </w:r>
      <w:r>
        <w:rPr>
          <w:rFonts w:ascii="Calibri" w:hAnsi="Calibri" w:eastAsia="Times New Roman" w:cs="Times New Roman"/>
          <w14:ligatures w14:val="none"/>
        </w:rPr>
        <w:t xml:space="preserve"> 937 (August): 173377. https://doi.org/10.1016/j.scitotenv.2024.173377.</w:t>
      </w:r>
    </w:p>
    <w:p w14:paraId="106C7DE5">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Watermeyer, Kate E., Gurutzeta Guillera‐Arroita, Payal Bal, et al. 2021. “Using Decision Science to Evaluate Global Biodiversity Indices.” </w:t>
      </w:r>
      <w:r>
        <w:rPr>
          <w:rFonts w:ascii="Calibri" w:hAnsi="Calibri" w:eastAsia="Times New Roman" w:cs="Times New Roman"/>
          <w:i/>
          <w:iCs/>
          <w14:ligatures w14:val="none"/>
        </w:rPr>
        <w:t>Conservation Biology</w:t>
      </w:r>
      <w:r>
        <w:rPr>
          <w:rFonts w:ascii="Calibri" w:hAnsi="Calibri" w:eastAsia="Times New Roman" w:cs="Times New Roman"/>
          <w14:ligatures w14:val="none"/>
        </w:rPr>
        <w:t xml:space="preserve"> 35 (2): 492–501. https://doi.org/10.1111/cobi.13574.</w:t>
      </w:r>
    </w:p>
    <w:p w14:paraId="2D266C1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Weiskopf, Sarah R., Susannah B. Lerman, Forest Isbell, and Toni Lyn Morelli. 2024. “Biodiversity Promotes Urban Ecosystem Functioning.” </w:t>
      </w:r>
      <w:r>
        <w:rPr>
          <w:rFonts w:ascii="Calibri" w:hAnsi="Calibri" w:eastAsia="Times New Roman" w:cs="Times New Roman"/>
          <w:i/>
          <w:iCs/>
          <w14:ligatures w14:val="none"/>
        </w:rPr>
        <w:t>Ecography</w:t>
      </w:r>
      <w:r>
        <w:rPr>
          <w:rFonts w:ascii="Calibri" w:hAnsi="Calibri" w:eastAsia="Times New Roman" w:cs="Times New Roman"/>
          <w14:ligatures w14:val="none"/>
        </w:rPr>
        <w:t xml:space="preserve"> 2024 (9): e07366. https://doi.org/10.1111/ecog.07366.</w:t>
      </w:r>
    </w:p>
    <w:p w14:paraId="360DAD8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Weldegebriel, Amanuel, Engdawork Assefa, Katarzyna Janusz, Meron Tekalign, and Anton Van Rompaey. 2021. “Spatial Analysis of Intra-Urban Land Use Dynamics in Sub-Saharan Africa: The Case of Addis Ababa (Ethiopia).” </w:t>
      </w:r>
      <w:r>
        <w:rPr>
          <w:rFonts w:ascii="Calibri" w:hAnsi="Calibri" w:eastAsia="Times New Roman" w:cs="Times New Roman"/>
          <w:i/>
          <w:iCs/>
          <w14:ligatures w14:val="none"/>
        </w:rPr>
        <w:t>Urban Science</w:t>
      </w:r>
      <w:r>
        <w:rPr>
          <w:rFonts w:ascii="Calibri" w:hAnsi="Calibri" w:eastAsia="Times New Roman" w:cs="Times New Roman"/>
          <w14:ligatures w14:val="none"/>
        </w:rPr>
        <w:t xml:space="preserve"> 5 (3): 57. https://doi.org/10.3390/urbansci5030057.</w:t>
      </w:r>
    </w:p>
    <w:p w14:paraId="45C6376E">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Weng, Chengyu, Henry Hooghiemstra, and Joost F. Duivenvoorden. 2006. “Challenges in Estimating Past Plant Diversity from Fossil Pollen Data: Statistical Assessment, Problems, and Possible Solutions.” </w:t>
      </w:r>
      <w:r>
        <w:rPr>
          <w:rFonts w:ascii="Calibri" w:hAnsi="Calibri" w:eastAsia="Times New Roman" w:cs="Times New Roman"/>
          <w:i/>
          <w:iCs/>
          <w14:ligatures w14:val="none"/>
        </w:rPr>
        <w:t>Diversity and Distributions</w:t>
      </w:r>
      <w:r>
        <w:rPr>
          <w:rFonts w:ascii="Calibri" w:hAnsi="Calibri" w:eastAsia="Times New Roman" w:cs="Times New Roman"/>
          <w14:ligatures w14:val="none"/>
        </w:rPr>
        <w:t xml:space="preserve"> 12 (3): 310–18. https://doi.org/10.1111/j.1366-9516.2006.00230.x.</w:t>
      </w:r>
    </w:p>
    <w:p w14:paraId="604963AE">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Wentz, Elizabeth, Sharolyn Anderson, Michail Fragkias, et al. 2014. “Supporting Global Environmental Change Research: A Review of Trends and Knowledge Gaps in Urban Remote Sensing.” </w:t>
      </w:r>
      <w:r>
        <w:rPr>
          <w:rFonts w:ascii="Calibri" w:hAnsi="Calibri" w:eastAsia="Times New Roman" w:cs="Times New Roman"/>
          <w:i/>
          <w:iCs/>
          <w14:ligatures w14:val="none"/>
        </w:rPr>
        <w:t>Remote Sensing</w:t>
      </w:r>
      <w:r>
        <w:rPr>
          <w:rFonts w:ascii="Calibri" w:hAnsi="Calibri" w:eastAsia="Times New Roman" w:cs="Times New Roman"/>
          <w14:ligatures w14:val="none"/>
        </w:rPr>
        <w:t xml:space="preserve"> 6 (5): 3879–905. https://doi.org/10.3390/rs6053879.</w:t>
      </w:r>
    </w:p>
    <w:p w14:paraId="7A81F98D">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Wu, Jianguo. 2014. “Urban Ecology and Sustainability: The State-of-the-Science and Future Directions.” </w:t>
      </w:r>
      <w:r>
        <w:rPr>
          <w:rFonts w:ascii="Calibri" w:hAnsi="Calibri" w:eastAsia="Times New Roman" w:cs="Times New Roman"/>
          <w:i/>
          <w:iCs/>
          <w14:ligatures w14:val="none"/>
        </w:rPr>
        <w:t>Landscape and Urban Planning</w:t>
      </w:r>
      <w:r>
        <w:rPr>
          <w:rFonts w:ascii="Calibri" w:hAnsi="Calibri" w:eastAsia="Times New Roman" w:cs="Times New Roman"/>
          <w14:ligatures w14:val="none"/>
        </w:rPr>
        <w:t xml:space="preserve"> 125 (May): 209–21. https://doi.org/10.1016/j.landurbplan.2014.01.018.</w:t>
      </w:r>
    </w:p>
    <w:p w14:paraId="674F9347">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Xiao, Rui, Shiliang Su, Zhonghao Zhang, Jiaguo Qi, Diwei Jiang, and Jiaping Wu. 2013. “Dynamics of Soil Sealing and Soil Landscape Patterns under Rapid Urbanization.” </w:t>
      </w:r>
      <w:r>
        <w:rPr>
          <w:rFonts w:ascii="Calibri" w:hAnsi="Calibri" w:eastAsia="Times New Roman" w:cs="Times New Roman"/>
          <w:i/>
          <w:iCs/>
          <w14:ligatures w14:val="none"/>
        </w:rPr>
        <w:t>CATENA</w:t>
      </w:r>
      <w:r>
        <w:rPr>
          <w:rFonts w:ascii="Calibri" w:hAnsi="Calibri" w:eastAsia="Times New Roman" w:cs="Times New Roman"/>
          <w14:ligatures w14:val="none"/>
        </w:rPr>
        <w:t xml:space="preserve"> 109 (October): 1–12. https://doi.org/10.1016/j.catena.2013.05.004.</w:t>
      </w:r>
    </w:p>
    <w:p w14:paraId="72D1EAC6">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Xie, Hualin, Yanwei Zhang, Xiaoji Zeng, and Yafen He. 2020. “Sustainable Land Use and Management Research: A Scientometric Review.” </w:t>
      </w:r>
      <w:r>
        <w:rPr>
          <w:rFonts w:ascii="Calibri" w:hAnsi="Calibri" w:eastAsia="Times New Roman" w:cs="Times New Roman"/>
          <w:i/>
          <w:iCs/>
          <w14:ligatures w14:val="none"/>
        </w:rPr>
        <w:t>Landscape Ecology</w:t>
      </w:r>
      <w:r>
        <w:rPr>
          <w:rFonts w:ascii="Calibri" w:hAnsi="Calibri" w:eastAsia="Times New Roman" w:cs="Times New Roman"/>
          <w14:ligatures w14:val="none"/>
        </w:rPr>
        <w:t xml:space="preserve"> 35 (11): 2381–411. https://doi.org/10.1007/s10980-020-01002-y.</w:t>
      </w:r>
    </w:p>
    <w:p w14:paraId="7A28A1EA">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Xu, Ce, Gaoliu Huang, and Maomao Zhang. 2024. “Comparative Analysis of the Seasonal Driving Factors of the Urban Heat Environment Using Machine Learning: Evidence from the Wuhan Urban Agglomeration, China, 2020.” </w:t>
      </w:r>
      <w:r>
        <w:rPr>
          <w:rFonts w:ascii="Calibri" w:hAnsi="Calibri" w:eastAsia="Times New Roman" w:cs="Times New Roman"/>
          <w:i/>
          <w:iCs/>
          <w14:ligatures w14:val="none"/>
        </w:rPr>
        <w:t>Atmosphere</w:t>
      </w:r>
      <w:r>
        <w:rPr>
          <w:rFonts w:ascii="Calibri" w:hAnsi="Calibri" w:eastAsia="Times New Roman" w:cs="Times New Roman"/>
          <w14:ligatures w14:val="none"/>
        </w:rPr>
        <w:t xml:space="preserve"> 15 (6): 671. https://doi.org/10.3390/atmos15060671.</w:t>
      </w:r>
    </w:p>
    <w:p w14:paraId="03D8951C">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Xu, Zhiyuan, Fuyan Ke, Jiajie Yu, and Haotian Zhang. 2025. “Multi-Scale Analysis of Land Use Transition and Its Impact on Ecological Environment Quality: A Case Study of Zhejiang, China.” </w:t>
      </w:r>
      <w:r>
        <w:rPr>
          <w:rFonts w:ascii="Calibri" w:hAnsi="Calibri" w:eastAsia="Times New Roman" w:cs="Times New Roman"/>
          <w:i/>
          <w:iCs/>
          <w14:ligatures w14:val="none"/>
        </w:rPr>
        <w:t>Land</w:t>
      </w:r>
      <w:r>
        <w:rPr>
          <w:rFonts w:ascii="Calibri" w:hAnsi="Calibri" w:eastAsia="Times New Roman" w:cs="Times New Roman"/>
          <w14:ligatures w14:val="none"/>
        </w:rPr>
        <w:t xml:space="preserve"> 14 (8): 1569. https://doi.org/10.3390/land14081569.</w:t>
      </w:r>
    </w:p>
    <w:p w14:paraId="26DCF37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YAGER, G. O, M Modu, and S. Abu. 2024. “Appraisal of Traditional Institutions’ Contributions to </w:t>
      </w:r>
      <w:r>
        <w:rPr>
          <w:rFonts w:ascii="Calibri" w:hAnsi="Calibri" w:eastAsia="Times New Roman" w:cs="Times New Roman"/>
          <w14:ligatures w14:val="none"/>
        </w:rPr>
        <w:tab/>
      </w:r>
      <w:r>
        <w:rPr>
          <w:rFonts w:ascii="Calibri" w:hAnsi="Calibri" w:eastAsia="Times New Roman" w:cs="Times New Roman"/>
          <w14:ligatures w14:val="none"/>
        </w:rPr>
        <w:t xml:space="preserve">Conservation of Okpanowa Forest Range Resources in Apa Local Government Area, Benue </w:t>
      </w:r>
      <w:r>
        <w:rPr>
          <w:rFonts w:ascii="Calibri" w:hAnsi="Calibri" w:eastAsia="Times New Roman" w:cs="Times New Roman"/>
          <w14:ligatures w14:val="none"/>
        </w:rPr>
        <w:tab/>
      </w:r>
      <w:r>
        <w:rPr>
          <w:rFonts w:ascii="Calibri" w:hAnsi="Calibri" w:eastAsia="Times New Roman" w:cs="Times New Roman"/>
          <w14:ligatures w14:val="none"/>
        </w:rPr>
        <w:t xml:space="preserve">State, Nigeria.” </w:t>
      </w:r>
      <w:r>
        <w:rPr>
          <w:rFonts w:ascii="Calibri" w:hAnsi="Calibri" w:eastAsia="Times New Roman" w:cs="Times New Roman"/>
          <w:i/>
          <w:iCs/>
          <w14:ligatures w14:val="none"/>
        </w:rPr>
        <w:t>Journal of Arid Agriculture</w:t>
      </w:r>
      <w:r>
        <w:rPr>
          <w:rFonts w:ascii="Calibri" w:hAnsi="Calibri" w:eastAsia="Times New Roman" w:cs="Times New Roman"/>
          <w14:ligatures w14:val="none"/>
        </w:rPr>
        <w:t xml:space="preserve"> 25. (1 (2024)). https://jaaunimaid.ng/index.php/home/article/view/17.</w:t>
      </w:r>
    </w:p>
    <w:p w14:paraId="05750116">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Yaghoobi, Masoomeh, Alireza Vafaeenejad, Hamidreza Moradi, and Hossein Hashemi. 2022. “Analysis of Landscape Composition and Configuration Based on LULC Change Modeling.” </w:t>
      </w:r>
      <w:r>
        <w:rPr>
          <w:rFonts w:ascii="Calibri" w:hAnsi="Calibri" w:eastAsia="Times New Roman" w:cs="Times New Roman"/>
          <w:i/>
          <w:iCs/>
          <w14:ligatures w14:val="none"/>
        </w:rPr>
        <w:t>Sustainability</w:t>
      </w:r>
      <w:r>
        <w:rPr>
          <w:rFonts w:ascii="Calibri" w:hAnsi="Calibri" w:eastAsia="Times New Roman" w:cs="Times New Roman"/>
          <w14:ligatures w14:val="none"/>
        </w:rPr>
        <w:t xml:space="preserve"> 14 (20): 13070. https://doi.org/10.3390/su142013070.</w:t>
      </w:r>
    </w:p>
    <w:p w14:paraId="74B76F3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Yin, Yali, Jiajun Tong, Jiali Gu, et al. 2024. “Socio-Hydrology Pathway of Grain Virtual Water Flow in China.” </w:t>
      </w:r>
      <w:r>
        <w:rPr>
          <w:rFonts w:ascii="Calibri" w:hAnsi="Calibri" w:eastAsia="Times New Roman" w:cs="Times New Roman"/>
          <w:i/>
          <w:iCs/>
          <w14:ligatures w14:val="none"/>
        </w:rPr>
        <w:t>Agricultural Water Management</w:t>
      </w:r>
      <w:r>
        <w:rPr>
          <w:rFonts w:ascii="Calibri" w:hAnsi="Calibri" w:eastAsia="Times New Roman" w:cs="Times New Roman"/>
          <w14:ligatures w14:val="none"/>
        </w:rPr>
        <w:t xml:space="preserve"> 292 (March): 108658. https://doi.org/10.1016/j.agwat.2023.108658.</w:t>
      </w:r>
    </w:p>
    <w:p w14:paraId="3C31D8EF">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Zaninotto, Vincent, Arthur Fauviau, and Isabelle Dajoz. 2023. “Diversity of Greenspace Design and Management Impacts Pollinator Communities in a Densely Urbanized Landscape: The City of Paris, France.” </w:t>
      </w:r>
      <w:r>
        <w:rPr>
          <w:rFonts w:ascii="Calibri" w:hAnsi="Calibri" w:eastAsia="Times New Roman" w:cs="Times New Roman"/>
          <w:i/>
          <w:iCs/>
          <w14:ligatures w14:val="none"/>
        </w:rPr>
        <w:t>Urban Ecosystems</w:t>
      </w:r>
      <w:r>
        <w:rPr>
          <w:rFonts w:ascii="Calibri" w:hAnsi="Calibri" w:eastAsia="Times New Roman" w:cs="Times New Roman"/>
          <w14:ligatures w14:val="none"/>
        </w:rPr>
        <w:t xml:space="preserve"> 26 (2): 503–15. https://doi.org/10.1007/s11252-023-01351-x.</w:t>
      </w:r>
    </w:p>
    <w:p w14:paraId="5F5C27C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Zhang, Qian, Dian Zhou, Duo Xu, and Alessandro Rogora. 2022. “Correlation between Cooling Effect of Green Space and Surrounding Urban Spatial Form: Evidence from 36 Urban Green Spaces.” </w:t>
      </w:r>
      <w:r>
        <w:rPr>
          <w:rFonts w:ascii="Calibri" w:hAnsi="Calibri" w:eastAsia="Times New Roman" w:cs="Times New Roman"/>
          <w:i/>
          <w:iCs/>
          <w14:ligatures w14:val="none"/>
        </w:rPr>
        <w:t>Building and Environment</w:t>
      </w:r>
      <w:r>
        <w:rPr>
          <w:rFonts w:ascii="Calibri" w:hAnsi="Calibri" w:eastAsia="Times New Roman" w:cs="Times New Roman"/>
          <w14:ligatures w14:val="none"/>
        </w:rPr>
        <w:t xml:space="preserve"> 222 (August): 109375. https://doi.org/10.1016/j.buildenv.2022.109375.</w:t>
      </w:r>
    </w:p>
    <w:p w14:paraId="6D6E1CA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Zhang, Ruiyang, Dashuan Tian, Jinsong Wang, and Shuli Niu. 2023. “Critical Role of Multidimensional Biodiversity in Contributing to Ecosystem Sustainability under Global Change.” </w:t>
      </w:r>
      <w:r>
        <w:rPr>
          <w:rFonts w:ascii="Calibri" w:hAnsi="Calibri" w:eastAsia="Times New Roman" w:cs="Times New Roman"/>
          <w:i/>
          <w:iCs/>
          <w14:ligatures w14:val="none"/>
        </w:rPr>
        <w:t>Geography and Sustainability</w:t>
      </w:r>
      <w:r>
        <w:rPr>
          <w:rFonts w:ascii="Calibri" w:hAnsi="Calibri" w:eastAsia="Times New Roman" w:cs="Times New Roman"/>
          <w14:ligatures w14:val="none"/>
        </w:rPr>
        <w:t xml:space="preserve"> 4 (3): 232–43. https://doi.org/10.1016/j.geosus.2023.05.002.</w:t>
      </w:r>
    </w:p>
    <w:p w14:paraId="344D66EB">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Zhang, Yongyong, Jun Xia, Jingjie Yu, et al. 2018. “Simulation and Assessment of Urbanization Impacts on Runoff Metrics: Insights from Landuse Changes.” </w:t>
      </w:r>
      <w:r>
        <w:rPr>
          <w:rFonts w:ascii="Calibri" w:hAnsi="Calibri" w:eastAsia="Times New Roman" w:cs="Times New Roman"/>
          <w:i/>
          <w:iCs/>
          <w14:ligatures w14:val="none"/>
        </w:rPr>
        <w:t>Journal of Hydrology</w:t>
      </w:r>
      <w:r>
        <w:rPr>
          <w:rFonts w:ascii="Calibri" w:hAnsi="Calibri" w:eastAsia="Times New Roman" w:cs="Times New Roman"/>
          <w14:ligatures w14:val="none"/>
        </w:rPr>
        <w:t xml:space="preserve"> 560 (May): 247–58. https://doi.org/10.1016/j.jhydrol.2018.03.031.</w:t>
      </w:r>
    </w:p>
    <w:p w14:paraId="187206C9">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Zhiyanski, Miglena, Maria Sokolovska, Maria Glushkova, Urša Vilhar, and Lyudmila Lozanova. 2017. “Soil Quality.” In </w:t>
      </w:r>
      <w:r>
        <w:rPr>
          <w:rFonts w:ascii="Calibri" w:hAnsi="Calibri" w:eastAsia="Times New Roman" w:cs="Times New Roman"/>
          <w:i/>
          <w:iCs/>
          <w14:ligatures w14:val="none"/>
        </w:rPr>
        <w:t>The Urban Forest</w:t>
      </w:r>
      <w:r>
        <w:rPr>
          <w:rFonts w:ascii="Calibri" w:hAnsi="Calibri" w:eastAsia="Times New Roman" w:cs="Times New Roman"/>
          <w14:ligatures w14:val="none"/>
        </w:rPr>
        <w:t>, edited by David Pearlmutter, Carlo Calfapietra, Roeland Samson, et al., vol. 7. Future City. Springer International Publishing. https://doi.org/10.1007/978-3-319-50280-9_6.</w:t>
      </w:r>
    </w:p>
    <w:p w14:paraId="697B1672">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Zhu, Xiangming, Wei Peng, Qingyang Xie, and Enhua Ran. 2024. “Effects of Soil Compaction Stress Combined with Drought on Soil Pore Structure, Root System Development, and Maize Growth in Early Stage.” </w:t>
      </w:r>
      <w:r>
        <w:rPr>
          <w:rFonts w:ascii="Calibri" w:hAnsi="Calibri" w:eastAsia="Times New Roman" w:cs="Times New Roman"/>
          <w:i/>
          <w:iCs/>
          <w14:ligatures w14:val="none"/>
        </w:rPr>
        <w:t>Plants</w:t>
      </w:r>
      <w:r>
        <w:rPr>
          <w:rFonts w:ascii="Calibri" w:hAnsi="Calibri" w:eastAsia="Times New Roman" w:cs="Times New Roman"/>
          <w14:ligatures w14:val="none"/>
        </w:rPr>
        <w:t xml:space="preserve"> 13 (22): 3185. https://doi.org/10.3390/plants13223185.</w:t>
      </w:r>
    </w:p>
    <w:bookmarkEnd w:id="94"/>
    <w:p w14:paraId="321913EB">
      <w:pPr>
        <w:spacing w:before="100" w:beforeAutospacing="1" w:line="256" w:lineRule="auto"/>
        <w:rPr>
          <w:rFonts w:ascii="Calibri" w:hAnsi="Calibri" w:eastAsia="Times New Roman" w:cs="Times New Roman"/>
          <w14:ligatures w14:val="none"/>
        </w:rPr>
      </w:pPr>
    </w:p>
    <w:p w14:paraId="071DE58F">
      <w:pPr>
        <w:spacing w:before="100" w:beforeAutospacing="1" w:after="100" w:afterAutospacing="1" w:line="240" w:lineRule="auto"/>
        <w:jc w:val="center"/>
        <w:outlineLvl w:val="0"/>
        <w:rPr>
          <w:rFonts w:ascii="Times New Roman" w:hAnsi="Times New Roman" w:eastAsia="Times New Roman" w:cs="Times New Roman"/>
          <w:b/>
          <w:bCs/>
          <w:kern w:val="36"/>
          <w:sz w:val="24"/>
          <w:szCs w:val="24"/>
          <w14:ligatures w14:val="none"/>
        </w:rPr>
      </w:pPr>
      <w:bookmarkStart w:id="95" w:name="_Toc215220541"/>
      <w:r>
        <w:rPr>
          <w:rFonts w:ascii="Times New Roman" w:hAnsi="Times New Roman" w:eastAsia="Times New Roman" w:cs="Times New Roman"/>
          <w:b/>
          <w:bCs/>
          <w:kern w:val="36"/>
          <w:sz w:val="24"/>
          <w:szCs w:val="24"/>
          <w14:ligatures w14:val="none"/>
        </w:rPr>
        <w:t>LIST OF ABBREVIATIONS</w:t>
      </w:r>
      <w:bookmarkEnd w:id="95"/>
    </w:p>
    <w:tbl>
      <w:tblPr>
        <w:tblStyle w:val="19"/>
        <w:tblW w:w="9008"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00" w:type="dxa"/>
          <w:left w:w="100" w:type="dxa"/>
          <w:bottom w:w="100" w:type="dxa"/>
          <w:right w:w="100" w:type="dxa"/>
        </w:tblCellMar>
      </w:tblPr>
      <w:tblGrid>
        <w:gridCol w:w="4140"/>
        <w:gridCol w:w="4868"/>
      </w:tblGrid>
      <w:tr w14:paraId="4AF5422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20FC417E">
            <w:pPr>
              <w:spacing w:before="100" w:beforeAutospacing="1" w:after="0" w:line="240" w:lineRule="auto"/>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Abbreviation</w:t>
            </w:r>
          </w:p>
        </w:tc>
        <w:tc>
          <w:tcPr>
            <w:tcW w:w="4868" w:type="dxa"/>
            <w:tcBorders>
              <w:top w:val="nil"/>
              <w:left w:val="nil"/>
              <w:bottom w:val="nil"/>
              <w:right w:val="nil"/>
            </w:tcBorders>
            <w:vAlign w:val="center"/>
          </w:tcPr>
          <w:p w14:paraId="08694E80">
            <w:pPr>
              <w:spacing w:before="100" w:beforeAutospacing="1" w:after="0" w:line="240" w:lineRule="auto"/>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Full Meaning</w:t>
            </w:r>
          </w:p>
        </w:tc>
      </w:tr>
      <w:tr w14:paraId="7C4B3F0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3DF831E7">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AIC</w:t>
            </w:r>
          </w:p>
        </w:tc>
        <w:tc>
          <w:tcPr>
            <w:tcW w:w="4868" w:type="dxa"/>
            <w:tcBorders>
              <w:top w:val="nil"/>
              <w:left w:val="nil"/>
              <w:bottom w:val="nil"/>
              <w:right w:val="nil"/>
            </w:tcBorders>
            <w:vAlign w:val="center"/>
          </w:tcPr>
          <w:p w14:paraId="759F534A">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Akaike Information Criterion</w:t>
            </w:r>
          </w:p>
        </w:tc>
      </w:tr>
      <w:tr w14:paraId="6B2B949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6DBF01FB">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ANOVA</w:t>
            </w:r>
          </w:p>
        </w:tc>
        <w:tc>
          <w:tcPr>
            <w:tcW w:w="4868" w:type="dxa"/>
            <w:tcBorders>
              <w:top w:val="nil"/>
              <w:left w:val="nil"/>
              <w:bottom w:val="nil"/>
              <w:right w:val="nil"/>
            </w:tcBorders>
            <w:vAlign w:val="center"/>
          </w:tcPr>
          <w:p w14:paraId="53BBEACD">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Analysis of Variance</w:t>
            </w:r>
          </w:p>
        </w:tc>
      </w:tr>
      <w:tr w14:paraId="050CA1B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01F11239">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BD</w:t>
            </w:r>
          </w:p>
        </w:tc>
        <w:tc>
          <w:tcPr>
            <w:tcW w:w="4868" w:type="dxa"/>
            <w:tcBorders>
              <w:top w:val="nil"/>
              <w:left w:val="nil"/>
              <w:bottom w:val="nil"/>
              <w:right w:val="nil"/>
            </w:tcBorders>
            <w:vAlign w:val="center"/>
          </w:tcPr>
          <w:p w14:paraId="1854B767">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Bulk Density</w:t>
            </w:r>
          </w:p>
        </w:tc>
      </w:tr>
      <w:tr w14:paraId="112B2FD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50A4DC45">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BIC</w:t>
            </w:r>
          </w:p>
        </w:tc>
        <w:tc>
          <w:tcPr>
            <w:tcW w:w="4868" w:type="dxa"/>
            <w:tcBorders>
              <w:top w:val="nil"/>
              <w:left w:val="nil"/>
              <w:bottom w:val="nil"/>
              <w:right w:val="nil"/>
            </w:tcBorders>
            <w:vAlign w:val="center"/>
          </w:tcPr>
          <w:p w14:paraId="5FA32765">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Bayesian Information Criterion</w:t>
            </w:r>
          </w:p>
        </w:tc>
      </w:tr>
      <w:tr w14:paraId="461607C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40D76FB9">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BuiltUP</w:t>
            </w:r>
          </w:p>
        </w:tc>
        <w:tc>
          <w:tcPr>
            <w:tcW w:w="4868" w:type="dxa"/>
            <w:tcBorders>
              <w:top w:val="nil"/>
              <w:left w:val="nil"/>
              <w:bottom w:val="nil"/>
              <w:right w:val="nil"/>
            </w:tcBorders>
            <w:vAlign w:val="center"/>
          </w:tcPr>
          <w:p w14:paraId="23E5E885">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Built-up Density (Urbanization Metric)</w:t>
            </w:r>
          </w:p>
        </w:tc>
      </w:tr>
      <w:tr w14:paraId="30CFB5A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5634AEB0">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CEC</w:t>
            </w:r>
          </w:p>
        </w:tc>
        <w:tc>
          <w:tcPr>
            <w:tcW w:w="4868" w:type="dxa"/>
            <w:tcBorders>
              <w:top w:val="nil"/>
              <w:left w:val="nil"/>
              <w:bottom w:val="nil"/>
              <w:right w:val="nil"/>
            </w:tcBorders>
            <w:vAlign w:val="center"/>
          </w:tcPr>
          <w:p w14:paraId="3E1E7087">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Cation Exchange Capacity</w:t>
            </w:r>
          </w:p>
        </w:tc>
      </w:tr>
      <w:tr w14:paraId="5CCF0AD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9" w:hRule="atLeast"/>
        </w:trPr>
        <w:tc>
          <w:tcPr>
            <w:tcW w:w="4140" w:type="dxa"/>
            <w:tcBorders>
              <w:top w:val="nil"/>
              <w:left w:val="nil"/>
              <w:bottom w:val="nil"/>
              <w:right w:val="nil"/>
            </w:tcBorders>
            <w:vAlign w:val="center"/>
          </w:tcPr>
          <w:p w14:paraId="2B795E07">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CSV</w:t>
            </w:r>
          </w:p>
        </w:tc>
        <w:tc>
          <w:tcPr>
            <w:tcW w:w="4868" w:type="dxa"/>
            <w:tcBorders>
              <w:top w:val="nil"/>
              <w:left w:val="nil"/>
              <w:bottom w:val="nil"/>
              <w:right w:val="nil"/>
            </w:tcBorders>
            <w:vAlign w:val="center"/>
          </w:tcPr>
          <w:p w14:paraId="6A190483">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Comma-Separated Values</w:t>
            </w:r>
          </w:p>
        </w:tc>
      </w:tr>
      <w:tr w14:paraId="080A82F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0DE0314E">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D</w:t>
            </w:r>
          </w:p>
        </w:tc>
        <w:tc>
          <w:tcPr>
            <w:tcW w:w="4868" w:type="dxa"/>
            <w:tcBorders>
              <w:top w:val="nil"/>
              <w:left w:val="nil"/>
              <w:bottom w:val="nil"/>
              <w:right w:val="nil"/>
            </w:tcBorders>
            <w:vAlign w:val="center"/>
          </w:tcPr>
          <w:p w14:paraId="6CD02439">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Simpson’s Diversity Index</w:t>
            </w:r>
          </w:p>
        </w:tc>
      </w:tr>
      <w:tr w14:paraId="3EEF564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164EF2B5">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E</w:t>
            </w:r>
          </w:p>
        </w:tc>
        <w:tc>
          <w:tcPr>
            <w:tcW w:w="4868" w:type="dxa"/>
            <w:tcBorders>
              <w:top w:val="nil"/>
              <w:left w:val="nil"/>
              <w:bottom w:val="nil"/>
              <w:right w:val="nil"/>
            </w:tcBorders>
            <w:vAlign w:val="center"/>
          </w:tcPr>
          <w:p w14:paraId="6DC1CD56">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Pielou’s Evenness</w:t>
            </w:r>
          </w:p>
        </w:tc>
      </w:tr>
      <w:tr w14:paraId="7ADDD31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7ECE9DC3">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EPI</w:t>
            </w:r>
          </w:p>
        </w:tc>
        <w:tc>
          <w:tcPr>
            <w:tcW w:w="4868" w:type="dxa"/>
            <w:tcBorders>
              <w:top w:val="nil"/>
              <w:left w:val="nil"/>
              <w:bottom w:val="nil"/>
              <w:right w:val="nil"/>
            </w:tcBorders>
            <w:vAlign w:val="center"/>
          </w:tcPr>
          <w:p w14:paraId="57874138">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Environmental Studies and Protection Issues</w:t>
            </w:r>
          </w:p>
        </w:tc>
      </w:tr>
      <w:tr w14:paraId="0750255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2AF7F9B7">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ETM+</w:t>
            </w:r>
          </w:p>
        </w:tc>
        <w:tc>
          <w:tcPr>
            <w:tcW w:w="4868" w:type="dxa"/>
            <w:tcBorders>
              <w:top w:val="nil"/>
              <w:left w:val="nil"/>
              <w:bottom w:val="nil"/>
              <w:right w:val="nil"/>
            </w:tcBorders>
            <w:vAlign w:val="center"/>
          </w:tcPr>
          <w:p w14:paraId="0633ABBD">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Enhanced Thematic Mapper Plus (Landsat)</w:t>
            </w:r>
          </w:p>
        </w:tc>
      </w:tr>
      <w:tr w14:paraId="617F3DE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28B62100">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EVI</w:t>
            </w:r>
          </w:p>
        </w:tc>
        <w:tc>
          <w:tcPr>
            <w:tcW w:w="4868" w:type="dxa"/>
            <w:tcBorders>
              <w:top w:val="nil"/>
              <w:left w:val="nil"/>
              <w:bottom w:val="nil"/>
              <w:right w:val="nil"/>
            </w:tcBorders>
            <w:vAlign w:val="center"/>
          </w:tcPr>
          <w:p w14:paraId="6E1CCA06">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Enhanced Vegetation Index</w:t>
            </w:r>
          </w:p>
        </w:tc>
      </w:tr>
      <w:tr w14:paraId="0F86C30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69763B74">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F-statistic</w:t>
            </w:r>
          </w:p>
        </w:tc>
        <w:tc>
          <w:tcPr>
            <w:tcW w:w="4868" w:type="dxa"/>
            <w:tcBorders>
              <w:top w:val="nil"/>
              <w:left w:val="nil"/>
              <w:bottom w:val="nil"/>
              <w:right w:val="nil"/>
            </w:tcBorders>
            <w:vAlign w:val="center"/>
          </w:tcPr>
          <w:p w14:paraId="77D3B2FE">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Fisher’s Test Statistic</w:t>
            </w:r>
          </w:p>
        </w:tc>
      </w:tr>
      <w:tr w14:paraId="364E50F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3FF45D53">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GEE</w:t>
            </w:r>
          </w:p>
        </w:tc>
        <w:tc>
          <w:tcPr>
            <w:tcW w:w="4868" w:type="dxa"/>
            <w:tcBorders>
              <w:top w:val="nil"/>
              <w:left w:val="nil"/>
              <w:bottom w:val="nil"/>
              <w:right w:val="nil"/>
            </w:tcBorders>
            <w:vAlign w:val="center"/>
          </w:tcPr>
          <w:p w14:paraId="1CAD1012">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Google Earth Engine</w:t>
            </w:r>
          </w:p>
        </w:tc>
      </w:tr>
      <w:tr w14:paraId="588432B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7585DA91">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GHG</w:t>
            </w:r>
          </w:p>
        </w:tc>
        <w:tc>
          <w:tcPr>
            <w:tcW w:w="4868" w:type="dxa"/>
            <w:tcBorders>
              <w:top w:val="nil"/>
              <w:left w:val="nil"/>
              <w:bottom w:val="nil"/>
              <w:right w:val="nil"/>
            </w:tcBorders>
            <w:vAlign w:val="center"/>
          </w:tcPr>
          <w:p w14:paraId="2B1ED2A8">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Greenhouse Gas</w:t>
            </w:r>
          </w:p>
        </w:tc>
      </w:tr>
      <w:tr w14:paraId="5DE8167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629BC0AC">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GIS</w:t>
            </w:r>
          </w:p>
        </w:tc>
        <w:tc>
          <w:tcPr>
            <w:tcW w:w="4868" w:type="dxa"/>
            <w:tcBorders>
              <w:top w:val="nil"/>
              <w:left w:val="nil"/>
              <w:bottom w:val="nil"/>
              <w:right w:val="nil"/>
            </w:tcBorders>
            <w:vAlign w:val="center"/>
          </w:tcPr>
          <w:p w14:paraId="0C3B66EC">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Geographic Information System</w:t>
            </w:r>
          </w:p>
        </w:tc>
      </w:tr>
      <w:tr w14:paraId="43B95FE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2BB1DB6C">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GPPmax</w:t>
            </w:r>
          </w:p>
        </w:tc>
        <w:tc>
          <w:tcPr>
            <w:tcW w:w="4868" w:type="dxa"/>
            <w:tcBorders>
              <w:top w:val="nil"/>
              <w:left w:val="nil"/>
              <w:bottom w:val="nil"/>
              <w:right w:val="nil"/>
            </w:tcBorders>
            <w:vAlign w:val="center"/>
          </w:tcPr>
          <w:p w14:paraId="613B8710">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Maximum Gross Primary Productivity</w:t>
            </w:r>
          </w:p>
        </w:tc>
      </w:tr>
      <w:tr w14:paraId="6F6C227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39A2159D">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GPS</w:t>
            </w:r>
          </w:p>
        </w:tc>
        <w:tc>
          <w:tcPr>
            <w:tcW w:w="4868" w:type="dxa"/>
            <w:tcBorders>
              <w:top w:val="nil"/>
              <w:left w:val="nil"/>
              <w:bottom w:val="nil"/>
              <w:right w:val="nil"/>
            </w:tcBorders>
            <w:vAlign w:val="center"/>
          </w:tcPr>
          <w:p w14:paraId="1A23EDF2">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Global Positioning System</w:t>
            </w:r>
          </w:p>
        </w:tc>
      </w:tr>
      <w:tr w14:paraId="3D5E0E4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22725ED6">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HAC</w:t>
            </w:r>
          </w:p>
        </w:tc>
        <w:tc>
          <w:tcPr>
            <w:tcW w:w="4868" w:type="dxa"/>
            <w:tcBorders>
              <w:top w:val="nil"/>
              <w:left w:val="nil"/>
              <w:bottom w:val="nil"/>
              <w:right w:val="nil"/>
            </w:tcBorders>
            <w:vAlign w:val="center"/>
          </w:tcPr>
          <w:p w14:paraId="18ACEF1E">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Higher Attestation Commission</w:t>
            </w:r>
          </w:p>
        </w:tc>
      </w:tr>
      <w:tr w14:paraId="73CF9E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5C571628">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H′</w:t>
            </w:r>
          </w:p>
        </w:tc>
        <w:tc>
          <w:tcPr>
            <w:tcW w:w="4868" w:type="dxa"/>
            <w:tcBorders>
              <w:top w:val="nil"/>
              <w:left w:val="nil"/>
              <w:bottom w:val="nil"/>
              <w:right w:val="nil"/>
            </w:tcBorders>
            <w:vAlign w:val="center"/>
          </w:tcPr>
          <w:p w14:paraId="13F9DE3E">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Shannon–Wiener Diversity Index</w:t>
            </w:r>
          </w:p>
        </w:tc>
      </w:tr>
      <w:tr w14:paraId="0FEAA0D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7F046EFB">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HSD</w:t>
            </w:r>
          </w:p>
        </w:tc>
        <w:tc>
          <w:tcPr>
            <w:tcW w:w="4868" w:type="dxa"/>
            <w:tcBorders>
              <w:top w:val="nil"/>
              <w:left w:val="nil"/>
              <w:bottom w:val="nil"/>
              <w:right w:val="nil"/>
            </w:tcBorders>
            <w:vAlign w:val="center"/>
          </w:tcPr>
          <w:p w14:paraId="682288E5">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Honestly Significant Difference</w:t>
            </w:r>
          </w:p>
        </w:tc>
      </w:tr>
      <w:tr w14:paraId="5712001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372853C8">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IDH</w:t>
            </w:r>
          </w:p>
        </w:tc>
        <w:tc>
          <w:tcPr>
            <w:tcW w:w="4868" w:type="dxa"/>
            <w:tcBorders>
              <w:top w:val="nil"/>
              <w:left w:val="nil"/>
              <w:bottom w:val="nil"/>
              <w:right w:val="nil"/>
            </w:tcBorders>
            <w:vAlign w:val="center"/>
          </w:tcPr>
          <w:p w14:paraId="2123020A">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Intermediate Disturbance Hypothesis</w:t>
            </w:r>
          </w:p>
        </w:tc>
      </w:tr>
      <w:tr w14:paraId="0B44007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9" w:hRule="atLeast"/>
        </w:trPr>
        <w:tc>
          <w:tcPr>
            <w:tcW w:w="4140" w:type="dxa"/>
            <w:tcBorders>
              <w:top w:val="nil"/>
              <w:left w:val="nil"/>
              <w:bottom w:val="nil"/>
              <w:right w:val="nil"/>
            </w:tcBorders>
            <w:vAlign w:val="center"/>
          </w:tcPr>
          <w:p w14:paraId="68995C1F">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IRJ</w:t>
            </w:r>
          </w:p>
        </w:tc>
        <w:tc>
          <w:tcPr>
            <w:tcW w:w="4868" w:type="dxa"/>
            <w:tcBorders>
              <w:top w:val="nil"/>
              <w:left w:val="nil"/>
              <w:bottom w:val="nil"/>
              <w:right w:val="nil"/>
            </w:tcBorders>
            <w:vAlign w:val="center"/>
          </w:tcPr>
          <w:p w14:paraId="5E700A32">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International Research Journal</w:t>
            </w:r>
          </w:p>
        </w:tc>
      </w:tr>
      <w:tr w14:paraId="6047D70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4AD1FEEA">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Km²</w:t>
            </w:r>
          </w:p>
        </w:tc>
        <w:tc>
          <w:tcPr>
            <w:tcW w:w="4868" w:type="dxa"/>
            <w:tcBorders>
              <w:top w:val="nil"/>
              <w:left w:val="nil"/>
              <w:bottom w:val="nil"/>
              <w:right w:val="nil"/>
            </w:tcBorders>
            <w:vAlign w:val="center"/>
          </w:tcPr>
          <w:p w14:paraId="752D2741">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Square Kilometre</w:t>
            </w:r>
          </w:p>
        </w:tc>
      </w:tr>
      <w:tr w14:paraId="64A1A36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3F122A66">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LGA</w:t>
            </w:r>
          </w:p>
        </w:tc>
        <w:tc>
          <w:tcPr>
            <w:tcW w:w="4868" w:type="dxa"/>
            <w:tcBorders>
              <w:top w:val="nil"/>
              <w:left w:val="nil"/>
              <w:bottom w:val="nil"/>
              <w:right w:val="nil"/>
            </w:tcBorders>
            <w:vAlign w:val="center"/>
          </w:tcPr>
          <w:p w14:paraId="36F15DA0">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Local Government Area</w:t>
            </w:r>
          </w:p>
        </w:tc>
      </w:tr>
      <w:tr w14:paraId="1F2E35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2806B648">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LM</w:t>
            </w:r>
          </w:p>
        </w:tc>
        <w:tc>
          <w:tcPr>
            <w:tcW w:w="4868" w:type="dxa"/>
            <w:tcBorders>
              <w:top w:val="nil"/>
              <w:left w:val="nil"/>
              <w:bottom w:val="nil"/>
              <w:right w:val="nil"/>
            </w:tcBorders>
            <w:vAlign w:val="center"/>
          </w:tcPr>
          <w:p w14:paraId="248BB868">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Lagrange Multiplier</w:t>
            </w:r>
          </w:p>
        </w:tc>
      </w:tr>
      <w:tr w14:paraId="086F99A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4AD52F15">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LULC</w:t>
            </w:r>
          </w:p>
        </w:tc>
        <w:tc>
          <w:tcPr>
            <w:tcW w:w="4868" w:type="dxa"/>
            <w:tcBorders>
              <w:top w:val="nil"/>
              <w:left w:val="nil"/>
              <w:bottom w:val="nil"/>
              <w:right w:val="nil"/>
            </w:tcBorders>
            <w:vAlign w:val="center"/>
          </w:tcPr>
          <w:p w14:paraId="6F7C23A0">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Land Use / Land Cover</w:t>
            </w:r>
          </w:p>
        </w:tc>
      </w:tr>
      <w:tr w14:paraId="3734BC0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3C665E21">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mm</w:t>
            </w:r>
          </w:p>
        </w:tc>
        <w:tc>
          <w:tcPr>
            <w:tcW w:w="4868" w:type="dxa"/>
            <w:tcBorders>
              <w:top w:val="nil"/>
              <w:left w:val="nil"/>
              <w:bottom w:val="nil"/>
              <w:right w:val="nil"/>
            </w:tcBorders>
            <w:vAlign w:val="center"/>
          </w:tcPr>
          <w:p w14:paraId="3E35F640">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Millimetres</w:t>
            </w:r>
          </w:p>
        </w:tc>
      </w:tr>
      <w:tr w14:paraId="2A3CABA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7D1F57DF">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N</w:t>
            </w:r>
          </w:p>
        </w:tc>
        <w:tc>
          <w:tcPr>
            <w:tcW w:w="4868" w:type="dxa"/>
            <w:tcBorders>
              <w:top w:val="nil"/>
              <w:left w:val="nil"/>
              <w:bottom w:val="nil"/>
              <w:right w:val="nil"/>
            </w:tcBorders>
            <w:vAlign w:val="center"/>
          </w:tcPr>
          <w:p w14:paraId="367B10B4">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Total Nitrogen</w:t>
            </w:r>
          </w:p>
        </w:tc>
      </w:tr>
      <w:tr w14:paraId="47E69A8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7490D19E">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NDVI</w:t>
            </w:r>
          </w:p>
        </w:tc>
        <w:tc>
          <w:tcPr>
            <w:tcW w:w="4868" w:type="dxa"/>
            <w:tcBorders>
              <w:top w:val="nil"/>
              <w:left w:val="nil"/>
              <w:bottom w:val="nil"/>
              <w:right w:val="nil"/>
            </w:tcBorders>
            <w:vAlign w:val="center"/>
          </w:tcPr>
          <w:p w14:paraId="72C698F3">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Normalized Difference Vegetation Index</w:t>
            </w:r>
          </w:p>
        </w:tc>
      </w:tr>
      <w:tr w14:paraId="2CACB46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74C36823">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NIR</w:t>
            </w:r>
          </w:p>
        </w:tc>
        <w:tc>
          <w:tcPr>
            <w:tcW w:w="4868" w:type="dxa"/>
            <w:tcBorders>
              <w:top w:val="nil"/>
              <w:left w:val="nil"/>
              <w:bottom w:val="nil"/>
              <w:right w:val="nil"/>
            </w:tcBorders>
            <w:vAlign w:val="center"/>
          </w:tcPr>
          <w:p w14:paraId="077EF5EA">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Near-Infrared</w:t>
            </w:r>
          </w:p>
        </w:tc>
      </w:tr>
      <w:tr w14:paraId="551288D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78919534">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NPC</w:t>
            </w:r>
          </w:p>
        </w:tc>
        <w:tc>
          <w:tcPr>
            <w:tcW w:w="4868" w:type="dxa"/>
            <w:tcBorders>
              <w:top w:val="nil"/>
              <w:left w:val="nil"/>
              <w:bottom w:val="nil"/>
              <w:right w:val="nil"/>
            </w:tcBorders>
            <w:vAlign w:val="center"/>
          </w:tcPr>
          <w:p w14:paraId="0415D82A">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National Population Commission</w:t>
            </w:r>
          </w:p>
        </w:tc>
      </w:tr>
      <w:tr w14:paraId="37643E5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43197CAC">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NPP</w:t>
            </w:r>
          </w:p>
        </w:tc>
        <w:tc>
          <w:tcPr>
            <w:tcW w:w="4868" w:type="dxa"/>
            <w:tcBorders>
              <w:top w:val="nil"/>
              <w:left w:val="nil"/>
              <w:bottom w:val="nil"/>
              <w:right w:val="nil"/>
            </w:tcBorders>
            <w:vAlign w:val="center"/>
          </w:tcPr>
          <w:p w14:paraId="43D0AC06">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Net Primary Productivity</w:t>
            </w:r>
          </w:p>
        </w:tc>
      </w:tr>
      <w:tr w14:paraId="546305F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1BB8797B">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NTL</w:t>
            </w:r>
          </w:p>
        </w:tc>
        <w:tc>
          <w:tcPr>
            <w:tcW w:w="4868" w:type="dxa"/>
            <w:tcBorders>
              <w:top w:val="nil"/>
              <w:left w:val="nil"/>
              <w:bottom w:val="nil"/>
              <w:right w:val="nil"/>
            </w:tcBorders>
            <w:vAlign w:val="center"/>
          </w:tcPr>
          <w:p w14:paraId="0F19306A">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Night-Time Light</w:t>
            </w:r>
          </w:p>
        </w:tc>
      </w:tr>
      <w:tr w14:paraId="177D39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75E96637">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OA</w:t>
            </w:r>
          </w:p>
        </w:tc>
        <w:tc>
          <w:tcPr>
            <w:tcW w:w="4868" w:type="dxa"/>
            <w:tcBorders>
              <w:top w:val="nil"/>
              <w:left w:val="nil"/>
              <w:bottom w:val="nil"/>
              <w:right w:val="nil"/>
            </w:tcBorders>
            <w:vAlign w:val="center"/>
          </w:tcPr>
          <w:p w14:paraId="16034BBC">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Overall Accuracy</w:t>
            </w:r>
          </w:p>
        </w:tc>
      </w:tr>
      <w:tr w14:paraId="4D93AE0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3A17754E">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OLI</w:t>
            </w:r>
          </w:p>
        </w:tc>
        <w:tc>
          <w:tcPr>
            <w:tcW w:w="4868" w:type="dxa"/>
            <w:tcBorders>
              <w:top w:val="nil"/>
              <w:left w:val="nil"/>
              <w:bottom w:val="nil"/>
              <w:right w:val="nil"/>
            </w:tcBorders>
            <w:vAlign w:val="center"/>
          </w:tcPr>
          <w:p w14:paraId="30FBF932">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Operational Land Imager (Landsat 8)</w:t>
            </w:r>
          </w:p>
        </w:tc>
      </w:tr>
      <w:tr w14:paraId="03EEA0E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35894673">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PA</w:t>
            </w:r>
          </w:p>
        </w:tc>
        <w:tc>
          <w:tcPr>
            <w:tcW w:w="4868" w:type="dxa"/>
            <w:tcBorders>
              <w:top w:val="nil"/>
              <w:left w:val="nil"/>
              <w:bottom w:val="nil"/>
              <w:right w:val="nil"/>
            </w:tcBorders>
            <w:vAlign w:val="center"/>
          </w:tcPr>
          <w:p w14:paraId="6E606AD0">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Producer’s Accuracy</w:t>
            </w:r>
          </w:p>
        </w:tc>
      </w:tr>
      <w:tr w14:paraId="012447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9" w:hRule="atLeast"/>
        </w:trPr>
        <w:tc>
          <w:tcPr>
            <w:tcW w:w="4140" w:type="dxa"/>
            <w:tcBorders>
              <w:top w:val="nil"/>
              <w:left w:val="nil"/>
              <w:bottom w:val="nil"/>
              <w:right w:val="nil"/>
            </w:tcBorders>
            <w:vAlign w:val="center"/>
          </w:tcPr>
          <w:p w14:paraId="749EA031">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POP</w:t>
            </w:r>
          </w:p>
        </w:tc>
        <w:tc>
          <w:tcPr>
            <w:tcW w:w="4868" w:type="dxa"/>
            <w:tcBorders>
              <w:top w:val="nil"/>
              <w:left w:val="nil"/>
              <w:bottom w:val="nil"/>
              <w:right w:val="nil"/>
            </w:tcBorders>
            <w:vAlign w:val="center"/>
          </w:tcPr>
          <w:p w14:paraId="04746A72">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Population Density</w:t>
            </w:r>
          </w:p>
        </w:tc>
      </w:tr>
      <w:tr w14:paraId="0F3314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67DB6430">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p-value</w:t>
            </w:r>
          </w:p>
        </w:tc>
        <w:tc>
          <w:tcPr>
            <w:tcW w:w="4868" w:type="dxa"/>
            <w:tcBorders>
              <w:top w:val="nil"/>
              <w:left w:val="nil"/>
              <w:bottom w:val="nil"/>
              <w:right w:val="nil"/>
            </w:tcBorders>
            <w:vAlign w:val="center"/>
          </w:tcPr>
          <w:p w14:paraId="669F7AB3">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Probability Value</w:t>
            </w:r>
          </w:p>
        </w:tc>
      </w:tr>
      <w:tr w14:paraId="2EB680B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35A9F6D1">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Q–Q Plot</w:t>
            </w:r>
          </w:p>
        </w:tc>
        <w:tc>
          <w:tcPr>
            <w:tcW w:w="4868" w:type="dxa"/>
            <w:tcBorders>
              <w:top w:val="nil"/>
              <w:left w:val="nil"/>
              <w:bottom w:val="nil"/>
              <w:right w:val="nil"/>
            </w:tcBorders>
            <w:vAlign w:val="center"/>
          </w:tcPr>
          <w:p w14:paraId="546E8378">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Quantile–Quantile Plot</w:t>
            </w:r>
          </w:p>
        </w:tc>
      </w:tr>
      <w:tr w14:paraId="55B9F8B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67" w:hRule="atLeast"/>
        </w:trPr>
        <w:tc>
          <w:tcPr>
            <w:tcW w:w="4140" w:type="dxa"/>
            <w:tcBorders>
              <w:top w:val="nil"/>
              <w:left w:val="nil"/>
              <w:bottom w:val="nil"/>
              <w:right w:val="nil"/>
            </w:tcBorders>
            <w:vAlign w:val="center"/>
          </w:tcPr>
          <w:p w14:paraId="2A75ACF3">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RF</w:t>
            </w:r>
          </w:p>
        </w:tc>
        <w:tc>
          <w:tcPr>
            <w:tcW w:w="4868" w:type="dxa"/>
            <w:tcBorders>
              <w:top w:val="nil"/>
              <w:left w:val="nil"/>
              <w:bottom w:val="nil"/>
              <w:right w:val="nil"/>
            </w:tcBorders>
            <w:vAlign w:val="center"/>
          </w:tcPr>
          <w:p w14:paraId="7F78BB64">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Random Forest</w:t>
            </w:r>
          </w:p>
        </w:tc>
      </w:tr>
      <w:tr w14:paraId="76A6A2D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5A877B64">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R²</w:t>
            </w:r>
          </w:p>
        </w:tc>
        <w:tc>
          <w:tcPr>
            <w:tcW w:w="4868" w:type="dxa"/>
            <w:tcBorders>
              <w:top w:val="nil"/>
              <w:left w:val="nil"/>
              <w:bottom w:val="nil"/>
              <w:right w:val="nil"/>
            </w:tcBorders>
            <w:vAlign w:val="center"/>
          </w:tcPr>
          <w:p w14:paraId="1A958F49">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Coefficient of Determination</w:t>
            </w:r>
          </w:p>
        </w:tc>
      </w:tr>
      <w:tr w14:paraId="3EABE6B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71C1B1DF">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SDG</w:t>
            </w:r>
          </w:p>
        </w:tc>
        <w:tc>
          <w:tcPr>
            <w:tcW w:w="4868" w:type="dxa"/>
            <w:tcBorders>
              <w:top w:val="nil"/>
              <w:left w:val="nil"/>
              <w:bottom w:val="nil"/>
              <w:right w:val="nil"/>
            </w:tcBorders>
            <w:vAlign w:val="center"/>
          </w:tcPr>
          <w:p w14:paraId="2ED1B8D1">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Sustainable Development Goals</w:t>
            </w:r>
          </w:p>
        </w:tc>
      </w:tr>
      <w:tr w14:paraId="3D5CDFC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63BDFA0D">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SOC</w:t>
            </w:r>
          </w:p>
        </w:tc>
        <w:tc>
          <w:tcPr>
            <w:tcW w:w="4868" w:type="dxa"/>
            <w:tcBorders>
              <w:top w:val="nil"/>
              <w:left w:val="nil"/>
              <w:bottom w:val="nil"/>
              <w:right w:val="nil"/>
            </w:tcBorders>
            <w:vAlign w:val="center"/>
          </w:tcPr>
          <w:p w14:paraId="0A2EB831">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Soil Organic Carbon</w:t>
            </w:r>
          </w:p>
        </w:tc>
      </w:tr>
      <w:tr w14:paraId="270F6A7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2F00D28B">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SVM</w:t>
            </w:r>
          </w:p>
        </w:tc>
        <w:tc>
          <w:tcPr>
            <w:tcW w:w="4868" w:type="dxa"/>
            <w:tcBorders>
              <w:top w:val="nil"/>
              <w:left w:val="nil"/>
              <w:bottom w:val="nil"/>
              <w:right w:val="nil"/>
            </w:tcBorders>
            <w:vAlign w:val="center"/>
          </w:tcPr>
          <w:p w14:paraId="4D99F9C2">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Support Vector Machine</w:t>
            </w:r>
          </w:p>
        </w:tc>
      </w:tr>
      <w:tr w14:paraId="31A2A2E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99" w:hRule="atLeast"/>
        </w:trPr>
        <w:tc>
          <w:tcPr>
            <w:tcW w:w="4140" w:type="dxa"/>
            <w:tcBorders>
              <w:top w:val="nil"/>
              <w:left w:val="nil"/>
              <w:bottom w:val="nil"/>
              <w:right w:val="nil"/>
            </w:tcBorders>
            <w:vAlign w:val="center"/>
          </w:tcPr>
          <w:p w14:paraId="1573E253">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TM</w:t>
            </w:r>
          </w:p>
        </w:tc>
        <w:tc>
          <w:tcPr>
            <w:tcW w:w="4868" w:type="dxa"/>
            <w:tcBorders>
              <w:top w:val="nil"/>
              <w:left w:val="nil"/>
              <w:bottom w:val="nil"/>
              <w:right w:val="nil"/>
            </w:tcBorders>
            <w:vAlign w:val="center"/>
          </w:tcPr>
          <w:p w14:paraId="19BE3923">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Thematic Mapper (Landsat)</w:t>
            </w:r>
          </w:p>
        </w:tc>
      </w:tr>
      <w:tr w14:paraId="3E5DEC0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4750FBD8">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UA</w:t>
            </w:r>
          </w:p>
        </w:tc>
        <w:tc>
          <w:tcPr>
            <w:tcW w:w="4868" w:type="dxa"/>
            <w:tcBorders>
              <w:top w:val="nil"/>
              <w:left w:val="nil"/>
              <w:bottom w:val="nil"/>
              <w:right w:val="nil"/>
            </w:tcBorders>
            <w:vAlign w:val="center"/>
          </w:tcPr>
          <w:p w14:paraId="08DA6B95">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User’s Accuracy</w:t>
            </w:r>
          </w:p>
        </w:tc>
      </w:tr>
      <w:tr w14:paraId="2D63633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343390AC">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UHI</w:t>
            </w:r>
          </w:p>
        </w:tc>
        <w:tc>
          <w:tcPr>
            <w:tcW w:w="4868" w:type="dxa"/>
            <w:tcBorders>
              <w:top w:val="nil"/>
              <w:left w:val="nil"/>
              <w:bottom w:val="nil"/>
              <w:right w:val="nil"/>
            </w:tcBorders>
            <w:vAlign w:val="center"/>
          </w:tcPr>
          <w:p w14:paraId="3941D3B4">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Urban Heat Island</w:t>
            </w:r>
          </w:p>
        </w:tc>
      </w:tr>
      <w:tr w14:paraId="7EB988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58E282CF">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VIIRS</w:t>
            </w:r>
          </w:p>
        </w:tc>
        <w:tc>
          <w:tcPr>
            <w:tcW w:w="4868" w:type="dxa"/>
            <w:tcBorders>
              <w:top w:val="nil"/>
              <w:left w:val="nil"/>
              <w:bottom w:val="nil"/>
              <w:right w:val="nil"/>
            </w:tcBorders>
            <w:vAlign w:val="center"/>
          </w:tcPr>
          <w:p w14:paraId="04C117C5">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Visible Infrared Imaging Radiometer Suite</w:t>
            </w:r>
          </w:p>
        </w:tc>
      </w:tr>
      <w:tr w14:paraId="589E789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2EB68F96">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VIF</w:t>
            </w:r>
          </w:p>
        </w:tc>
        <w:tc>
          <w:tcPr>
            <w:tcW w:w="4868" w:type="dxa"/>
            <w:tcBorders>
              <w:top w:val="nil"/>
              <w:left w:val="nil"/>
              <w:bottom w:val="nil"/>
              <w:right w:val="nil"/>
            </w:tcBorders>
            <w:vAlign w:val="center"/>
          </w:tcPr>
          <w:p w14:paraId="2CAF355A">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Variance Inflation Factor</w:t>
            </w:r>
          </w:p>
        </w:tc>
      </w:tr>
      <w:tr w14:paraId="7776D5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528509DA">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W</w:t>
            </w:r>
          </w:p>
        </w:tc>
        <w:tc>
          <w:tcPr>
            <w:tcW w:w="4868" w:type="dxa"/>
            <w:tcBorders>
              <w:top w:val="nil"/>
              <w:left w:val="nil"/>
              <w:bottom w:val="nil"/>
              <w:right w:val="nil"/>
            </w:tcBorders>
            <w:vAlign w:val="center"/>
          </w:tcPr>
          <w:p w14:paraId="54D7D798">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Shapiro–Wilk Test Statistic</w:t>
            </w:r>
          </w:p>
        </w:tc>
      </w:tr>
      <w:tr w14:paraId="0427E49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00" w:type="dxa"/>
            <w:left w:w="100" w:type="dxa"/>
            <w:bottom w:w="100" w:type="dxa"/>
            <w:right w:w="100" w:type="dxa"/>
          </w:tblCellMar>
        </w:tblPrEx>
        <w:trPr>
          <w:trHeight w:val="283" w:hRule="atLeast"/>
        </w:trPr>
        <w:tc>
          <w:tcPr>
            <w:tcW w:w="4140" w:type="dxa"/>
            <w:tcBorders>
              <w:top w:val="nil"/>
              <w:left w:val="nil"/>
              <w:bottom w:val="nil"/>
              <w:right w:val="nil"/>
            </w:tcBorders>
            <w:vAlign w:val="center"/>
          </w:tcPr>
          <w:p w14:paraId="24EAB127">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WOS</w:t>
            </w:r>
          </w:p>
        </w:tc>
        <w:tc>
          <w:tcPr>
            <w:tcW w:w="4868" w:type="dxa"/>
            <w:tcBorders>
              <w:top w:val="nil"/>
              <w:left w:val="nil"/>
              <w:bottom w:val="nil"/>
              <w:right w:val="nil"/>
            </w:tcBorders>
            <w:vAlign w:val="center"/>
          </w:tcPr>
          <w:p w14:paraId="5A9AEAA0">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Web of Science</w:t>
            </w:r>
          </w:p>
        </w:tc>
      </w:tr>
    </w:tbl>
    <w:p w14:paraId="0978BD30">
      <w:pPr>
        <w:spacing w:before="100" w:beforeAutospacing="1"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 </w:t>
      </w:r>
    </w:p>
    <w:p w14:paraId="77FE8F7C">
      <w:pPr>
        <w:keepNext/>
        <w:keepLines/>
        <w:widowControl w:val="0"/>
        <w:spacing w:before="240" w:after="0" w:line="256" w:lineRule="auto"/>
        <w:outlineLvl w:val="0"/>
        <w:rPr>
          <w:rFonts w:ascii="Times New Roman" w:hAnsi="Times New Roman" w:eastAsia="Times New Roman" w:cs="Times New Roman"/>
          <w:b/>
          <w:color w:val="000000"/>
          <w:sz w:val="32"/>
          <w:szCs w:val="32"/>
          <w14:ligatures w14:val="none"/>
        </w:rPr>
      </w:pPr>
      <w:bookmarkStart w:id="96" w:name="_Toc215220542"/>
      <w:r>
        <w:rPr>
          <w:rFonts w:ascii="Times New Roman" w:hAnsi="Times New Roman" w:eastAsia="Times New Roman" w:cs="Times New Roman"/>
          <w:b/>
          <w:color w:val="000000"/>
          <w:sz w:val="32"/>
          <w:szCs w:val="32"/>
          <w14:ligatures w14:val="none"/>
        </w:rPr>
        <w:t>APPENDICES</w:t>
      </w:r>
      <w:bookmarkEnd w:id="96"/>
      <w:r>
        <w:rPr>
          <w:rFonts w:ascii="Times New Roman" w:hAnsi="Times New Roman" w:eastAsia="Times New Roman" w:cs="Times New Roman"/>
          <w:b/>
          <w:color w:val="000000"/>
          <w:sz w:val="32"/>
          <w:szCs w:val="32"/>
          <w14:ligatures w14:val="none"/>
        </w:rPr>
        <w:t xml:space="preserve"> </w:t>
      </w:r>
    </w:p>
    <w:p w14:paraId="7BD378F6">
      <w:pPr>
        <w:keepNext/>
        <w:keepLines/>
        <w:widowControl w:val="0"/>
        <w:spacing w:before="240" w:after="0" w:line="256" w:lineRule="auto"/>
        <w:outlineLvl w:val="0"/>
        <w:rPr>
          <w:rFonts w:ascii="Times New Roman" w:hAnsi="Times New Roman" w:eastAsia="Times New Roman" w:cs="Times New Roman"/>
          <w:b/>
          <w:color w:val="000000"/>
          <w:kern w:val="0"/>
          <w:sz w:val="28"/>
          <w:szCs w:val="28"/>
          <w14:ligatures w14:val="none"/>
        </w:rPr>
      </w:pPr>
    </w:p>
    <w:p w14:paraId="7AD46B60">
      <w:pPr>
        <w:spacing w:before="100" w:beforeAutospacing="1" w:line="256" w:lineRule="auto"/>
        <w:rPr>
          <w:rFonts w:ascii="Calibri" w:hAnsi="Calibri" w:eastAsia="Times New Roman" w:cs="Times New Roman"/>
          <w:kern w:val="0"/>
          <w:sz w:val="28"/>
          <w:szCs w:val="28"/>
          <w14:ligatures w14:val="none"/>
        </w:rPr>
      </w:pPr>
      <w:bookmarkStart w:id="97" w:name="_Hlk215115882"/>
      <w:r>
        <w:rPr>
          <w:rFonts w:ascii="Calibri" w:hAnsi="Calibri" w:eastAsia="Times New Roman" w:cs="Times New Roman"/>
          <w14:ligatures w14:val="none"/>
        </w:rPr>
        <w:t>Appendix 1</w:t>
      </w:r>
    </w:p>
    <w:bookmarkEnd w:id="97"/>
    <w:p w14:paraId="42284560">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 xml:space="preserve">                 </w:t>
      </w:r>
      <w:r>
        <w:rPr>
          <w:rFonts w:ascii="Calibri" w:hAnsi="Calibri" w:eastAsia="Times New Roman" w:cs="Times New Roman"/>
          <w14:ligatures w14:val="none"/>
        </w:rPr>
        <w:object>
          <v:shape id="_x0000_i1025" o:spt="75" type="#_x0000_t75" style="height:49.5pt;width:77.25pt;" o:ole="t" filled="f" o:preferrelative="t" stroked="f" coordsize="21600,21600">
            <v:path/>
            <v:fill on="f" focussize="0,0"/>
            <v:stroke on="f" joinstyle="miter"/>
            <v:imagedata r:id="rId33" o:title=""/>
            <o:lock v:ext="edit" aspectratio="t"/>
            <w10:wrap type="none"/>
            <w10:anchorlock/>
          </v:shape>
          <o:OLEObject Type="Embed" ProgID="Package" ShapeID="_x0000_i1025" DrawAspect="Icon" ObjectID="_1468075725" r:id="rId32">
            <o:LockedField>false</o:LockedField>
          </o:OLEObject>
        </w:object>
      </w:r>
    </w:p>
    <w:p w14:paraId="1DFA4553">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Appendix 2</w:t>
      </w:r>
    </w:p>
    <w:tbl>
      <w:tblPr>
        <w:tblStyle w:val="7"/>
        <w:tblW w:w="4741" w:type="dxa"/>
        <w:tblInd w:w="-15" w:type="dxa"/>
        <w:tblLayout w:type="autofit"/>
        <w:tblCellMar>
          <w:top w:w="0" w:type="dxa"/>
          <w:left w:w="108" w:type="dxa"/>
          <w:bottom w:w="0" w:type="dxa"/>
          <w:right w:w="108" w:type="dxa"/>
        </w:tblCellMar>
      </w:tblPr>
      <w:tblGrid>
        <w:gridCol w:w="975"/>
        <w:gridCol w:w="663"/>
        <w:gridCol w:w="1391"/>
        <w:gridCol w:w="1250"/>
        <w:gridCol w:w="1057"/>
      </w:tblGrid>
      <w:tr w14:paraId="53683DD1">
        <w:tblPrEx>
          <w:tblCellMar>
            <w:top w:w="0" w:type="dxa"/>
            <w:left w:w="108" w:type="dxa"/>
            <w:bottom w:w="0" w:type="dxa"/>
            <w:right w:w="108" w:type="dxa"/>
          </w:tblCellMar>
        </w:tblPrEx>
        <w:trPr>
          <w:trHeight w:val="300" w:hRule="atLeast"/>
        </w:trPr>
        <w:tc>
          <w:tcPr>
            <w:tcW w:w="885" w:type="dxa"/>
            <w:tcBorders>
              <w:top w:val="nil"/>
              <w:left w:val="nil"/>
              <w:bottom w:val="nil"/>
              <w:right w:val="nil"/>
            </w:tcBorders>
            <w:noWrap/>
            <w:vAlign w:val="bottom"/>
          </w:tcPr>
          <w:p w14:paraId="254245A4">
            <w:pPr>
              <w:spacing w:before="100" w:beforeAutospacing="1" w:line="256" w:lineRule="auto"/>
              <w:textAlignment w:val="bottom"/>
              <w:rPr>
                <w:rFonts w:ascii="Calibri" w:hAnsi="Calibri" w:eastAsia="Times New Roman" w:cs="Calibri"/>
                <w:color w:val="000000"/>
                <w:kern w:val="0"/>
                <w14:ligatures w14:val="none"/>
              </w:rPr>
            </w:pPr>
            <w:r>
              <w:rPr>
                <w:rFonts w:ascii="Calibri" w:hAnsi="Calibri" w:eastAsia="SimSun" w:cs="Calibri"/>
                <w:color w:val="000000"/>
                <w14:ligatures w14:val="none"/>
              </w:rPr>
              <w:t>Location</w:t>
            </w:r>
          </w:p>
        </w:tc>
        <w:tc>
          <w:tcPr>
            <w:tcW w:w="525" w:type="dxa"/>
            <w:tcBorders>
              <w:top w:val="nil"/>
              <w:left w:val="nil"/>
              <w:bottom w:val="nil"/>
              <w:right w:val="nil"/>
            </w:tcBorders>
            <w:noWrap/>
            <w:vAlign w:val="bottom"/>
          </w:tcPr>
          <w:p w14:paraId="7A7658CD">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Year</w:t>
            </w:r>
          </w:p>
        </w:tc>
        <w:tc>
          <w:tcPr>
            <w:tcW w:w="1335" w:type="dxa"/>
            <w:tcBorders>
              <w:top w:val="nil"/>
              <w:left w:val="nil"/>
              <w:bottom w:val="nil"/>
              <w:right w:val="nil"/>
            </w:tcBorders>
            <w:noWrap/>
            <w:vAlign w:val="bottom"/>
          </w:tcPr>
          <w:p w14:paraId="2939A177">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LULC Class</w:t>
            </w:r>
          </w:p>
        </w:tc>
        <w:tc>
          <w:tcPr>
            <w:tcW w:w="1095" w:type="dxa"/>
            <w:tcBorders>
              <w:top w:val="nil"/>
              <w:left w:val="nil"/>
              <w:bottom w:val="nil"/>
              <w:right w:val="nil"/>
            </w:tcBorders>
            <w:noWrap/>
            <w:vAlign w:val="bottom"/>
          </w:tcPr>
          <w:p w14:paraId="22F428C6">
            <w:pPr>
              <w:spacing w:before="100" w:beforeAutospacing="1" w:line="256" w:lineRule="auto"/>
              <w:ind w:left="550" w:hanging="550" w:hangingChars="250"/>
              <w:textAlignment w:val="bottom"/>
              <w:rPr>
                <w:rFonts w:ascii="Calibri" w:hAnsi="Calibri" w:eastAsia="Times New Roman" w:cs="Calibri"/>
                <w:color w:val="000000"/>
                <w14:ligatures w14:val="none"/>
              </w:rPr>
            </w:pPr>
            <w:r>
              <w:rPr>
                <w:rFonts w:ascii="Calibri" w:hAnsi="Calibri" w:eastAsia="SimSun" w:cs="Calibri"/>
                <w:color w:val="000000"/>
                <w14:ligatures w14:val="none"/>
              </w:rPr>
              <w:t>Area (km²)</w:t>
            </w:r>
          </w:p>
        </w:tc>
        <w:tc>
          <w:tcPr>
            <w:tcW w:w="900" w:type="dxa"/>
            <w:tcBorders>
              <w:top w:val="nil"/>
              <w:left w:val="nil"/>
              <w:bottom w:val="nil"/>
              <w:right w:val="nil"/>
            </w:tcBorders>
            <w:noWrap/>
            <w:vAlign w:val="bottom"/>
          </w:tcPr>
          <w:p w14:paraId="0BCD05E8">
            <w:pPr>
              <w:spacing w:before="100" w:beforeAutospacing="1" w:line="256" w:lineRule="auto"/>
              <w:ind w:left="550" w:hanging="550" w:hangingChars="250"/>
              <w:textAlignment w:val="bottom"/>
              <w:rPr>
                <w:rFonts w:ascii="Calibri" w:hAnsi="Calibri" w:eastAsia="Times New Roman" w:cs="Calibri"/>
                <w:color w:val="000000"/>
                <w14:ligatures w14:val="none"/>
              </w:rPr>
            </w:pPr>
            <w:r>
              <w:rPr>
                <w:rFonts w:ascii="Calibri" w:hAnsi="Calibri" w:eastAsia="SimSun" w:cs="Calibri"/>
                <w:color w:val="000000"/>
                <w14:ligatures w14:val="none"/>
              </w:rPr>
              <w:t>Area (%)</w:t>
            </w:r>
          </w:p>
        </w:tc>
      </w:tr>
      <w:tr w14:paraId="1BA1006D">
        <w:tblPrEx>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bottom"/>
          </w:tcPr>
          <w:p w14:paraId="61185F07">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Makurdi</w:t>
            </w:r>
          </w:p>
        </w:tc>
        <w:tc>
          <w:tcPr>
            <w:tcW w:w="0" w:type="auto"/>
            <w:tcBorders>
              <w:top w:val="nil"/>
              <w:left w:val="nil"/>
              <w:bottom w:val="nil"/>
              <w:right w:val="nil"/>
            </w:tcBorders>
            <w:shd w:val="clear" w:color="auto" w:fill="D9D9D9"/>
            <w:noWrap/>
            <w:vAlign w:val="bottom"/>
          </w:tcPr>
          <w:p w14:paraId="7F028327">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1990</w:t>
            </w:r>
          </w:p>
        </w:tc>
        <w:tc>
          <w:tcPr>
            <w:tcW w:w="0" w:type="auto"/>
            <w:tcBorders>
              <w:top w:val="nil"/>
              <w:left w:val="nil"/>
              <w:bottom w:val="nil"/>
              <w:right w:val="nil"/>
            </w:tcBorders>
            <w:shd w:val="clear" w:color="auto" w:fill="D9D9D9"/>
            <w:noWrap/>
            <w:vAlign w:val="bottom"/>
          </w:tcPr>
          <w:p w14:paraId="1E6E79CA">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Built-up Area</w:t>
            </w:r>
          </w:p>
        </w:tc>
        <w:tc>
          <w:tcPr>
            <w:tcW w:w="0" w:type="auto"/>
            <w:tcBorders>
              <w:top w:val="nil"/>
              <w:left w:val="nil"/>
              <w:bottom w:val="nil"/>
              <w:right w:val="nil"/>
            </w:tcBorders>
            <w:shd w:val="clear" w:color="auto" w:fill="D9D9D9"/>
            <w:noWrap/>
            <w:vAlign w:val="bottom"/>
          </w:tcPr>
          <w:p w14:paraId="0F42EF5C">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93.56</w:t>
            </w:r>
          </w:p>
        </w:tc>
        <w:tc>
          <w:tcPr>
            <w:tcW w:w="0" w:type="auto"/>
            <w:tcBorders>
              <w:top w:val="nil"/>
              <w:left w:val="nil"/>
              <w:bottom w:val="nil"/>
              <w:right w:val="nil"/>
            </w:tcBorders>
            <w:shd w:val="clear" w:color="auto" w:fill="D9D9D9"/>
            <w:noWrap/>
            <w:vAlign w:val="bottom"/>
          </w:tcPr>
          <w:p w14:paraId="15E56003">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11.22</w:t>
            </w:r>
          </w:p>
        </w:tc>
      </w:tr>
      <w:tr w14:paraId="3C91EFBE">
        <w:tblPrEx>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bottom"/>
          </w:tcPr>
          <w:p w14:paraId="0A9A04F5">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Makurdi</w:t>
            </w:r>
          </w:p>
        </w:tc>
        <w:tc>
          <w:tcPr>
            <w:tcW w:w="0" w:type="auto"/>
            <w:tcBorders>
              <w:top w:val="nil"/>
              <w:left w:val="nil"/>
              <w:bottom w:val="nil"/>
              <w:right w:val="nil"/>
            </w:tcBorders>
            <w:shd w:val="clear" w:color="auto" w:fill="D9D9D9"/>
            <w:noWrap/>
            <w:vAlign w:val="bottom"/>
          </w:tcPr>
          <w:p w14:paraId="51BCD6B0">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1990</w:t>
            </w:r>
          </w:p>
        </w:tc>
        <w:tc>
          <w:tcPr>
            <w:tcW w:w="0" w:type="auto"/>
            <w:tcBorders>
              <w:top w:val="nil"/>
              <w:left w:val="nil"/>
              <w:bottom w:val="nil"/>
              <w:right w:val="nil"/>
            </w:tcBorders>
            <w:shd w:val="clear" w:color="auto" w:fill="D9D9D9"/>
            <w:noWrap/>
            <w:vAlign w:val="bottom"/>
          </w:tcPr>
          <w:p w14:paraId="5484F3CE">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Forest Area</w:t>
            </w:r>
          </w:p>
        </w:tc>
        <w:tc>
          <w:tcPr>
            <w:tcW w:w="0" w:type="auto"/>
            <w:tcBorders>
              <w:top w:val="nil"/>
              <w:left w:val="nil"/>
              <w:bottom w:val="nil"/>
              <w:right w:val="nil"/>
            </w:tcBorders>
            <w:shd w:val="clear" w:color="auto" w:fill="D9D9D9"/>
            <w:noWrap/>
            <w:vAlign w:val="bottom"/>
          </w:tcPr>
          <w:p w14:paraId="0B8A05D3">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420.17</w:t>
            </w:r>
          </w:p>
        </w:tc>
        <w:tc>
          <w:tcPr>
            <w:tcW w:w="0" w:type="auto"/>
            <w:tcBorders>
              <w:top w:val="nil"/>
              <w:left w:val="nil"/>
              <w:bottom w:val="nil"/>
              <w:right w:val="nil"/>
            </w:tcBorders>
            <w:shd w:val="clear" w:color="auto" w:fill="D9D9D9"/>
            <w:noWrap/>
            <w:vAlign w:val="bottom"/>
          </w:tcPr>
          <w:p w14:paraId="490E16EA">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50.40</w:t>
            </w:r>
          </w:p>
        </w:tc>
      </w:tr>
      <w:tr w14:paraId="437523A6">
        <w:tblPrEx>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bottom"/>
          </w:tcPr>
          <w:p w14:paraId="45A7129B">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Makurdi</w:t>
            </w:r>
          </w:p>
        </w:tc>
        <w:tc>
          <w:tcPr>
            <w:tcW w:w="0" w:type="auto"/>
            <w:tcBorders>
              <w:top w:val="nil"/>
              <w:left w:val="nil"/>
              <w:bottom w:val="nil"/>
              <w:right w:val="nil"/>
            </w:tcBorders>
            <w:shd w:val="clear" w:color="auto" w:fill="D9D9D9"/>
            <w:noWrap/>
            <w:vAlign w:val="bottom"/>
          </w:tcPr>
          <w:p w14:paraId="3581A232">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1990</w:t>
            </w:r>
          </w:p>
        </w:tc>
        <w:tc>
          <w:tcPr>
            <w:tcW w:w="0" w:type="auto"/>
            <w:tcBorders>
              <w:top w:val="nil"/>
              <w:left w:val="nil"/>
              <w:bottom w:val="nil"/>
              <w:right w:val="nil"/>
            </w:tcBorders>
            <w:shd w:val="clear" w:color="auto" w:fill="D9D9D9"/>
            <w:noWrap/>
            <w:vAlign w:val="bottom"/>
          </w:tcPr>
          <w:p w14:paraId="4938227E">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Crop Land</w:t>
            </w:r>
          </w:p>
        </w:tc>
        <w:tc>
          <w:tcPr>
            <w:tcW w:w="0" w:type="auto"/>
            <w:tcBorders>
              <w:top w:val="nil"/>
              <w:left w:val="nil"/>
              <w:bottom w:val="nil"/>
              <w:right w:val="nil"/>
            </w:tcBorders>
            <w:shd w:val="clear" w:color="auto" w:fill="D9D9D9"/>
            <w:noWrap/>
            <w:vAlign w:val="bottom"/>
          </w:tcPr>
          <w:p w14:paraId="09901CCF">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260.60</w:t>
            </w:r>
          </w:p>
        </w:tc>
        <w:tc>
          <w:tcPr>
            <w:tcW w:w="0" w:type="auto"/>
            <w:tcBorders>
              <w:top w:val="nil"/>
              <w:left w:val="nil"/>
              <w:bottom w:val="nil"/>
              <w:right w:val="nil"/>
            </w:tcBorders>
            <w:shd w:val="clear" w:color="auto" w:fill="D9D9D9"/>
            <w:noWrap/>
            <w:vAlign w:val="bottom"/>
          </w:tcPr>
          <w:p w14:paraId="78ADED4A">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31.26</w:t>
            </w:r>
          </w:p>
        </w:tc>
      </w:tr>
      <w:tr w14:paraId="75B643A8">
        <w:tblPrEx>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bottom"/>
          </w:tcPr>
          <w:p w14:paraId="7FE56334">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Makurdi</w:t>
            </w:r>
          </w:p>
        </w:tc>
        <w:tc>
          <w:tcPr>
            <w:tcW w:w="0" w:type="auto"/>
            <w:tcBorders>
              <w:top w:val="nil"/>
              <w:left w:val="nil"/>
              <w:bottom w:val="nil"/>
              <w:right w:val="nil"/>
            </w:tcBorders>
            <w:shd w:val="clear" w:color="auto" w:fill="D9D9D9"/>
            <w:noWrap/>
            <w:vAlign w:val="bottom"/>
          </w:tcPr>
          <w:p w14:paraId="1E1BC22C">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1990</w:t>
            </w:r>
          </w:p>
        </w:tc>
        <w:tc>
          <w:tcPr>
            <w:tcW w:w="0" w:type="auto"/>
            <w:tcBorders>
              <w:top w:val="nil"/>
              <w:left w:val="nil"/>
              <w:bottom w:val="nil"/>
              <w:right w:val="nil"/>
            </w:tcBorders>
            <w:shd w:val="clear" w:color="auto" w:fill="D9D9D9"/>
            <w:noWrap/>
            <w:vAlign w:val="bottom"/>
          </w:tcPr>
          <w:p w14:paraId="29F4C443">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Water Body</w:t>
            </w:r>
          </w:p>
        </w:tc>
        <w:tc>
          <w:tcPr>
            <w:tcW w:w="0" w:type="auto"/>
            <w:tcBorders>
              <w:top w:val="nil"/>
              <w:left w:val="nil"/>
              <w:bottom w:val="nil"/>
              <w:right w:val="nil"/>
            </w:tcBorders>
            <w:shd w:val="clear" w:color="auto" w:fill="D9D9D9"/>
            <w:noWrap/>
            <w:vAlign w:val="bottom"/>
          </w:tcPr>
          <w:p w14:paraId="2E1A139C">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24.50</w:t>
            </w:r>
          </w:p>
        </w:tc>
        <w:tc>
          <w:tcPr>
            <w:tcW w:w="0" w:type="auto"/>
            <w:tcBorders>
              <w:top w:val="nil"/>
              <w:left w:val="nil"/>
              <w:bottom w:val="nil"/>
              <w:right w:val="nil"/>
            </w:tcBorders>
            <w:shd w:val="clear" w:color="auto" w:fill="D9D9D9"/>
            <w:noWrap/>
            <w:vAlign w:val="bottom"/>
          </w:tcPr>
          <w:p w14:paraId="396F1646">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2.94</w:t>
            </w:r>
          </w:p>
        </w:tc>
      </w:tr>
      <w:tr w14:paraId="26A32F43">
        <w:tblPrEx>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bottom"/>
          </w:tcPr>
          <w:p w14:paraId="6C4E8821">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Makurdi</w:t>
            </w:r>
          </w:p>
        </w:tc>
        <w:tc>
          <w:tcPr>
            <w:tcW w:w="0" w:type="auto"/>
            <w:tcBorders>
              <w:top w:val="nil"/>
              <w:left w:val="nil"/>
              <w:bottom w:val="nil"/>
              <w:right w:val="nil"/>
            </w:tcBorders>
            <w:shd w:val="clear" w:color="auto" w:fill="D9D9D9"/>
            <w:noWrap/>
            <w:vAlign w:val="bottom"/>
          </w:tcPr>
          <w:p w14:paraId="1BC93CD2">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1990</w:t>
            </w:r>
          </w:p>
        </w:tc>
        <w:tc>
          <w:tcPr>
            <w:tcW w:w="0" w:type="auto"/>
            <w:tcBorders>
              <w:top w:val="nil"/>
              <w:left w:val="nil"/>
              <w:bottom w:val="nil"/>
              <w:right w:val="nil"/>
            </w:tcBorders>
            <w:shd w:val="clear" w:color="auto" w:fill="D9D9D9"/>
            <w:noWrap/>
            <w:vAlign w:val="bottom"/>
          </w:tcPr>
          <w:p w14:paraId="122F0E3F">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Wetland</w:t>
            </w:r>
          </w:p>
        </w:tc>
        <w:tc>
          <w:tcPr>
            <w:tcW w:w="0" w:type="auto"/>
            <w:tcBorders>
              <w:top w:val="nil"/>
              <w:left w:val="nil"/>
              <w:bottom w:val="nil"/>
              <w:right w:val="nil"/>
            </w:tcBorders>
            <w:shd w:val="clear" w:color="auto" w:fill="D9D9D9"/>
            <w:noWrap/>
            <w:vAlign w:val="bottom"/>
          </w:tcPr>
          <w:p w14:paraId="32424514">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34.78</w:t>
            </w:r>
          </w:p>
        </w:tc>
        <w:tc>
          <w:tcPr>
            <w:tcW w:w="0" w:type="auto"/>
            <w:tcBorders>
              <w:top w:val="nil"/>
              <w:left w:val="nil"/>
              <w:bottom w:val="nil"/>
              <w:right w:val="nil"/>
            </w:tcBorders>
            <w:shd w:val="clear" w:color="auto" w:fill="D9D9D9"/>
            <w:noWrap/>
            <w:vAlign w:val="bottom"/>
          </w:tcPr>
          <w:p w14:paraId="3360E0F7">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4.17</w:t>
            </w:r>
          </w:p>
        </w:tc>
      </w:tr>
      <w:tr w14:paraId="14294E01">
        <w:tblPrEx>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bottom"/>
          </w:tcPr>
          <w:p w14:paraId="5D58D469">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Otukpo</w:t>
            </w:r>
          </w:p>
        </w:tc>
        <w:tc>
          <w:tcPr>
            <w:tcW w:w="0" w:type="auto"/>
            <w:tcBorders>
              <w:top w:val="nil"/>
              <w:left w:val="nil"/>
              <w:bottom w:val="nil"/>
              <w:right w:val="nil"/>
            </w:tcBorders>
            <w:shd w:val="clear" w:color="auto" w:fill="FCE4D6"/>
            <w:noWrap/>
            <w:vAlign w:val="bottom"/>
          </w:tcPr>
          <w:p w14:paraId="33D9AD64">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1990</w:t>
            </w:r>
          </w:p>
        </w:tc>
        <w:tc>
          <w:tcPr>
            <w:tcW w:w="0" w:type="auto"/>
            <w:tcBorders>
              <w:top w:val="nil"/>
              <w:left w:val="nil"/>
              <w:bottom w:val="nil"/>
              <w:right w:val="nil"/>
            </w:tcBorders>
            <w:shd w:val="clear" w:color="auto" w:fill="FCE4D6"/>
            <w:noWrap/>
            <w:vAlign w:val="bottom"/>
          </w:tcPr>
          <w:p w14:paraId="40DDA8B9">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Built-up Area</w:t>
            </w:r>
          </w:p>
        </w:tc>
        <w:tc>
          <w:tcPr>
            <w:tcW w:w="0" w:type="auto"/>
            <w:tcBorders>
              <w:top w:val="nil"/>
              <w:left w:val="nil"/>
              <w:bottom w:val="nil"/>
              <w:right w:val="nil"/>
            </w:tcBorders>
            <w:shd w:val="clear" w:color="auto" w:fill="FCE4D6"/>
            <w:noWrap/>
            <w:vAlign w:val="bottom"/>
          </w:tcPr>
          <w:p w14:paraId="129EA16B">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188.09</w:t>
            </w:r>
          </w:p>
        </w:tc>
        <w:tc>
          <w:tcPr>
            <w:tcW w:w="0" w:type="auto"/>
            <w:tcBorders>
              <w:top w:val="nil"/>
              <w:left w:val="nil"/>
              <w:bottom w:val="nil"/>
              <w:right w:val="nil"/>
            </w:tcBorders>
            <w:shd w:val="clear" w:color="auto" w:fill="FCE4D6"/>
            <w:noWrap/>
            <w:vAlign w:val="bottom"/>
          </w:tcPr>
          <w:p w14:paraId="6AA34209">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14.00</w:t>
            </w:r>
          </w:p>
        </w:tc>
      </w:tr>
      <w:tr w14:paraId="68A0B3C9">
        <w:tblPrEx>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bottom"/>
          </w:tcPr>
          <w:p w14:paraId="0FA24413">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Otukpo</w:t>
            </w:r>
          </w:p>
        </w:tc>
        <w:tc>
          <w:tcPr>
            <w:tcW w:w="0" w:type="auto"/>
            <w:tcBorders>
              <w:top w:val="nil"/>
              <w:left w:val="nil"/>
              <w:bottom w:val="nil"/>
              <w:right w:val="nil"/>
            </w:tcBorders>
            <w:shd w:val="clear" w:color="auto" w:fill="FCE4D6"/>
            <w:noWrap/>
            <w:vAlign w:val="bottom"/>
          </w:tcPr>
          <w:p w14:paraId="5F1A39DC">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1990</w:t>
            </w:r>
          </w:p>
        </w:tc>
        <w:tc>
          <w:tcPr>
            <w:tcW w:w="0" w:type="auto"/>
            <w:tcBorders>
              <w:top w:val="nil"/>
              <w:left w:val="nil"/>
              <w:bottom w:val="nil"/>
              <w:right w:val="nil"/>
            </w:tcBorders>
            <w:shd w:val="clear" w:color="auto" w:fill="FCE4D6"/>
            <w:noWrap/>
            <w:vAlign w:val="bottom"/>
          </w:tcPr>
          <w:p w14:paraId="0C2A862A">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Forest Area</w:t>
            </w:r>
          </w:p>
        </w:tc>
        <w:tc>
          <w:tcPr>
            <w:tcW w:w="0" w:type="auto"/>
            <w:tcBorders>
              <w:top w:val="nil"/>
              <w:left w:val="nil"/>
              <w:bottom w:val="nil"/>
              <w:right w:val="nil"/>
            </w:tcBorders>
            <w:shd w:val="clear" w:color="auto" w:fill="FCE4D6"/>
            <w:noWrap/>
            <w:vAlign w:val="bottom"/>
          </w:tcPr>
          <w:p w14:paraId="5669B98C">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637.01</w:t>
            </w:r>
          </w:p>
        </w:tc>
        <w:tc>
          <w:tcPr>
            <w:tcW w:w="0" w:type="auto"/>
            <w:tcBorders>
              <w:top w:val="nil"/>
              <w:left w:val="nil"/>
              <w:bottom w:val="nil"/>
              <w:right w:val="nil"/>
            </w:tcBorders>
            <w:shd w:val="clear" w:color="auto" w:fill="FCE4D6"/>
            <w:noWrap/>
            <w:vAlign w:val="bottom"/>
          </w:tcPr>
          <w:p w14:paraId="310003DB">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48.00</w:t>
            </w:r>
          </w:p>
        </w:tc>
      </w:tr>
      <w:tr w14:paraId="0E46E63D">
        <w:tblPrEx>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bottom"/>
          </w:tcPr>
          <w:p w14:paraId="781E0DF1">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Otukpo</w:t>
            </w:r>
          </w:p>
        </w:tc>
        <w:tc>
          <w:tcPr>
            <w:tcW w:w="0" w:type="auto"/>
            <w:tcBorders>
              <w:top w:val="nil"/>
              <w:left w:val="nil"/>
              <w:bottom w:val="nil"/>
              <w:right w:val="nil"/>
            </w:tcBorders>
            <w:shd w:val="clear" w:color="auto" w:fill="FCE4D6"/>
            <w:noWrap/>
            <w:vAlign w:val="bottom"/>
          </w:tcPr>
          <w:p w14:paraId="3409D448">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1990</w:t>
            </w:r>
          </w:p>
        </w:tc>
        <w:tc>
          <w:tcPr>
            <w:tcW w:w="0" w:type="auto"/>
            <w:tcBorders>
              <w:top w:val="nil"/>
              <w:left w:val="nil"/>
              <w:bottom w:val="nil"/>
              <w:right w:val="nil"/>
            </w:tcBorders>
            <w:shd w:val="clear" w:color="auto" w:fill="FCE4D6"/>
            <w:noWrap/>
            <w:vAlign w:val="bottom"/>
          </w:tcPr>
          <w:p w14:paraId="7821A033">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Crop Land</w:t>
            </w:r>
          </w:p>
        </w:tc>
        <w:tc>
          <w:tcPr>
            <w:tcW w:w="0" w:type="auto"/>
            <w:tcBorders>
              <w:top w:val="nil"/>
              <w:left w:val="nil"/>
              <w:bottom w:val="nil"/>
              <w:right w:val="nil"/>
            </w:tcBorders>
            <w:shd w:val="clear" w:color="auto" w:fill="FCE4D6"/>
            <w:noWrap/>
            <w:vAlign w:val="bottom"/>
          </w:tcPr>
          <w:p w14:paraId="3D0BC0C2">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307.82</w:t>
            </w:r>
          </w:p>
        </w:tc>
        <w:tc>
          <w:tcPr>
            <w:tcW w:w="0" w:type="auto"/>
            <w:tcBorders>
              <w:top w:val="nil"/>
              <w:left w:val="nil"/>
              <w:bottom w:val="nil"/>
              <w:right w:val="nil"/>
            </w:tcBorders>
            <w:shd w:val="clear" w:color="auto" w:fill="FCE4D6"/>
            <w:noWrap/>
            <w:vAlign w:val="bottom"/>
          </w:tcPr>
          <w:p w14:paraId="06EEB29D">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23.00</w:t>
            </w:r>
          </w:p>
        </w:tc>
      </w:tr>
      <w:tr w14:paraId="55560C97">
        <w:tblPrEx>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bottom"/>
          </w:tcPr>
          <w:p w14:paraId="50FB6449">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Otukpo</w:t>
            </w:r>
          </w:p>
        </w:tc>
        <w:tc>
          <w:tcPr>
            <w:tcW w:w="0" w:type="auto"/>
            <w:tcBorders>
              <w:top w:val="nil"/>
              <w:left w:val="nil"/>
              <w:bottom w:val="nil"/>
              <w:right w:val="nil"/>
            </w:tcBorders>
            <w:shd w:val="clear" w:color="auto" w:fill="FCE4D6"/>
            <w:noWrap/>
            <w:vAlign w:val="bottom"/>
          </w:tcPr>
          <w:p w14:paraId="57433237">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1990</w:t>
            </w:r>
          </w:p>
        </w:tc>
        <w:tc>
          <w:tcPr>
            <w:tcW w:w="0" w:type="auto"/>
            <w:tcBorders>
              <w:top w:val="nil"/>
              <w:left w:val="nil"/>
              <w:bottom w:val="nil"/>
              <w:right w:val="nil"/>
            </w:tcBorders>
            <w:shd w:val="clear" w:color="auto" w:fill="FCE4D6"/>
            <w:noWrap/>
            <w:vAlign w:val="bottom"/>
          </w:tcPr>
          <w:p w14:paraId="47EA3ED2">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Water Body</w:t>
            </w:r>
          </w:p>
        </w:tc>
        <w:tc>
          <w:tcPr>
            <w:tcW w:w="0" w:type="auto"/>
            <w:tcBorders>
              <w:top w:val="nil"/>
              <w:left w:val="nil"/>
              <w:bottom w:val="nil"/>
              <w:right w:val="nil"/>
            </w:tcBorders>
            <w:shd w:val="clear" w:color="auto" w:fill="FCE4D6"/>
            <w:noWrap/>
            <w:vAlign w:val="bottom"/>
          </w:tcPr>
          <w:p w14:paraId="0078EC23">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111.92</w:t>
            </w:r>
          </w:p>
        </w:tc>
        <w:tc>
          <w:tcPr>
            <w:tcW w:w="0" w:type="auto"/>
            <w:tcBorders>
              <w:top w:val="nil"/>
              <w:left w:val="nil"/>
              <w:bottom w:val="nil"/>
              <w:right w:val="nil"/>
            </w:tcBorders>
            <w:shd w:val="clear" w:color="auto" w:fill="FCE4D6"/>
            <w:noWrap/>
            <w:vAlign w:val="bottom"/>
          </w:tcPr>
          <w:p w14:paraId="3A07B921">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8.00</w:t>
            </w:r>
          </w:p>
        </w:tc>
      </w:tr>
      <w:tr w14:paraId="00E131E3">
        <w:tblPrEx>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bottom"/>
          </w:tcPr>
          <w:p w14:paraId="612DEDD8">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Otukpo</w:t>
            </w:r>
          </w:p>
        </w:tc>
        <w:tc>
          <w:tcPr>
            <w:tcW w:w="0" w:type="auto"/>
            <w:tcBorders>
              <w:top w:val="nil"/>
              <w:left w:val="nil"/>
              <w:bottom w:val="nil"/>
              <w:right w:val="nil"/>
            </w:tcBorders>
            <w:shd w:val="clear" w:color="auto" w:fill="FCE4D6"/>
            <w:noWrap/>
            <w:vAlign w:val="bottom"/>
          </w:tcPr>
          <w:p w14:paraId="3A0A7460">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1990</w:t>
            </w:r>
          </w:p>
        </w:tc>
        <w:tc>
          <w:tcPr>
            <w:tcW w:w="0" w:type="auto"/>
            <w:tcBorders>
              <w:top w:val="nil"/>
              <w:left w:val="nil"/>
              <w:bottom w:val="nil"/>
              <w:right w:val="nil"/>
            </w:tcBorders>
            <w:shd w:val="clear" w:color="auto" w:fill="FCE4D6"/>
            <w:noWrap/>
            <w:vAlign w:val="bottom"/>
          </w:tcPr>
          <w:p w14:paraId="3E1F58D9">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Wetland</w:t>
            </w:r>
          </w:p>
        </w:tc>
        <w:tc>
          <w:tcPr>
            <w:tcW w:w="0" w:type="auto"/>
            <w:tcBorders>
              <w:top w:val="nil"/>
              <w:left w:val="nil"/>
              <w:bottom w:val="nil"/>
              <w:right w:val="nil"/>
            </w:tcBorders>
            <w:shd w:val="clear" w:color="auto" w:fill="FCE4D6"/>
            <w:noWrap/>
            <w:vAlign w:val="bottom"/>
          </w:tcPr>
          <w:p w14:paraId="53A04BBB">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86.80</w:t>
            </w:r>
          </w:p>
        </w:tc>
        <w:tc>
          <w:tcPr>
            <w:tcW w:w="0" w:type="auto"/>
            <w:tcBorders>
              <w:top w:val="nil"/>
              <w:left w:val="nil"/>
              <w:bottom w:val="nil"/>
              <w:right w:val="nil"/>
            </w:tcBorders>
            <w:shd w:val="clear" w:color="auto" w:fill="FCE4D6"/>
            <w:noWrap/>
            <w:vAlign w:val="bottom"/>
          </w:tcPr>
          <w:p w14:paraId="4786290A">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7.00</w:t>
            </w:r>
          </w:p>
        </w:tc>
      </w:tr>
      <w:tr w14:paraId="46B5B107">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ED7D31"/>
            <w:noWrap/>
            <w:vAlign w:val="bottom"/>
          </w:tcPr>
          <w:p w14:paraId="5A438F5B">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Makurdi</w:t>
            </w:r>
          </w:p>
        </w:tc>
        <w:tc>
          <w:tcPr>
            <w:tcW w:w="0" w:type="auto"/>
            <w:tcBorders>
              <w:top w:val="nil"/>
              <w:left w:val="nil"/>
              <w:bottom w:val="nil"/>
              <w:right w:val="nil"/>
            </w:tcBorders>
            <w:shd w:val="clear" w:color="auto" w:fill="ED7D31"/>
            <w:noWrap/>
            <w:vAlign w:val="bottom"/>
          </w:tcPr>
          <w:p w14:paraId="6CDF713F">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2010</w:t>
            </w:r>
          </w:p>
        </w:tc>
        <w:tc>
          <w:tcPr>
            <w:tcW w:w="0" w:type="auto"/>
            <w:tcBorders>
              <w:top w:val="nil"/>
              <w:left w:val="nil"/>
              <w:bottom w:val="nil"/>
              <w:right w:val="nil"/>
            </w:tcBorders>
            <w:shd w:val="clear" w:color="auto" w:fill="ED7D31"/>
            <w:noWrap/>
            <w:vAlign w:val="bottom"/>
          </w:tcPr>
          <w:p w14:paraId="5308655D">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Built-up Area</w:t>
            </w:r>
          </w:p>
        </w:tc>
        <w:tc>
          <w:tcPr>
            <w:tcW w:w="0" w:type="auto"/>
            <w:tcBorders>
              <w:top w:val="nil"/>
              <w:left w:val="nil"/>
              <w:bottom w:val="nil"/>
              <w:right w:val="nil"/>
            </w:tcBorders>
            <w:shd w:val="clear" w:color="auto" w:fill="ED7D31"/>
            <w:noWrap/>
            <w:vAlign w:val="bottom"/>
          </w:tcPr>
          <w:p w14:paraId="042574C9">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116.48</w:t>
            </w:r>
          </w:p>
        </w:tc>
        <w:tc>
          <w:tcPr>
            <w:tcW w:w="0" w:type="auto"/>
            <w:tcBorders>
              <w:top w:val="nil"/>
              <w:left w:val="nil"/>
              <w:bottom w:val="nil"/>
              <w:right w:val="nil"/>
            </w:tcBorders>
            <w:shd w:val="clear" w:color="auto" w:fill="ED7D31"/>
            <w:noWrap/>
            <w:vAlign w:val="bottom"/>
          </w:tcPr>
          <w:p w14:paraId="2BFDE7E3">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13.97</w:t>
            </w:r>
          </w:p>
        </w:tc>
      </w:tr>
      <w:tr w14:paraId="3E65DED2">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ED7D31"/>
            <w:noWrap/>
            <w:vAlign w:val="bottom"/>
          </w:tcPr>
          <w:p w14:paraId="435530E9">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Makurdi</w:t>
            </w:r>
          </w:p>
        </w:tc>
        <w:tc>
          <w:tcPr>
            <w:tcW w:w="0" w:type="auto"/>
            <w:tcBorders>
              <w:top w:val="nil"/>
              <w:left w:val="nil"/>
              <w:bottom w:val="nil"/>
              <w:right w:val="nil"/>
            </w:tcBorders>
            <w:shd w:val="clear" w:color="auto" w:fill="ED7D31"/>
            <w:noWrap/>
            <w:vAlign w:val="bottom"/>
          </w:tcPr>
          <w:p w14:paraId="36422C8B">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2010</w:t>
            </w:r>
          </w:p>
        </w:tc>
        <w:tc>
          <w:tcPr>
            <w:tcW w:w="0" w:type="auto"/>
            <w:tcBorders>
              <w:top w:val="nil"/>
              <w:left w:val="nil"/>
              <w:bottom w:val="nil"/>
              <w:right w:val="nil"/>
            </w:tcBorders>
            <w:shd w:val="clear" w:color="auto" w:fill="ED7D31"/>
            <w:noWrap/>
            <w:vAlign w:val="bottom"/>
          </w:tcPr>
          <w:p w14:paraId="23B3986E">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Forest Area</w:t>
            </w:r>
          </w:p>
        </w:tc>
        <w:tc>
          <w:tcPr>
            <w:tcW w:w="0" w:type="auto"/>
            <w:tcBorders>
              <w:top w:val="nil"/>
              <w:left w:val="nil"/>
              <w:bottom w:val="nil"/>
              <w:right w:val="nil"/>
            </w:tcBorders>
            <w:shd w:val="clear" w:color="auto" w:fill="ED7D31"/>
            <w:noWrap/>
            <w:vAlign w:val="bottom"/>
          </w:tcPr>
          <w:p w14:paraId="3BEB75D3">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214.73</w:t>
            </w:r>
          </w:p>
        </w:tc>
        <w:tc>
          <w:tcPr>
            <w:tcW w:w="0" w:type="auto"/>
            <w:tcBorders>
              <w:top w:val="nil"/>
              <w:left w:val="nil"/>
              <w:bottom w:val="nil"/>
              <w:right w:val="nil"/>
            </w:tcBorders>
            <w:shd w:val="clear" w:color="auto" w:fill="ED7D31"/>
            <w:noWrap/>
            <w:vAlign w:val="bottom"/>
          </w:tcPr>
          <w:p w14:paraId="5313EC87">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25.76</w:t>
            </w:r>
          </w:p>
        </w:tc>
      </w:tr>
      <w:tr w14:paraId="07F9AB0C">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ED7D31"/>
            <w:noWrap/>
            <w:vAlign w:val="bottom"/>
          </w:tcPr>
          <w:p w14:paraId="6521E7B8">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Makurdi</w:t>
            </w:r>
          </w:p>
        </w:tc>
        <w:tc>
          <w:tcPr>
            <w:tcW w:w="0" w:type="auto"/>
            <w:tcBorders>
              <w:top w:val="nil"/>
              <w:left w:val="nil"/>
              <w:bottom w:val="nil"/>
              <w:right w:val="nil"/>
            </w:tcBorders>
            <w:shd w:val="clear" w:color="auto" w:fill="ED7D31"/>
            <w:noWrap/>
            <w:vAlign w:val="bottom"/>
          </w:tcPr>
          <w:p w14:paraId="60C357FB">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2010</w:t>
            </w:r>
          </w:p>
        </w:tc>
        <w:tc>
          <w:tcPr>
            <w:tcW w:w="0" w:type="auto"/>
            <w:tcBorders>
              <w:top w:val="nil"/>
              <w:left w:val="nil"/>
              <w:bottom w:val="nil"/>
              <w:right w:val="nil"/>
            </w:tcBorders>
            <w:shd w:val="clear" w:color="auto" w:fill="ED7D31"/>
            <w:noWrap/>
            <w:vAlign w:val="bottom"/>
          </w:tcPr>
          <w:p w14:paraId="411325BB">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Crop Land</w:t>
            </w:r>
          </w:p>
        </w:tc>
        <w:tc>
          <w:tcPr>
            <w:tcW w:w="0" w:type="auto"/>
            <w:tcBorders>
              <w:top w:val="nil"/>
              <w:left w:val="nil"/>
              <w:bottom w:val="nil"/>
              <w:right w:val="nil"/>
            </w:tcBorders>
            <w:shd w:val="clear" w:color="auto" w:fill="ED7D31"/>
            <w:noWrap/>
            <w:vAlign w:val="bottom"/>
          </w:tcPr>
          <w:p w14:paraId="169B3FD7">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391.05</w:t>
            </w:r>
          </w:p>
        </w:tc>
        <w:tc>
          <w:tcPr>
            <w:tcW w:w="0" w:type="auto"/>
            <w:tcBorders>
              <w:top w:val="nil"/>
              <w:left w:val="nil"/>
              <w:bottom w:val="nil"/>
              <w:right w:val="nil"/>
            </w:tcBorders>
            <w:shd w:val="clear" w:color="auto" w:fill="ED7D31"/>
            <w:noWrap/>
            <w:vAlign w:val="bottom"/>
          </w:tcPr>
          <w:p w14:paraId="5CECEAD4">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46.91</w:t>
            </w:r>
          </w:p>
        </w:tc>
      </w:tr>
      <w:tr w14:paraId="3EB2C2A4">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ED7D31"/>
            <w:noWrap/>
            <w:vAlign w:val="bottom"/>
          </w:tcPr>
          <w:p w14:paraId="1023B1A5">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Makurdi</w:t>
            </w:r>
          </w:p>
        </w:tc>
        <w:tc>
          <w:tcPr>
            <w:tcW w:w="0" w:type="auto"/>
            <w:tcBorders>
              <w:top w:val="nil"/>
              <w:left w:val="nil"/>
              <w:bottom w:val="nil"/>
              <w:right w:val="nil"/>
            </w:tcBorders>
            <w:shd w:val="clear" w:color="auto" w:fill="ED7D31"/>
            <w:noWrap/>
            <w:vAlign w:val="bottom"/>
          </w:tcPr>
          <w:p w14:paraId="4462C8F4">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2010</w:t>
            </w:r>
          </w:p>
        </w:tc>
        <w:tc>
          <w:tcPr>
            <w:tcW w:w="0" w:type="auto"/>
            <w:tcBorders>
              <w:top w:val="nil"/>
              <w:left w:val="nil"/>
              <w:bottom w:val="nil"/>
              <w:right w:val="nil"/>
            </w:tcBorders>
            <w:shd w:val="clear" w:color="auto" w:fill="ED7D31"/>
            <w:noWrap/>
            <w:vAlign w:val="bottom"/>
          </w:tcPr>
          <w:p w14:paraId="1CC41375">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Water Body</w:t>
            </w:r>
          </w:p>
        </w:tc>
        <w:tc>
          <w:tcPr>
            <w:tcW w:w="0" w:type="auto"/>
            <w:tcBorders>
              <w:top w:val="nil"/>
              <w:left w:val="nil"/>
              <w:bottom w:val="nil"/>
              <w:right w:val="nil"/>
            </w:tcBorders>
            <w:shd w:val="clear" w:color="auto" w:fill="ED7D31"/>
            <w:noWrap/>
            <w:vAlign w:val="bottom"/>
          </w:tcPr>
          <w:p w14:paraId="292B28AD">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19.53</w:t>
            </w:r>
          </w:p>
        </w:tc>
        <w:tc>
          <w:tcPr>
            <w:tcW w:w="0" w:type="auto"/>
            <w:tcBorders>
              <w:top w:val="nil"/>
              <w:left w:val="nil"/>
              <w:bottom w:val="nil"/>
              <w:right w:val="nil"/>
            </w:tcBorders>
            <w:shd w:val="clear" w:color="auto" w:fill="ED7D31"/>
            <w:noWrap/>
            <w:vAlign w:val="bottom"/>
          </w:tcPr>
          <w:p w14:paraId="77C43F06">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2.34</w:t>
            </w:r>
          </w:p>
        </w:tc>
      </w:tr>
      <w:tr w14:paraId="383371DD">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ED7D31"/>
            <w:noWrap/>
            <w:vAlign w:val="bottom"/>
          </w:tcPr>
          <w:p w14:paraId="6AE1D1FC">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Makurdi</w:t>
            </w:r>
          </w:p>
        </w:tc>
        <w:tc>
          <w:tcPr>
            <w:tcW w:w="0" w:type="auto"/>
            <w:tcBorders>
              <w:top w:val="nil"/>
              <w:left w:val="nil"/>
              <w:bottom w:val="nil"/>
              <w:right w:val="nil"/>
            </w:tcBorders>
            <w:shd w:val="clear" w:color="auto" w:fill="ED7D31"/>
            <w:noWrap/>
            <w:vAlign w:val="bottom"/>
          </w:tcPr>
          <w:p w14:paraId="7441AA87">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2010</w:t>
            </w:r>
          </w:p>
        </w:tc>
        <w:tc>
          <w:tcPr>
            <w:tcW w:w="0" w:type="auto"/>
            <w:tcBorders>
              <w:top w:val="nil"/>
              <w:left w:val="nil"/>
              <w:bottom w:val="nil"/>
              <w:right w:val="nil"/>
            </w:tcBorders>
            <w:shd w:val="clear" w:color="auto" w:fill="ED7D31"/>
            <w:noWrap/>
            <w:vAlign w:val="bottom"/>
          </w:tcPr>
          <w:p w14:paraId="1637F229">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Wetland</w:t>
            </w:r>
          </w:p>
        </w:tc>
        <w:tc>
          <w:tcPr>
            <w:tcW w:w="0" w:type="auto"/>
            <w:tcBorders>
              <w:top w:val="nil"/>
              <w:left w:val="nil"/>
              <w:bottom w:val="nil"/>
              <w:right w:val="nil"/>
            </w:tcBorders>
            <w:shd w:val="clear" w:color="auto" w:fill="ED7D31"/>
            <w:noWrap/>
            <w:vAlign w:val="bottom"/>
          </w:tcPr>
          <w:p w14:paraId="7B51BEC5">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91.81</w:t>
            </w:r>
          </w:p>
        </w:tc>
        <w:tc>
          <w:tcPr>
            <w:tcW w:w="0" w:type="auto"/>
            <w:tcBorders>
              <w:top w:val="nil"/>
              <w:left w:val="nil"/>
              <w:bottom w:val="nil"/>
              <w:right w:val="nil"/>
            </w:tcBorders>
            <w:shd w:val="clear" w:color="auto" w:fill="ED7D31"/>
            <w:noWrap/>
            <w:vAlign w:val="bottom"/>
          </w:tcPr>
          <w:p w14:paraId="0A108E65">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11.01</w:t>
            </w:r>
          </w:p>
        </w:tc>
      </w:tr>
      <w:tr w14:paraId="713B942E">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5A5A5"/>
            <w:noWrap/>
            <w:vAlign w:val="bottom"/>
          </w:tcPr>
          <w:p w14:paraId="28A3F577">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Otukpo</w:t>
            </w:r>
          </w:p>
        </w:tc>
        <w:tc>
          <w:tcPr>
            <w:tcW w:w="0" w:type="auto"/>
            <w:tcBorders>
              <w:top w:val="nil"/>
              <w:left w:val="nil"/>
              <w:bottom w:val="nil"/>
              <w:right w:val="nil"/>
            </w:tcBorders>
            <w:shd w:val="clear" w:color="auto" w:fill="A5A5A5"/>
            <w:noWrap/>
            <w:vAlign w:val="bottom"/>
          </w:tcPr>
          <w:p w14:paraId="350CA954">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2010</w:t>
            </w:r>
          </w:p>
        </w:tc>
        <w:tc>
          <w:tcPr>
            <w:tcW w:w="0" w:type="auto"/>
            <w:tcBorders>
              <w:top w:val="nil"/>
              <w:left w:val="nil"/>
              <w:bottom w:val="nil"/>
              <w:right w:val="nil"/>
            </w:tcBorders>
            <w:shd w:val="clear" w:color="auto" w:fill="A5A5A5"/>
            <w:noWrap/>
            <w:vAlign w:val="bottom"/>
          </w:tcPr>
          <w:p w14:paraId="41C8BFDA">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Built-up Area</w:t>
            </w:r>
          </w:p>
        </w:tc>
        <w:tc>
          <w:tcPr>
            <w:tcW w:w="0" w:type="auto"/>
            <w:tcBorders>
              <w:top w:val="nil"/>
              <w:left w:val="nil"/>
              <w:bottom w:val="nil"/>
              <w:right w:val="nil"/>
            </w:tcBorders>
            <w:shd w:val="clear" w:color="auto" w:fill="A5A5A5"/>
            <w:noWrap/>
            <w:vAlign w:val="bottom"/>
          </w:tcPr>
          <w:p w14:paraId="4D74DAD9">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258.06</w:t>
            </w:r>
          </w:p>
        </w:tc>
        <w:tc>
          <w:tcPr>
            <w:tcW w:w="0" w:type="auto"/>
            <w:tcBorders>
              <w:top w:val="nil"/>
              <w:left w:val="nil"/>
              <w:bottom w:val="nil"/>
              <w:right w:val="nil"/>
            </w:tcBorders>
            <w:shd w:val="clear" w:color="auto" w:fill="A5A5A5"/>
            <w:noWrap/>
            <w:vAlign w:val="bottom"/>
          </w:tcPr>
          <w:p w14:paraId="16FC89B5">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19.38</w:t>
            </w:r>
          </w:p>
        </w:tc>
      </w:tr>
      <w:tr w14:paraId="4A9B4DAB">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5A5A5"/>
            <w:noWrap/>
            <w:vAlign w:val="bottom"/>
          </w:tcPr>
          <w:p w14:paraId="15B0A818">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Otukpo</w:t>
            </w:r>
          </w:p>
        </w:tc>
        <w:tc>
          <w:tcPr>
            <w:tcW w:w="0" w:type="auto"/>
            <w:tcBorders>
              <w:top w:val="nil"/>
              <w:left w:val="nil"/>
              <w:bottom w:val="nil"/>
              <w:right w:val="nil"/>
            </w:tcBorders>
            <w:shd w:val="clear" w:color="auto" w:fill="A5A5A5"/>
            <w:noWrap/>
            <w:vAlign w:val="bottom"/>
          </w:tcPr>
          <w:p w14:paraId="352D4C1A">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2010</w:t>
            </w:r>
          </w:p>
        </w:tc>
        <w:tc>
          <w:tcPr>
            <w:tcW w:w="0" w:type="auto"/>
            <w:tcBorders>
              <w:top w:val="nil"/>
              <w:left w:val="nil"/>
              <w:bottom w:val="nil"/>
              <w:right w:val="nil"/>
            </w:tcBorders>
            <w:shd w:val="clear" w:color="auto" w:fill="A5A5A5"/>
            <w:noWrap/>
            <w:vAlign w:val="bottom"/>
          </w:tcPr>
          <w:p w14:paraId="25CD61CE">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Forest Area</w:t>
            </w:r>
          </w:p>
        </w:tc>
        <w:tc>
          <w:tcPr>
            <w:tcW w:w="0" w:type="auto"/>
            <w:tcBorders>
              <w:top w:val="nil"/>
              <w:left w:val="nil"/>
              <w:bottom w:val="nil"/>
              <w:right w:val="nil"/>
            </w:tcBorders>
            <w:shd w:val="clear" w:color="auto" w:fill="A5A5A5"/>
            <w:noWrap/>
            <w:vAlign w:val="bottom"/>
          </w:tcPr>
          <w:p w14:paraId="532DE5F0">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538.83</w:t>
            </w:r>
          </w:p>
        </w:tc>
        <w:tc>
          <w:tcPr>
            <w:tcW w:w="0" w:type="auto"/>
            <w:tcBorders>
              <w:top w:val="nil"/>
              <w:left w:val="nil"/>
              <w:bottom w:val="nil"/>
              <w:right w:val="nil"/>
            </w:tcBorders>
            <w:shd w:val="clear" w:color="auto" w:fill="A5A5A5"/>
            <w:noWrap/>
            <w:vAlign w:val="bottom"/>
          </w:tcPr>
          <w:p w14:paraId="22DB1AAE">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40.46</w:t>
            </w:r>
          </w:p>
        </w:tc>
      </w:tr>
      <w:tr w14:paraId="652CBCAE">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5A5A5"/>
            <w:noWrap/>
            <w:vAlign w:val="bottom"/>
          </w:tcPr>
          <w:p w14:paraId="42FF6566">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Otukpo</w:t>
            </w:r>
          </w:p>
        </w:tc>
        <w:tc>
          <w:tcPr>
            <w:tcW w:w="0" w:type="auto"/>
            <w:tcBorders>
              <w:top w:val="nil"/>
              <w:left w:val="nil"/>
              <w:bottom w:val="nil"/>
              <w:right w:val="nil"/>
            </w:tcBorders>
            <w:shd w:val="clear" w:color="auto" w:fill="A5A5A5"/>
            <w:noWrap/>
            <w:vAlign w:val="bottom"/>
          </w:tcPr>
          <w:p w14:paraId="5AE1D072">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2010</w:t>
            </w:r>
          </w:p>
        </w:tc>
        <w:tc>
          <w:tcPr>
            <w:tcW w:w="0" w:type="auto"/>
            <w:tcBorders>
              <w:top w:val="nil"/>
              <w:left w:val="nil"/>
              <w:bottom w:val="nil"/>
              <w:right w:val="nil"/>
            </w:tcBorders>
            <w:shd w:val="clear" w:color="auto" w:fill="A5A5A5"/>
            <w:noWrap/>
            <w:vAlign w:val="bottom"/>
          </w:tcPr>
          <w:p w14:paraId="24068FD0">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Crop Land</w:t>
            </w:r>
          </w:p>
        </w:tc>
        <w:tc>
          <w:tcPr>
            <w:tcW w:w="0" w:type="auto"/>
            <w:tcBorders>
              <w:top w:val="nil"/>
              <w:left w:val="nil"/>
              <w:bottom w:val="nil"/>
              <w:right w:val="nil"/>
            </w:tcBorders>
            <w:shd w:val="clear" w:color="auto" w:fill="A5A5A5"/>
            <w:noWrap/>
            <w:vAlign w:val="bottom"/>
          </w:tcPr>
          <w:p w14:paraId="2AC7F5B5">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276.31</w:t>
            </w:r>
          </w:p>
        </w:tc>
        <w:tc>
          <w:tcPr>
            <w:tcW w:w="0" w:type="auto"/>
            <w:tcBorders>
              <w:top w:val="nil"/>
              <w:left w:val="nil"/>
              <w:bottom w:val="nil"/>
              <w:right w:val="nil"/>
            </w:tcBorders>
            <w:shd w:val="clear" w:color="auto" w:fill="A5A5A5"/>
            <w:noWrap/>
            <w:vAlign w:val="bottom"/>
          </w:tcPr>
          <w:p w14:paraId="5429DDBF">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20.75</w:t>
            </w:r>
          </w:p>
        </w:tc>
      </w:tr>
      <w:tr w14:paraId="2BF2FF7D">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5A5A5"/>
            <w:noWrap/>
            <w:vAlign w:val="bottom"/>
          </w:tcPr>
          <w:p w14:paraId="004F4651">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Otukpo</w:t>
            </w:r>
          </w:p>
        </w:tc>
        <w:tc>
          <w:tcPr>
            <w:tcW w:w="0" w:type="auto"/>
            <w:tcBorders>
              <w:top w:val="nil"/>
              <w:left w:val="nil"/>
              <w:bottom w:val="nil"/>
              <w:right w:val="nil"/>
            </w:tcBorders>
            <w:shd w:val="clear" w:color="auto" w:fill="A5A5A5"/>
            <w:noWrap/>
            <w:vAlign w:val="bottom"/>
          </w:tcPr>
          <w:p w14:paraId="7C494280">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2010</w:t>
            </w:r>
          </w:p>
        </w:tc>
        <w:tc>
          <w:tcPr>
            <w:tcW w:w="0" w:type="auto"/>
            <w:tcBorders>
              <w:top w:val="nil"/>
              <w:left w:val="nil"/>
              <w:bottom w:val="nil"/>
              <w:right w:val="nil"/>
            </w:tcBorders>
            <w:shd w:val="clear" w:color="auto" w:fill="A5A5A5"/>
            <w:noWrap/>
            <w:vAlign w:val="bottom"/>
          </w:tcPr>
          <w:p w14:paraId="218927BB">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Water Body</w:t>
            </w:r>
          </w:p>
        </w:tc>
        <w:tc>
          <w:tcPr>
            <w:tcW w:w="0" w:type="auto"/>
            <w:tcBorders>
              <w:top w:val="nil"/>
              <w:left w:val="nil"/>
              <w:bottom w:val="nil"/>
              <w:right w:val="nil"/>
            </w:tcBorders>
            <w:shd w:val="clear" w:color="auto" w:fill="A5A5A5"/>
            <w:noWrap/>
            <w:vAlign w:val="bottom"/>
          </w:tcPr>
          <w:p w14:paraId="25C60322">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90.32</w:t>
            </w:r>
          </w:p>
        </w:tc>
        <w:tc>
          <w:tcPr>
            <w:tcW w:w="0" w:type="auto"/>
            <w:tcBorders>
              <w:top w:val="nil"/>
              <w:left w:val="nil"/>
              <w:bottom w:val="nil"/>
              <w:right w:val="nil"/>
            </w:tcBorders>
            <w:shd w:val="clear" w:color="auto" w:fill="A5A5A5"/>
            <w:noWrap/>
            <w:vAlign w:val="bottom"/>
          </w:tcPr>
          <w:p w14:paraId="3872ECCB">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6.78</w:t>
            </w:r>
          </w:p>
        </w:tc>
      </w:tr>
      <w:tr w14:paraId="4C810B92">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5A5A5"/>
            <w:noWrap/>
            <w:vAlign w:val="bottom"/>
          </w:tcPr>
          <w:p w14:paraId="24402CCA">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Otukpo</w:t>
            </w:r>
          </w:p>
        </w:tc>
        <w:tc>
          <w:tcPr>
            <w:tcW w:w="0" w:type="auto"/>
            <w:tcBorders>
              <w:top w:val="nil"/>
              <w:left w:val="nil"/>
              <w:bottom w:val="nil"/>
              <w:right w:val="nil"/>
            </w:tcBorders>
            <w:shd w:val="clear" w:color="auto" w:fill="A5A5A5"/>
            <w:noWrap/>
            <w:vAlign w:val="bottom"/>
          </w:tcPr>
          <w:p w14:paraId="4D02F4B5">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2010</w:t>
            </w:r>
          </w:p>
        </w:tc>
        <w:tc>
          <w:tcPr>
            <w:tcW w:w="0" w:type="auto"/>
            <w:tcBorders>
              <w:top w:val="nil"/>
              <w:left w:val="nil"/>
              <w:bottom w:val="nil"/>
              <w:right w:val="nil"/>
            </w:tcBorders>
            <w:shd w:val="clear" w:color="auto" w:fill="A5A5A5"/>
            <w:noWrap/>
            <w:vAlign w:val="bottom"/>
          </w:tcPr>
          <w:p w14:paraId="0572ADDB">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Wetland</w:t>
            </w:r>
          </w:p>
        </w:tc>
        <w:tc>
          <w:tcPr>
            <w:tcW w:w="0" w:type="auto"/>
            <w:tcBorders>
              <w:top w:val="nil"/>
              <w:left w:val="nil"/>
              <w:bottom w:val="nil"/>
              <w:right w:val="nil"/>
            </w:tcBorders>
            <w:shd w:val="clear" w:color="auto" w:fill="A5A5A5"/>
            <w:noWrap/>
            <w:vAlign w:val="bottom"/>
          </w:tcPr>
          <w:p w14:paraId="1B8465D4">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168.12</w:t>
            </w:r>
          </w:p>
        </w:tc>
        <w:tc>
          <w:tcPr>
            <w:tcW w:w="0" w:type="auto"/>
            <w:tcBorders>
              <w:top w:val="nil"/>
              <w:left w:val="nil"/>
              <w:bottom w:val="nil"/>
              <w:right w:val="nil"/>
            </w:tcBorders>
            <w:shd w:val="clear" w:color="auto" w:fill="A5A5A5"/>
            <w:noWrap/>
            <w:vAlign w:val="bottom"/>
          </w:tcPr>
          <w:p w14:paraId="4143437E">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12.63</w:t>
            </w:r>
          </w:p>
        </w:tc>
      </w:tr>
      <w:tr w14:paraId="197FDB10">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70AD47"/>
            <w:noWrap/>
            <w:vAlign w:val="bottom"/>
          </w:tcPr>
          <w:p w14:paraId="0DA5AEDE">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Makurdi</w:t>
            </w:r>
          </w:p>
        </w:tc>
        <w:tc>
          <w:tcPr>
            <w:tcW w:w="0" w:type="auto"/>
            <w:tcBorders>
              <w:top w:val="nil"/>
              <w:left w:val="nil"/>
              <w:bottom w:val="nil"/>
              <w:right w:val="nil"/>
            </w:tcBorders>
            <w:shd w:val="clear" w:color="auto" w:fill="70AD47"/>
            <w:noWrap/>
            <w:vAlign w:val="bottom"/>
          </w:tcPr>
          <w:p w14:paraId="2832316C">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2024</w:t>
            </w:r>
          </w:p>
        </w:tc>
        <w:tc>
          <w:tcPr>
            <w:tcW w:w="0" w:type="auto"/>
            <w:tcBorders>
              <w:top w:val="nil"/>
              <w:left w:val="nil"/>
              <w:bottom w:val="nil"/>
              <w:right w:val="nil"/>
            </w:tcBorders>
            <w:shd w:val="clear" w:color="auto" w:fill="70AD47"/>
            <w:noWrap/>
            <w:vAlign w:val="bottom"/>
          </w:tcPr>
          <w:p w14:paraId="289ECD9C">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Built-up Area</w:t>
            </w:r>
          </w:p>
        </w:tc>
        <w:tc>
          <w:tcPr>
            <w:tcW w:w="0" w:type="auto"/>
            <w:tcBorders>
              <w:top w:val="nil"/>
              <w:left w:val="nil"/>
              <w:bottom w:val="nil"/>
              <w:right w:val="nil"/>
            </w:tcBorders>
            <w:shd w:val="clear" w:color="auto" w:fill="70AD47"/>
            <w:noWrap/>
            <w:vAlign w:val="bottom"/>
          </w:tcPr>
          <w:p w14:paraId="6F42972F">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213.50</w:t>
            </w:r>
          </w:p>
        </w:tc>
        <w:tc>
          <w:tcPr>
            <w:tcW w:w="0" w:type="auto"/>
            <w:tcBorders>
              <w:top w:val="nil"/>
              <w:left w:val="nil"/>
              <w:bottom w:val="nil"/>
              <w:right w:val="nil"/>
            </w:tcBorders>
            <w:shd w:val="clear" w:color="auto" w:fill="70AD47"/>
            <w:noWrap/>
            <w:vAlign w:val="bottom"/>
          </w:tcPr>
          <w:p w14:paraId="68AEEB25">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25.61</w:t>
            </w:r>
          </w:p>
        </w:tc>
      </w:tr>
      <w:tr w14:paraId="7AD3E23A">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70AD47"/>
            <w:noWrap/>
            <w:vAlign w:val="bottom"/>
          </w:tcPr>
          <w:p w14:paraId="5903A883">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Makurdi</w:t>
            </w:r>
          </w:p>
        </w:tc>
        <w:tc>
          <w:tcPr>
            <w:tcW w:w="0" w:type="auto"/>
            <w:tcBorders>
              <w:top w:val="nil"/>
              <w:left w:val="nil"/>
              <w:bottom w:val="nil"/>
              <w:right w:val="nil"/>
            </w:tcBorders>
            <w:shd w:val="clear" w:color="auto" w:fill="70AD47"/>
            <w:noWrap/>
            <w:vAlign w:val="bottom"/>
          </w:tcPr>
          <w:p w14:paraId="7C64902A">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2024</w:t>
            </w:r>
          </w:p>
        </w:tc>
        <w:tc>
          <w:tcPr>
            <w:tcW w:w="0" w:type="auto"/>
            <w:tcBorders>
              <w:top w:val="nil"/>
              <w:left w:val="nil"/>
              <w:bottom w:val="nil"/>
              <w:right w:val="nil"/>
            </w:tcBorders>
            <w:shd w:val="clear" w:color="auto" w:fill="70AD47"/>
            <w:noWrap/>
            <w:vAlign w:val="bottom"/>
          </w:tcPr>
          <w:p w14:paraId="38FB8EA6">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Forest Area</w:t>
            </w:r>
          </w:p>
        </w:tc>
        <w:tc>
          <w:tcPr>
            <w:tcW w:w="0" w:type="auto"/>
            <w:tcBorders>
              <w:top w:val="nil"/>
              <w:left w:val="nil"/>
              <w:bottom w:val="nil"/>
              <w:right w:val="nil"/>
            </w:tcBorders>
            <w:shd w:val="clear" w:color="auto" w:fill="70AD47"/>
            <w:noWrap/>
            <w:vAlign w:val="bottom"/>
          </w:tcPr>
          <w:p w14:paraId="259C45A8">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295.24</w:t>
            </w:r>
          </w:p>
        </w:tc>
        <w:tc>
          <w:tcPr>
            <w:tcW w:w="0" w:type="auto"/>
            <w:tcBorders>
              <w:top w:val="nil"/>
              <w:left w:val="nil"/>
              <w:bottom w:val="nil"/>
              <w:right w:val="nil"/>
            </w:tcBorders>
            <w:shd w:val="clear" w:color="auto" w:fill="70AD47"/>
            <w:noWrap/>
            <w:vAlign w:val="bottom"/>
          </w:tcPr>
          <w:p w14:paraId="7728FF37">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35.42</w:t>
            </w:r>
          </w:p>
        </w:tc>
      </w:tr>
      <w:tr w14:paraId="4D0ED246">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70AD47"/>
            <w:noWrap/>
            <w:vAlign w:val="bottom"/>
          </w:tcPr>
          <w:p w14:paraId="2D9AD803">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Makurdi</w:t>
            </w:r>
          </w:p>
        </w:tc>
        <w:tc>
          <w:tcPr>
            <w:tcW w:w="0" w:type="auto"/>
            <w:tcBorders>
              <w:top w:val="nil"/>
              <w:left w:val="nil"/>
              <w:bottom w:val="nil"/>
              <w:right w:val="nil"/>
            </w:tcBorders>
            <w:shd w:val="clear" w:color="auto" w:fill="70AD47"/>
            <w:noWrap/>
            <w:vAlign w:val="bottom"/>
          </w:tcPr>
          <w:p w14:paraId="285DB831">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2024</w:t>
            </w:r>
          </w:p>
        </w:tc>
        <w:tc>
          <w:tcPr>
            <w:tcW w:w="0" w:type="auto"/>
            <w:tcBorders>
              <w:top w:val="nil"/>
              <w:left w:val="nil"/>
              <w:bottom w:val="nil"/>
              <w:right w:val="nil"/>
            </w:tcBorders>
            <w:shd w:val="clear" w:color="auto" w:fill="70AD47"/>
            <w:noWrap/>
            <w:vAlign w:val="bottom"/>
          </w:tcPr>
          <w:p w14:paraId="2E70061F">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Crop Land</w:t>
            </w:r>
          </w:p>
        </w:tc>
        <w:tc>
          <w:tcPr>
            <w:tcW w:w="0" w:type="auto"/>
            <w:tcBorders>
              <w:top w:val="nil"/>
              <w:left w:val="nil"/>
              <w:bottom w:val="nil"/>
              <w:right w:val="nil"/>
            </w:tcBorders>
            <w:shd w:val="clear" w:color="auto" w:fill="70AD47"/>
            <w:noWrap/>
            <w:vAlign w:val="bottom"/>
          </w:tcPr>
          <w:p w14:paraId="1AA79055">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156.23</w:t>
            </w:r>
          </w:p>
        </w:tc>
        <w:tc>
          <w:tcPr>
            <w:tcW w:w="0" w:type="auto"/>
            <w:tcBorders>
              <w:top w:val="nil"/>
              <w:left w:val="nil"/>
              <w:bottom w:val="nil"/>
              <w:right w:val="nil"/>
            </w:tcBorders>
            <w:shd w:val="clear" w:color="auto" w:fill="70AD47"/>
            <w:noWrap/>
            <w:vAlign w:val="bottom"/>
          </w:tcPr>
          <w:p w14:paraId="2958C1C8">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18.74</w:t>
            </w:r>
          </w:p>
        </w:tc>
      </w:tr>
      <w:tr w14:paraId="743DDF68">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70AD47"/>
            <w:noWrap/>
            <w:vAlign w:val="bottom"/>
          </w:tcPr>
          <w:p w14:paraId="4CA59F3F">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Makurdi</w:t>
            </w:r>
          </w:p>
        </w:tc>
        <w:tc>
          <w:tcPr>
            <w:tcW w:w="0" w:type="auto"/>
            <w:tcBorders>
              <w:top w:val="nil"/>
              <w:left w:val="nil"/>
              <w:bottom w:val="nil"/>
              <w:right w:val="nil"/>
            </w:tcBorders>
            <w:shd w:val="clear" w:color="auto" w:fill="70AD47"/>
            <w:noWrap/>
            <w:vAlign w:val="bottom"/>
          </w:tcPr>
          <w:p w14:paraId="08DB093C">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2024</w:t>
            </w:r>
          </w:p>
        </w:tc>
        <w:tc>
          <w:tcPr>
            <w:tcW w:w="0" w:type="auto"/>
            <w:tcBorders>
              <w:top w:val="nil"/>
              <w:left w:val="nil"/>
              <w:bottom w:val="nil"/>
              <w:right w:val="nil"/>
            </w:tcBorders>
            <w:shd w:val="clear" w:color="auto" w:fill="70AD47"/>
            <w:noWrap/>
            <w:vAlign w:val="bottom"/>
          </w:tcPr>
          <w:p w14:paraId="55FDF200">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Water Body</w:t>
            </w:r>
          </w:p>
        </w:tc>
        <w:tc>
          <w:tcPr>
            <w:tcW w:w="0" w:type="auto"/>
            <w:tcBorders>
              <w:top w:val="nil"/>
              <w:left w:val="nil"/>
              <w:bottom w:val="nil"/>
              <w:right w:val="nil"/>
            </w:tcBorders>
            <w:shd w:val="clear" w:color="auto" w:fill="70AD47"/>
            <w:noWrap/>
            <w:vAlign w:val="bottom"/>
          </w:tcPr>
          <w:p w14:paraId="0A39D47A">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26.86</w:t>
            </w:r>
          </w:p>
        </w:tc>
        <w:tc>
          <w:tcPr>
            <w:tcW w:w="0" w:type="auto"/>
            <w:tcBorders>
              <w:top w:val="nil"/>
              <w:left w:val="nil"/>
              <w:bottom w:val="nil"/>
              <w:right w:val="nil"/>
            </w:tcBorders>
            <w:shd w:val="clear" w:color="auto" w:fill="70AD47"/>
            <w:noWrap/>
            <w:vAlign w:val="bottom"/>
          </w:tcPr>
          <w:p w14:paraId="67990411">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3.22</w:t>
            </w:r>
          </w:p>
        </w:tc>
      </w:tr>
      <w:tr w14:paraId="662C4C7E">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70AD47"/>
            <w:noWrap/>
            <w:vAlign w:val="bottom"/>
          </w:tcPr>
          <w:p w14:paraId="04B093D1">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Makurdi</w:t>
            </w:r>
          </w:p>
        </w:tc>
        <w:tc>
          <w:tcPr>
            <w:tcW w:w="0" w:type="auto"/>
            <w:tcBorders>
              <w:top w:val="nil"/>
              <w:left w:val="nil"/>
              <w:bottom w:val="nil"/>
              <w:right w:val="nil"/>
            </w:tcBorders>
            <w:shd w:val="clear" w:color="auto" w:fill="70AD47"/>
            <w:noWrap/>
            <w:vAlign w:val="bottom"/>
          </w:tcPr>
          <w:p w14:paraId="0523764C">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2024</w:t>
            </w:r>
          </w:p>
        </w:tc>
        <w:tc>
          <w:tcPr>
            <w:tcW w:w="0" w:type="auto"/>
            <w:tcBorders>
              <w:top w:val="nil"/>
              <w:left w:val="nil"/>
              <w:bottom w:val="nil"/>
              <w:right w:val="nil"/>
            </w:tcBorders>
            <w:shd w:val="clear" w:color="auto" w:fill="70AD47"/>
            <w:noWrap/>
            <w:vAlign w:val="bottom"/>
          </w:tcPr>
          <w:p w14:paraId="3C7DEC05">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Wetland</w:t>
            </w:r>
          </w:p>
        </w:tc>
        <w:tc>
          <w:tcPr>
            <w:tcW w:w="0" w:type="auto"/>
            <w:tcBorders>
              <w:top w:val="nil"/>
              <w:left w:val="nil"/>
              <w:bottom w:val="nil"/>
              <w:right w:val="nil"/>
            </w:tcBorders>
            <w:shd w:val="clear" w:color="auto" w:fill="70AD47"/>
            <w:noWrap/>
            <w:vAlign w:val="bottom"/>
          </w:tcPr>
          <w:p w14:paraId="45D44E50">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141.78</w:t>
            </w:r>
          </w:p>
        </w:tc>
        <w:tc>
          <w:tcPr>
            <w:tcW w:w="0" w:type="auto"/>
            <w:tcBorders>
              <w:top w:val="nil"/>
              <w:left w:val="nil"/>
              <w:bottom w:val="nil"/>
              <w:right w:val="nil"/>
            </w:tcBorders>
            <w:shd w:val="clear" w:color="auto" w:fill="70AD47"/>
            <w:noWrap/>
            <w:vAlign w:val="bottom"/>
          </w:tcPr>
          <w:p w14:paraId="7CCD2C60">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17.01</w:t>
            </w:r>
          </w:p>
        </w:tc>
      </w:tr>
      <w:tr w14:paraId="1518ADCD">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FFC000"/>
            <w:noWrap/>
            <w:vAlign w:val="bottom"/>
          </w:tcPr>
          <w:p w14:paraId="4C7F7416">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Otukpo</w:t>
            </w:r>
          </w:p>
        </w:tc>
        <w:tc>
          <w:tcPr>
            <w:tcW w:w="0" w:type="auto"/>
            <w:tcBorders>
              <w:top w:val="nil"/>
              <w:left w:val="nil"/>
              <w:bottom w:val="nil"/>
              <w:right w:val="nil"/>
            </w:tcBorders>
            <w:shd w:val="clear" w:color="auto" w:fill="FFC000"/>
            <w:noWrap/>
            <w:vAlign w:val="bottom"/>
          </w:tcPr>
          <w:p w14:paraId="50954290">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2024</w:t>
            </w:r>
          </w:p>
        </w:tc>
        <w:tc>
          <w:tcPr>
            <w:tcW w:w="0" w:type="auto"/>
            <w:tcBorders>
              <w:top w:val="nil"/>
              <w:left w:val="nil"/>
              <w:bottom w:val="nil"/>
              <w:right w:val="nil"/>
            </w:tcBorders>
            <w:shd w:val="clear" w:color="auto" w:fill="FFC000"/>
            <w:noWrap/>
            <w:vAlign w:val="bottom"/>
          </w:tcPr>
          <w:p w14:paraId="09276E99">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Built-up Area</w:t>
            </w:r>
          </w:p>
        </w:tc>
        <w:tc>
          <w:tcPr>
            <w:tcW w:w="0" w:type="auto"/>
            <w:tcBorders>
              <w:top w:val="nil"/>
              <w:left w:val="nil"/>
              <w:bottom w:val="nil"/>
              <w:right w:val="nil"/>
            </w:tcBorders>
            <w:shd w:val="clear" w:color="auto" w:fill="FFC000"/>
            <w:noWrap/>
            <w:vAlign w:val="bottom"/>
          </w:tcPr>
          <w:p w14:paraId="48CAA6B8">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444.44</w:t>
            </w:r>
          </w:p>
        </w:tc>
        <w:tc>
          <w:tcPr>
            <w:tcW w:w="0" w:type="auto"/>
            <w:tcBorders>
              <w:top w:val="nil"/>
              <w:left w:val="nil"/>
              <w:bottom w:val="nil"/>
              <w:right w:val="nil"/>
            </w:tcBorders>
            <w:shd w:val="clear" w:color="auto" w:fill="FFC000"/>
            <w:noWrap/>
            <w:vAlign w:val="bottom"/>
          </w:tcPr>
          <w:p w14:paraId="216AB118">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36.09</w:t>
            </w:r>
          </w:p>
        </w:tc>
      </w:tr>
      <w:tr w14:paraId="5DF7089A">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FFC000"/>
            <w:noWrap/>
            <w:vAlign w:val="bottom"/>
          </w:tcPr>
          <w:p w14:paraId="6ED06145">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Otukpo</w:t>
            </w:r>
          </w:p>
        </w:tc>
        <w:tc>
          <w:tcPr>
            <w:tcW w:w="0" w:type="auto"/>
            <w:tcBorders>
              <w:top w:val="nil"/>
              <w:left w:val="nil"/>
              <w:bottom w:val="nil"/>
              <w:right w:val="nil"/>
            </w:tcBorders>
            <w:shd w:val="clear" w:color="auto" w:fill="FFC000"/>
            <w:noWrap/>
            <w:vAlign w:val="bottom"/>
          </w:tcPr>
          <w:p w14:paraId="4B307F10">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2024</w:t>
            </w:r>
          </w:p>
        </w:tc>
        <w:tc>
          <w:tcPr>
            <w:tcW w:w="0" w:type="auto"/>
            <w:tcBorders>
              <w:top w:val="nil"/>
              <w:left w:val="nil"/>
              <w:bottom w:val="nil"/>
              <w:right w:val="nil"/>
            </w:tcBorders>
            <w:shd w:val="clear" w:color="auto" w:fill="FFC000"/>
            <w:noWrap/>
            <w:vAlign w:val="bottom"/>
          </w:tcPr>
          <w:p w14:paraId="1E877157">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Forest Area</w:t>
            </w:r>
          </w:p>
        </w:tc>
        <w:tc>
          <w:tcPr>
            <w:tcW w:w="0" w:type="auto"/>
            <w:tcBorders>
              <w:top w:val="nil"/>
              <w:left w:val="nil"/>
              <w:bottom w:val="nil"/>
              <w:right w:val="nil"/>
            </w:tcBorders>
            <w:shd w:val="clear" w:color="auto" w:fill="FFC000"/>
            <w:noWrap/>
            <w:vAlign w:val="bottom"/>
          </w:tcPr>
          <w:p w14:paraId="4D13D8FE">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345.10</w:t>
            </w:r>
          </w:p>
        </w:tc>
        <w:tc>
          <w:tcPr>
            <w:tcW w:w="0" w:type="auto"/>
            <w:tcBorders>
              <w:top w:val="nil"/>
              <w:left w:val="nil"/>
              <w:bottom w:val="nil"/>
              <w:right w:val="nil"/>
            </w:tcBorders>
            <w:shd w:val="clear" w:color="auto" w:fill="FFC000"/>
            <w:noWrap/>
            <w:vAlign w:val="bottom"/>
          </w:tcPr>
          <w:p w14:paraId="0D785F91">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28.02</w:t>
            </w:r>
          </w:p>
        </w:tc>
      </w:tr>
      <w:tr w14:paraId="44C89F4A">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FFC000"/>
            <w:noWrap/>
            <w:vAlign w:val="bottom"/>
          </w:tcPr>
          <w:p w14:paraId="6911EE5C">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Otukpo</w:t>
            </w:r>
          </w:p>
        </w:tc>
        <w:tc>
          <w:tcPr>
            <w:tcW w:w="0" w:type="auto"/>
            <w:tcBorders>
              <w:top w:val="nil"/>
              <w:left w:val="nil"/>
              <w:bottom w:val="nil"/>
              <w:right w:val="nil"/>
            </w:tcBorders>
            <w:shd w:val="clear" w:color="auto" w:fill="FFC000"/>
            <w:noWrap/>
            <w:vAlign w:val="bottom"/>
          </w:tcPr>
          <w:p w14:paraId="6FF22745">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2024</w:t>
            </w:r>
          </w:p>
        </w:tc>
        <w:tc>
          <w:tcPr>
            <w:tcW w:w="0" w:type="auto"/>
            <w:tcBorders>
              <w:top w:val="nil"/>
              <w:left w:val="nil"/>
              <w:bottom w:val="nil"/>
              <w:right w:val="nil"/>
            </w:tcBorders>
            <w:shd w:val="clear" w:color="auto" w:fill="FFC000"/>
            <w:noWrap/>
            <w:vAlign w:val="bottom"/>
          </w:tcPr>
          <w:p w14:paraId="37D978D4">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Crop Land</w:t>
            </w:r>
          </w:p>
        </w:tc>
        <w:tc>
          <w:tcPr>
            <w:tcW w:w="0" w:type="auto"/>
            <w:tcBorders>
              <w:top w:val="nil"/>
              <w:left w:val="nil"/>
              <w:bottom w:val="nil"/>
              <w:right w:val="nil"/>
            </w:tcBorders>
            <w:shd w:val="clear" w:color="auto" w:fill="FFC000"/>
            <w:noWrap/>
            <w:vAlign w:val="bottom"/>
          </w:tcPr>
          <w:p w14:paraId="2CFD331C">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256.24</w:t>
            </w:r>
          </w:p>
        </w:tc>
        <w:tc>
          <w:tcPr>
            <w:tcW w:w="0" w:type="auto"/>
            <w:tcBorders>
              <w:top w:val="nil"/>
              <w:left w:val="nil"/>
              <w:bottom w:val="nil"/>
              <w:right w:val="nil"/>
            </w:tcBorders>
            <w:shd w:val="clear" w:color="auto" w:fill="FFC000"/>
            <w:noWrap/>
            <w:vAlign w:val="bottom"/>
          </w:tcPr>
          <w:p w14:paraId="089E87B3">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20.81</w:t>
            </w:r>
          </w:p>
        </w:tc>
      </w:tr>
      <w:tr w14:paraId="34912A44">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FFC000"/>
            <w:noWrap/>
            <w:vAlign w:val="bottom"/>
          </w:tcPr>
          <w:p w14:paraId="5F93BBBD">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Otukpo</w:t>
            </w:r>
          </w:p>
        </w:tc>
        <w:tc>
          <w:tcPr>
            <w:tcW w:w="0" w:type="auto"/>
            <w:tcBorders>
              <w:top w:val="nil"/>
              <w:left w:val="nil"/>
              <w:bottom w:val="nil"/>
              <w:right w:val="nil"/>
            </w:tcBorders>
            <w:shd w:val="clear" w:color="auto" w:fill="FFC000"/>
            <w:noWrap/>
            <w:vAlign w:val="bottom"/>
          </w:tcPr>
          <w:p w14:paraId="4196240B">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2024</w:t>
            </w:r>
          </w:p>
        </w:tc>
        <w:tc>
          <w:tcPr>
            <w:tcW w:w="0" w:type="auto"/>
            <w:tcBorders>
              <w:top w:val="nil"/>
              <w:left w:val="nil"/>
              <w:bottom w:val="nil"/>
              <w:right w:val="nil"/>
            </w:tcBorders>
            <w:shd w:val="clear" w:color="auto" w:fill="FFC000"/>
            <w:noWrap/>
            <w:vAlign w:val="bottom"/>
          </w:tcPr>
          <w:p w14:paraId="37F1806E">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Water Body</w:t>
            </w:r>
          </w:p>
        </w:tc>
        <w:tc>
          <w:tcPr>
            <w:tcW w:w="0" w:type="auto"/>
            <w:tcBorders>
              <w:top w:val="nil"/>
              <w:left w:val="nil"/>
              <w:bottom w:val="nil"/>
              <w:right w:val="nil"/>
            </w:tcBorders>
            <w:shd w:val="clear" w:color="auto" w:fill="FFC000"/>
            <w:noWrap/>
            <w:vAlign w:val="bottom"/>
          </w:tcPr>
          <w:p w14:paraId="46D8CBE9">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63.60</w:t>
            </w:r>
          </w:p>
        </w:tc>
        <w:tc>
          <w:tcPr>
            <w:tcW w:w="0" w:type="auto"/>
            <w:tcBorders>
              <w:top w:val="nil"/>
              <w:left w:val="nil"/>
              <w:bottom w:val="nil"/>
              <w:right w:val="nil"/>
            </w:tcBorders>
            <w:shd w:val="clear" w:color="auto" w:fill="FFC000"/>
            <w:noWrap/>
            <w:vAlign w:val="bottom"/>
          </w:tcPr>
          <w:p w14:paraId="06137C38">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5.16</w:t>
            </w:r>
          </w:p>
        </w:tc>
      </w:tr>
      <w:tr w14:paraId="082CB50A">
        <w:tblPrEx>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FFC000"/>
            <w:noWrap/>
            <w:vAlign w:val="bottom"/>
          </w:tcPr>
          <w:p w14:paraId="400F35D7">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Otukpo</w:t>
            </w:r>
          </w:p>
        </w:tc>
        <w:tc>
          <w:tcPr>
            <w:tcW w:w="0" w:type="auto"/>
            <w:tcBorders>
              <w:top w:val="nil"/>
              <w:left w:val="nil"/>
              <w:bottom w:val="nil"/>
              <w:right w:val="nil"/>
            </w:tcBorders>
            <w:shd w:val="clear" w:color="auto" w:fill="FFC000"/>
            <w:noWrap/>
            <w:vAlign w:val="bottom"/>
          </w:tcPr>
          <w:p w14:paraId="2291495B">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2024</w:t>
            </w:r>
          </w:p>
        </w:tc>
        <w:tc>
          <w:tcPr>
            <w:tcW w:w="0" w:type="auto"/>
            <w:tcBorders>
              <w:top w:val="nil"/>
              <w:left w:val="nil"/>
              <w:bottom w:val="nil"/>
              <w:right w:val="nil"/>
            </w:tcBorders>
            <w:shd w:val="clear" w:color="auto" w:fill="FFC000"/>
            <w:noWrap/>
            <w:vAlign w:val="bottom"/>
          </w:tcPr>
          <w:p w14:paraId="3AB7F024">
            <w:pPr>
              <w:spacing w:before="100" w:beforeAutospacing="1" w:line="256" w:lineRule="auto"/>
              <w:textAlignment w:val="bottom"/>
              <w:rPr>
                <w:rFonts w:ascii="Calibri" w:hAnsi="Calibri" w:eastAsia="Times New Roman" w:cs="Calibri"/>
                <w:color w:val="000000"/>
                <w14:ligatures w14:val="none"/>
              </w:rPr>
            </w:pPr>
            <w:r>
              <w:rPr>
                <w:rFonts w:ascii="Calibri" w:hAnsi="Calibri" w:eastAsia="SimSun" w:cs="Calibri"/>
                <w:color w:val="000000"/>
                <w14:ligatures w14:val="none"/>
              </w:rPr>
              <w:t>Wetland</w:t>
            </w:r>
          </w:p>
        </w:tc>
        <w:tc>
          <w:tcPr>
            <w:tcW w:w="0" w:type="auto"/>
            <w:tcBorders>
              <w:top w:val="nil"/>
              <w:left w:val="nil"/>
              <w:bottom w:val="nil"/>
              <w:right w:val="nil"/>
            </w:tcBorders>
            <w:shd w:val="clear" w:color="auto" w:fill="FFC000"/>
            <w:noWrap/>
            <w:vAlign w:val="bottom"/>
          </w:tcPr>
          <w:p w14:paraId="3D8464E1">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122.24</w:t>
            </w:r>
          </w:p>
        </w:tc>
        <w:tc>
          <w:tcPr>
            <w:tcW w:w="0" w:type="auto"/>
            <w:tcBorders>
              <w:top w:val="nil"/>
              <w:left w:val="nil"/>
              <w:bottom w:val="nil"/>
              <w:right w:val="nil"/>
            </w:tcBorders>
            <w:shd w:val="clear" w:color="auto" w:fill="FFC000"/>
            <w:noWrap/>
            <w:vAlign w:val="bottom"/>
          </w:tcPr>
          <w:p w14:paraId="1B1ED060">
            <w:pPr>
              <w:spacing w:before="100" w:beforeAutospacing="1" w:line="256" w:lineRule="auto"/>
              <w:jc w:val="right"/>
              <w:textAlignment w:val="bottom"/>
              <w:rPr>
                <w:rFonts w:ascii="Calibri" w:hAnsi="Calibri" w:eastAsia="Times New Roman" w:cs="Calibri"/>
                <w:color w:val="000000"/>
                <w14:ligatures w14:val="none"/>
              </w:rPr>
            </w:pPr>
            <w:r>
              <w:rPr>
                <w:rFonts w:ascii="Calibri" w:hAnsi="Calibri" w:eastAsia="SimSun" w:cs="Calibri"/>
                <w:color w:val="000000"/>
                <w14:ligatures w14:val="none"/>
              </w:rPr>
              <w:t>9.93</w:t>
            </w:r>
          </w:p>
        </w:tc>
      </w:tr>
    </w:tbl>
    <w:p w14:paraId="362A0305">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Appendix 3</w:t>
      </w:r>
    </w:p>
    <w:p w14:paraId="04C2AE1D">
      <w:pPr>
        <w:spacing w:beforeAutospacing="1" w:after="0" w:line="240" w:lineRule="auto"/>
        <w:rPr>
          <w:rFonts w:ascii="Times New Roman" w:hAnsi="Times New Roman" w:eastAsia="Times New Roman" w:cs="Times New Roman"/>
          <w:b/>
          <w:bCs/>
          <w:sz w:val="24"/>
          <w:szCs w:val="24"/>
          <w14:ligatures w14:val="none"/>
        </w:rPr>
      </w:pPr>
      <w:r>
        <w:rPr>
          <w:rFonts w:ascii="Calibri" w:hAnsi="Calibri" w:eastAsia="Times New Roman" w:cs="Times New Roman"/>
          <w14:ligatures w14:val="none"/>
        </w:rPr>
        <w:drawing>
          <wp:inline distT="0" distB="0" distL="0" distR="0">
            <wp:extent cx="2828925" cy="2705100"/>
            <wp:effectExtent l="0" t="0" r="9525" b="0"/>
            <wp:docPr id="42" name="Picture 5" descr="DAT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5" descr="DATA 2"/>
                    <pic:cNvPicPr>
                      <a:picLocks noChangeAspect="1"/>
                    </pic:cNvPicPr>
                  </pic:nvPicPr>
                  <pic:blipFill>
                    <a:blip r:embed="rId34"/>
                    <a:stretch>
                      <a:fillRect/>
                    </a:stretch>
                  </pic:blipFill>
                  <pic:spPr>
                    <a:xfrm>
                      <a:off x="0" y="0"/>
                      <a:ext cx="2828925" cy="2705100"/>
                    </a:xfrm>
                    <a:prstGeom prst="rect">
                      <a:avLst/>
                    </a:prstGeom>
                  </pic:spPr>
                </pic:pic>
              </a:graphicData>
            </a:graphic>
          </wp:inline>
        </w:drawing>
      </w:r>
      <w:r>
        <w:rPr>
          <w:rFonts w:ascii="Calibri" w:hAnsi="Calibri" w:eastAsia="Times New Roman" w:cs="Times New Roman"/>
          <w14:ligatures w14:val="none"/>
        </w:rPr>
        <w:drawing>
          <wp:inline distT="0" distB="0" distL="0" distR="0">
            <wp:extent cx="2926080" cy="2603500"/>
            <wp:effectExtent l="0" t="0" r="762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926080" cy="2603500"/>
                    </a:xfrm>
                    <a:prstGeom prst="rect">
                      <a:avLst/>
                    </a:prstGeom>
                    <a:noFill/>
                  </pic:spPr>
                </pic:pic>
              </a:graphicData>
            </a:graphic>
          </wp:inline>
        </w:drawing>
      </w:r>
      <w:r>
        <w:rPr>
          <w:rFonts w:ascii="Times New Roman" w:hAnsi="Times New Roman" w:eastAsia="Times New Roman" w:cs="Times New Roman"/>
          <w:b/>
          <w:bCs/>
          <w:sz w:val="24"/>
          <w:szCs w:val="24"/>
          <w14:ligatures w14:val="none"/>
        </w:rPr>
        <w:t>Field Work on Plants Species Diversity Data Collection</w:t>
      </w:r>
      <w:r>
        <w:rPr>
          <w:rFonts w:ascii="Times New Roman" w:hAnsi="Times New Roman" w:eastAsia="Times New Roman" w:cs="Times New Roman"/>
          <w:b/>
          <w:bCs/>
          <w:sz w:val="24"/>
          <w:szCs w:val="24"/>
          <w14:ligatures w14:val="none"/>
        </w:rPr>
        <w:cr/>
      </w:r>
    </w:p>
    <w:p w14:paraId="3B9E331A">
      <w:pPr>
        <w:spacing w:beforeAutospacing="1" w:after="0" w:line="240" w:lineRule="auto"/>
        <w:rPr>
          <w:rFonts w:ascii="Calibri" w:hAnsi="Calibri" w:eastAsia="Times New Roman" w:cs="Times New Roman"/>
          <w14:ligatures w14:val="none"/>
        </w:rPr>
      </w:pPr>
      <w:r>
        <w:rPr>
          <w:rFonts w:ascii="Calibri" w:hAnsi="Calibri" w:eastAsia="Times New Roman" w:cs="Times New Roman"/>
          <w14:ligatures w14:val="none"/>
        </w:rPr>
        <w:t>Appendix 4</w:t>
      </w:r>
    </w:p>
    <w:p w14:paraId="3F1B387F">
      <w:pPr>
        <w:keepNext/>
        <w:keepLines/>
        <w:widowControl w:val="0"/>
        <w:spacing w:before="240" w:after="0" w:line="256" w:lineRule="auto"/>
        <w:outlineLvl w:val="0"/>
        <w:rPr>
          <w:rFonts w:ascii="Times New Roman" w:hAnsi="Times New Roman" w:eastAsia="Times New Roman" w:cs="Times New Roman"/>
          <w:b/>
          <w:color w:val="000000"/>
          <w:sz w:val="32"/>
          <w:szCs w:val="32"/>
          <w14:ligatures w14:val="none"/>
        </w:rPr>
      </w:pPr>
      <w:bookmarkStart w:id="98" w:name="_Toc215220543"/>
      <w:bookmarkEnd w:id="98"/>
      <w:r>
        <w:rPr>
          <w:rFonts w:ascii="Calibri" w:hAnsi="Calibri" w:eastAsia="Times New Roman" w:cs="Times New Roman"/>
          <w14:ligatures w14:val="none"/>
        </w:rPr>
        <w:object>
          <v:shape id="_x0000_i1026" o:spt="75" type="#_x0000_t75" style="height:49.5pt;width:77.25pt;" o:ole="t" filled="f" o:preferrelative="t" stroked="f" coordsize="21600,21600">
            <v:path/>
            <v:fill on="f" focussize="0,0"/>
            <v:stroke on="f" joinstyle="miter"/>
            <v:imagedata r:id="rId37" o:title=""/>
            <o:lock v:ext="edit" aspectratio="t"/>
            <w10:wrap type="none"/>
            <w10:anchorlock/>
          </v:shape>
          <o:OLEObject Type="Embed" ProgID="Excel.Sheet.12" ShapeID="_x0000_i1026" DrawAspect="Icon" ObjectID="_1468075726" r:id="rId36">
            <o:LockedField>false</o:LockedField>
          </o:OLEObject>
        </w:object>
      </w:r>
    </w:p>
    <w:p w14:paraId="125347FE">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Appendix 5</w:t>
      </w:r>
    </w:p>
    <w:p w14:paraId="1FFD854F">
      <w:pPr>
        <w:keepNext/>
        <w:keepLines/>
        <w:widowControl w:val="0"/>
        <w:spacing w:before="240" w:after="0" w:line="256" w:lineRule="auto"/>
        <w:outlineLvl w:val="0"/>
        <w:rPr>
          <w:rFonts w:ascii="Times New Roman" w:hAnsi="Times New Roman" w:eastAsia="Times New Roman" w:cs="Times New Roman"/>
          <w:b/>
          <w:color w:val="000000"/>
          <w:sz w:val="32"/>
          <w:szCs w:val="32"/>
          <w14:ligatures w14:val="none"/>
        </w:rPr>
      </w:pPr>
      <w:bookmarkStart w:id="99" w:name="_Toc215220544"/>
      <w:bookmarkEnd w:id="99"/>
      <w:r>
        <w:rPr>
          <w:rFonts w:ascii="Calibri" w:hAnsi="Calibri" w:eastAsia="Times New Roman" w:cs="Times New Roman"/>
          <w14:ligatures w14:val="none"/>
        </w:rPr>
        <w:object>
          <v:shape id="_x0000_i1027" o:spt="75" type="#_x0000_t75" style="height:49.5pt;width:77.25pt;" o:ole="t" filled="f" o:preferrelative="t" stroked="f" coordsize="21600,21600">
            <v:path/>
            <v:fill on="f" focussize="0,0"/>
            <v:stroke on="f" joinstyle="miter"/>
            <v:imagedata r:id="rId39" o:title=""/>
            <o:lock v:ext="edit" aspectratio="t"/>
            <w10:wrap type="none"/>
            <w10:anchorlock/>
          </v:shape>
          <o:OLEObject Type="Embed" ProgID="Excel.Sheet.12" ShapeID="_x0000_i1027" DrawAspect="Icon" ObjectID="_1468075727" r:id="rId38">
            <o:LockedField>false</o:LockedField>
          </o:OLEObject>
        </w:object>
      </w:r>
    </w:p>
    <w:p w14:paraId="5BEFFDB7">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Appendix 6</w:t>
      </w:r>
    </w:p>
    <w:p w14:paraId="20E54367">
      <w:pPr>
        <w:keepNext/>
        <w:keepLines/>
        <w:widowControl w:val="0"/>
        <w:spacing w:before="240" w:after="0" w:line="256" w:lineRule="auto"/>
        <w:outlineLvl w:val="0"/>
        <w:rPr>
          <w:rFonts w:ascii="Times New Roman" w:hAnsi="Times New Roman" w:eastAsia="Times New Roman" w:cs="Times New Roman"/>
          <w:b/>
          <w:color w:val="000000"/>
          <w:sz w:val="32"/>
          <w:szCs w:val="32"/>
          <w14:ligatures w14:val="none"/>
        </w:rPr>
      </w:pPr>
      <w:bookmarkStart w:id="100" w:name="_Toc215220545"/>
      <w:bookmarkEnd w:id="100"/>
      <w:r>
        <w:rPr>
          <w:rFonts w:ascii="Calibri" w:hAnsi="Calibri" w:eastAsia="Times New Roman" w:cs="Times New Roman"/>
          <w14:ligatures w14:val="none"/>
        </w:rPr>
        <w:object>
          <v:shape id="_x0000_i1028" o:spt="75" type="#_x0000_t75" style="height:49.5pt;width:77.25pt;" o:ole="t" filled="f" o:preferrelative="t" stroked="f" coordsize="21600,21600">
            <v:path/>
            <v:fill on="f" focussize="0,0"/>
            <v:stroke on="f" joinstyle="miter"/>
            <v:imagedata r:id="rId41" o:title=""/>
            <o:lock v:ext="edit" aspectratio="t"/>
            <w10:wrap type="none"/>
            <w10:anchorlock/>
          </v:shape>
          <o:OLEObject Type="Embed" ProgID="Package" ShapeID="_x0000_i1028" DrawAspect="Icon" ObjectID="_1468075728" r:id="rId40">
            <o:LockedField>false</o:LockedField>
          </o:OLEObject>
        </w:object>
      </w:r>
    </w:p>
    <w:p w14:paraId="16578BCE">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Appendix 7</w:t>
      </w:r>
    </w:p>
    <w:p w14:paraId="379B18F5">
      <w:pPr>
        <w:keepNext/>
        <w:keepLines/>
        <w:widowControl w:val="0"/>
        <w:spacing w:before="240" w:after="0" w:line="256" w:lineRule="auto"/>
        <w:outlineLvl w:val="0"/>
        <w:rPr>
          <w:rFonts w:ascii="Times New Roman" w:hAnsi="Times New Roman" w:eastAsia="Times New Roman" w:cs="Times New Roman"/>
          <w:b/>
          <w:color w:val="000000"/>
          <w:sz w:val="32"/>
          <w:szCs w:val="32"/>
          <w14:ligatures w14:val="none"/>
        </w:rPr>
      </w:pPr>
      <w:bookmarkStart w:id="101" w:name="_Toc215220546"/>
      <w:bookmarkEnd w:id="101"/>
      <w:r>
        <w:rPr>
          <w:rFonts w:ascii="Calibri" w:hAnsi="Calibri" w:eastAsia="Times New Roman" w:cs="Times New Roman"/>
          <w14:ligatures w14:val="none"/>
        </w:rPr>
        <w:object>
          <v:shape id="_x0000_i1029" o:spt="75" type="#_x0000_t75" style="height:49.5pt;width:77.25pt;" o:ole="t" filled="f" o:preferrelative="t" stroked="f" coordsize="21600,21600">
            <v:path/>
            <v:fill on="f" focussize="0,0"/>
            <v:stroke on="f" joinstyle="miter"/>
            <v:imagedata r:id="rId43" o:title=""/>
            <o:lock v:ext="edit" aspectratio="t"/>
            <w10:wrap type="none"/>
            <w10:anchorlock/>
          </v:shape>
          <o:OLEObject Type="Embed" ProgID="Package" ShapeID="_x0000_i1029" DrawAspect="Icon" ObjectID="_1468075729" r:id="rId42">
            <o:LockedField>false</o:LockedField>
          </o:OLEObject>
        </w:object>
      </w:r>
    </w:p>
    <w:p w14:paraId="54192E8B">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Appendix 8</w:t>
      </w:r>
    </w:p>
    <w:p w14:paraId="651B6588">
      <w:pPr>
        <w:keepNext/>
        <w:keepLines/>
        <w:widowControl w:val="0"/>
        <w:spacing w:before="240" w:after="0" w:line="256" w:lineRule="auto"/>
        <w:outlineLvl w:val="0"/>
        <w:rPr>
          <w:rFonts w:ascii="Times New Roman" w:hAnsi="Times New Roman" w:eastAsia="Times New Roman" w:cs="Times New Roman"/>
          <w:b/>
          <w:color w:val="000000"/>
          <w:sz w:val="32"/>
          <w:szCs w:val="32"/>
          <w14:ligatures w14:val="none"/>
        </w:rPr>
      </w:pPr>
      <w:bookmarkStart w:id="102" w:name="_Toc215220547"/>
      <w:bookmarkEnd w:id="102"/>
      <w:r>
        <w:rPr>
          <w:rFonts w:ascii="Calibri" w:hAnsi="Calibri" w:eastAsia="Times New Roman" w:cs="Times New Roman"/>
          <w14:ligatures w14:val="none"/>
        </w:rPr>
        <w:object>
          <v:shape id="_x0000_i1030" o:spt="75" type="#_x0000_t75" style="height:49.5pt;width:77.25pt;" o:ole="t" filled="f" o:preferrelative="t" stroked="f" coordsize="21600,21600">
            <v:path/>
            <v:fill on="f" focussize="0,0"/>
            <v:stroke on="f" joinstyle="miter"/>
            <v:imagedata r:id="rId45" o:title=""/>
            <o:lock v:ext="edit" aspectratio="t"/>
            <w10:wrap type="none"/>
            <w10:anchorlock/>
          </v:shape>
          <o:OLEObject Type="Embed" ProgID="Package" ShapeID="_x0000_i1030" DrawAspect="Icon" ObjectID="_1468075730" r:id="rId44">
            <o:LockedField>false</o:LockedField>
          </o:OLEObject>
        </w:object>
      </w:r>
    </w:p>
    <w:p w14:paraId="671306D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Appendix 9</w:t>
      </w:r>
    </w:p>
    <w:p w14:paraId="5FFA70A5">
      <w:pPr>
        <w:keepNext/>
        <w:keepLines/>
        <w:widowControl w:val="0"/>
        <w:spacing w:before="240" w:after="0" w:line="256" w:lineRule="auto"/>
        <w:outlineLvl w:val="0"/>
        <w:rPr>
          <w:rFonts w:ascii="Calibri" w:hAnsi="Calibri" w:eastAsia="Times New Roman" w:cs="Times New Roman"/>
          <w14:ligatures w14:val="none"/>
        </w:rPr>
      </w:pPr>
      <w:bookmarkStart w:id="103" w:name="_Toc215220548"/>
      <w:bookmarkEnd w:id="103"/>
      <w:r>
        <w:rPr>
          <w:rFonts w:ascii="Calibri" w:hAnsi="Calibri" w:eastAsia="Times New Roman" w:cs="Times New Roman"/>
          <w14:ligatures w14:val="none"/>
        </w:rPr>
        <w:object>
          <v:shape id="_x0000_i1031" o:spt="75" type="#_x0000_t75" style="height:49.5pt;width:77.25pt;" o:ole="t" filled="f" o:preferrelative="t" stroked="f" coordsize="21600,21600">
            <v:path/>
            <v:fill on="f" focussize="0,0"/>
            <v:stroke on="f" joinstyle="miter"/>
            <v:imagedata r:id="rId47" o:title=""/>
            <o:lock v:ext="edit" aspectratio="t"/>
            <w10:wrap type="none"/>
            <w10:anchorlock/>
          </v:shape>
          <o:OLEObject Type="Embed" ProgID="Word.Document.12" ShapeID="_x0000_i1031" DrawAspect="Icon" ObjectID="_1468075731" r:id="rId46">
            <o:LockedField>false</o:LockedField>
          </o:OLEObject>
        </w:object>
      </w:r>
    </w:p>
    <w:p w14:paraId="25C06487">
      <w:pPr>
        <w:spacing w:before="100" w:beforeAutospacing="1" w:line="256" w:lineRule="auto"/>
        <w:rPr>
          <w:rFonts w:ascii="Calibri" w:hAnsi="Calibri" w:eastAsia="Times New Roman" w:cs="Times New Roman"/>
          <w14:ligatures w14:val="none"/>
        </w:rPr>
      </w:pPr>
      <w:bookmarkStart w:id="104" w:name="_Hlk215117361"/>
    </w:p>
    <w:p w14:paraId="60DD48D0">
      <w:pPr>
        <w:spacing w:before="100" w:beforeAutospacing="1" w:line="256" w:lineRule="auto"/>
        <w:rPr>
          <w:rFonts w:ascii="Calibri" w:hAnsi="Calibri" w:eastAsia="Times New Roman" w:cs="Times New Roman"/>
          <w14:ligatures w14:val="none"/>
        </w:rPr>
      </w:pPr>
    </w:p>
    <w:p w14:paraId="243F2F20">
      <w:pPr>
        <w:spacing w:before="100" w:beforeAutospacing="1" w:line="256" w:lineRule="auto"/>
        <w:rPr>
          <w:rFonts w:ascii="Calibri" w:hAnsi="Calibri" w:eastAsia="Times New Roman" w:cs="Times New Roman"/>
          <w14:ligatures w14:val="none"/>
        </w:rPr>
      </w:pPr>
    </w:p>
    <w:p w14:paraId="26FFB71E">
      <w:pPr>
        <w:spacing w:before="100" w:beforeAutospacing="1" w:line="256" w:lineRule="auto"/>
        <w:rPr>
          <w:rFonts w:ascii="Calibri" w:hAnsi="Calibri" w:eastAsia="Times New Roman" w:cs="Times New Roman"/>
          <w14:ligatures w14:val="none"/>
        </w:rPr>
      </w:pPr>
    </w:p>
    <w:p w14:paraId="3B20C13B">
      <w:pPr>
        <w:spacing w:before="100" w:beforeAutospacing="1" w:line="256" w:lineRule="auto"/>
        <w:rPr>
          <w:rFonts w:ascii="Calibri" w:hAnsi="Calibri" w:eastAsia="Times New Roman" w:cs="Times New Roman"/>
          <w14:ligatures w14:val="none"/>
        </w:rPr>
      </w:pPr>
    </w:p>
    <w:p w14:paraId="72A1CB46">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Appendix 10</w:t>
      </w:r>
    </w:p>
    <w:bookmarkEnd w:id="104"/>
    <w:tbl>
      <w:tblPr>
        <w:tblStyle w:val="7"/>
        <w:tblW w:w="9160" w:type="dxa"/>
        <w:tblInd w:w="414" w:type="dxa"/>
        <w:tblLayout w:type="fixed"/>
        <w:tblCellMar>
          <w:top w:w="0" w:type="dxa"/>
          <w:left w:w="0" w:type="dxa"/>
          <w:bottom w:w="0" w:type="dxa"/>
          <w:right w:w="0" w:type="dxa"/>
        </w:tblCellMar>
      </w:tblPr>
      <w:tblGrid>
        <w:gridCol w:w="656"/>
        <w:gridCol w:w="671"/>
        <w:gridCol w:w="486"/>
        <w:gridCol w:w="480"/>
        <w:gridCol w:w="484"/>
        <w:gridCol w:w="492"/>
        <w:gridCol w:w="510"/>
        <w:gridCol w:w="500"/>
        <w:gridCol w:w="476"/>
        <w:gridCol w:w="476"/>
        <w:gridCol w:w="492"/>
        <w:gridCol w:w="503"/>
        <w:gridCol w:w="510"/>
        <w:gridCol w:w="495"/>
        <w:gridCol w:w="482"/>
        <w:gridCol w:w="495"/>
        <w:gridCol w:w="476"/>
        <w:gridCol w:w="476"/>
      </w:tblGrid>
      <w:tr w14:paraId="44482A99">
        <w:tblPrEx>
          <w:tblCellMar>
            <w:top w:w="0" w:type="dxa"/>
            <w:left w:w="0" w:type="dxa"/>
            <w:bottom w:w="0" w:type="dxa"/>
            <w:right w:w="0" w:type="dxa"/>
          </w:tblCellMar>
        </w:tblPrEx>
        <w:trPr>
          <w:trHeight w:val="478" w:hRule="atLeast"/>
        </w:trPr>
        <w:tc>
          <w:tcPr>
            <w:tcW w:w="9160" w:type="dxa"/>
            <w:gridSpan w:val="18"/>
            <w:tcBorders>
              <w:top w:val="nil"/>
              <w:left w:val="nil"/>
              <w:bottom w:val="nil"/>
              <w:right w:val="nil"/>
            </w:tcBorders>
          </w:tcPr>
          <w:p w14:paraId="44002A46">
            <w:pPr>
              <w:widowControl w:val="0"/>
              <w:spacing w:before="100" w:beforeAutospacing="1" w:after="0" w:line="256" w:lineRule="auto"/>
              <w:ind w:left="2" w:right="1"/>
              <w:jc w:val="center"/>
              <w:rPr>
                <w:rFonts w:ascii="Calibri" w:hAnsi="Calibri" w:eastAsia="Times New Roman" w:cs="Calibri"/>
                <w:color w:val="000000"/>
                <w:kern w:val="0"/>
                <w:sz w:val="16"/>
                <w:szCs w:val="16"/>
                <w14:ligatures w14:val="none"/>
              </w:rPr>
            </w:pPr>
            <w:r>
              <w:rPr>
                <w:rFonts w:ascii="Calibri" w:hAnsi="Calibri" w:eastAsia="Times New Roman" w:cs="Calibri"/>
                <w:color w:val="000000"/>
                <w:sz w:val="16"/>
                <w:szCs w:val="16"/>
                <w14:ligatures w14:val="none"/>
              </w:rPr>
              <w:t>NATIONAL POPULATION COMMISSION</w:t>
            </w:r>
          </w:p>
          <w:p w14:paraId="5562A45B">
            <w:pPr>
              <w:widowControl w:val="0"/>
              <w:spacing w:before="13" w:after="0" w:line="256" w:lineRule="auto"/>
              <w:ind w:left="2"/>
              <w:jc w:val="center"/>
              <w:rPr>
                <w:rFonts w:ascii="Calibri" w:hAnsi="Calibri" w:eastAsia="Times New Roman" w:cs="Calibri"/>
                <w:color w:val="000000"/>
                <w:sz w:val="16"/>
                <w:szCs w:val="16"/>
                <w14:ligatures w14:val="none"/>
              </w:rPr>
            </w:pPr>
            <w:r>
              <w:rPr>
                <w:rFonts w:ascii="Calibri" w:hAnsi="Calibri" w:eastAsia="Times New Roman" w:cs="Calibri"/>
                <w:color w:val="000000"/>
                <w:sz w:val="16"/>
                <w:szCs w:val="16"/>
                <w14:ligatures w14:val="none"/>
              </w:rPr>
              <w:t>ABUJA, NIGERIA</w:t>
            </w:r>
          </w:p>
        </w:tc>
      </w:tr>
      <w:tr w14:paraId="00D57FF6">
        <w:tblPrEx>
          <w:tblCellMar>
            <w:top w:w="0" w:type="dxa"/>
            <w:left w:w="0" w:type="dxa"/>
            <w:bottom w:w="0" w:type="dxa"/>
            <w:right w:w="0" w:type="dxa"/>
          </w:tblCellMar>
        </w:tblPrEx>
        <w:trPr>
          <w:trHeight w:val="269" w:hRule="atLeast"/>
        </w:trPr>
        <w:tc>
          <w:tcPr>
            <w:tcW w:w="9160" w:type="dxa"/>
            <w:gridSpan w:val="18"/>
            <w:tcBorders>
              <w:top w:val="nil"/>
              <w:left w:val="nil"/>
              <w:bottom w:val="nil"/>
              <w:right w:val="nil"/>
            </w:tcBorders>
          </w:tcPr>
          <w:p w14:paraId="1F970CDF">
            <w:pPr>
              <w:widowControl w:val="0"/>
              <w:spacing w:before="34" w:after="0" w:line="256" w:lineRule="auto"/>
              <w:ind w:left="2" w:right="1"/>
              <w:jc w:val="center"/>
              <w:rPr>
                <w:rFonts w:ascii="Calibri" w:hAnsi="Calibri" w:eastAsia="Times New Roman" w:cs="Calibri"/>
                <w:color w:val="000000"/>
                <w:sz w:val="11"/>
                <w:szCs w:val="11"/>
                <w14:ligatures w14:val="none"/>
              </w:rPr>
            </w:pPr>
            <w:r>
              <w:rPr>
                <w:rFonts w:ascii="Calibri" w:hAnsi="Calibri" w:eastAsia="Times New Roman" w:cs="Calibri"/>
                <w:color w:val="000000"/>
                <w:sz w:val="11"/>
                <w:szCs w:val="11"/>
                <w14:ligatures w14:val="none"/>
              </w:rPr>
              <w:t>NATIONAL FIGURE FROM 2006 TO 2022</w:t>
            </w:r>
          </w:p>
        </w:tc>
      </w:tr>
      <w:tr w14:paraId="2AF02469">
        <w:tblPrEx>
          <w:tblCellMar>
            <w:top w:w="0" w:type="dxa"/>
            <w:left w:w="0" w:type="dxa"/>
            <w:bottom w:w="0" w:type="dxa"/>
            <w:right w:w="0" w:type="dxa"/>
          </w:tblCellMar>
        </w:tblPrEx>
        <w:trPr>
          <w:trHeight w:val="237" w:hRule="atLeast"/>
        </w:trPr>
        <w:tc>
          <w:tcPr>
            <w:tcW w:w="656" w:type="dxa"/>
            <w:tcBorders>
              <w:top w:val="nil"/>
              <w:left w:val="nil"/>
              <w:bottom w:val="nil"/>
              <w:right w:val="nil"/>
            </w:tcBorders>
          </w:tcPr>
          <w:p w14:paraId="199AB5A5">
            <w:pPr>
              <w:widowControl w:val="0"/>
              <w:spacing w:before="87"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STATE</w:t>
            </w:r>
          </w:p>
        </w:tc>
        <w:tc>
          <w:tcPr>
            <w:tcW w:w="671" w:type="dxa"/>
            <w:tcBorders>
              <w:top w:val="nil"/>
              <w:left w:val="nil"/>
              <w:bottom w:val="nil"/>
              <w:right w:val="nil"/>
            </w:tcBorders>
          </w:tcPr>
          <w:p w14:paraId="5F373409">
            <w:pPr>
              <w:widowControl w:val="0"/>
              <w:spacing w:before="54" w:after="0" w:line="256" w:lineRule="auto"/>
              <w:ind w:left="208"/>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2006</w:t>
            </w:r>
          </w:p>
        </w:tc>
        <w:tc>
          <w:tcPr>
            <w:tcW w:w="486" w:type="dxa"/>
            <w:tcBorders>
              <w:top w:val="nil"/>
              <w:left w:val="nil"/>
              <w:bottom w:val="nil"/>
              <w:right w:val="nil"/>
            </w:tcBorders>
          </w:tcPr>
          <w:p w14:paraId="63D43258">
            <w:pPr>
              <w:widowControl w:val="0"/>
              <w:spacing w:before="87" w:after="0" w:line="256" w:lineRule="auto"/>
              <w:ind w:right="3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2007</w:t>
            </w:r>
          </w:p>
        </w:tc>
        <w:tc>
          <w:tcPr>
            <w:tcW w:w="480" w:type="dxa"/>
            <w:tcBorders>
              <w:top w:val="nil"/>
              <w:left w:val="nil"/>
              <w:bottom w:val="nil"/>
              <w:right w:val="nil"/>
            </w:tcBorders>
          </w:tcPr>
          <w:p w14:paraId="5E9C3FDF">
            <w:pPr>
              <w:widowControl w:val="0"/>
              <w:spacing w:before="87" w:after="0" w:line="256" w:lineRule="auto"/>
              <w:ind w:right="30"/>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2008</w:t>
            </w:r>
          </w:p>
        </w:tc>
        <w:tc>
          <w:tcPr>
            <w:tcW w:w="484" w:type="dxa"/>
            <w:tcBorders>
              <w:top w:val="nil"/>
              <w:left w:val="nil"/>
              <w:bottom w:val="nil"/>
              <w:right w:val="nil"/>
            </w:tcBorders>
          </w:tcPr>
          <w:p w14:paraId="2B4B290D">
            <w:pPr>
              <w:widowControl w:val="0"/>
              <w:spacing w:before="87"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2009</w:t>
            </w:r>
          </w:p>
        </w:tc>
        <w:tc>
          <w:tcPr>
            <w:tcW w:w="492" w:type="dxa"/>
            <w:tcBorders>
              <w:top w:val="nil"/>
              <w:left w:val="nil"/>
              <w:bottom w:val="nil"/>
              <w:right w:val="nil"/>
            </w:tcBorders>
          </w:tcPr>
          <w:p w14:paraId="7D72A5CB">
            <w:pPr>
              <w:widowControl w:val="0"/>
              <w:spacing w:before="87" w:after="0" w:line="256" w:lineRule="auto"/>
              <w:ind w:right="3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2010</w:t>
            </w:r>
          </w:p>
        </w:tc>
        <w:tc>
          <w:tcPr>
            <w:tcW w:w="510" w:type="dxa"/>
            <w:tcBorders>
              <w:top w:val="nil"/>
              <w:left w:val="nil"/>
              <w:bottom w:val="nil"/>
              <w:right w:val="nil"/>
            </w:tcBorders>
          </w:tcPr>
          <w:p w14:paraId="324F674A">
            <w:pPr>
              <w:widowControl w:val="0"/>
              <w:spacing w:before="87"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2011</w:t>
            </w:r>
          </w:p>
        </w:tc>
        <w:tc>
          <w:tcPr>
            <w:tcW w:w="500" w:type="dxa"/>
            <w:tcBorders>
              <w:top w:val="nil"/>
              <w:left w:val="nil"/>
              <w:bottom w:val="nil"/>
              <w:right w:val="nil"/>
            </w:tcBorders>
          </w:tcPr>
          <w:p w14:paraId="2B3A562E">
            <w:pPr>
              <w:widowControl w:val="0"/>
              <w:spacing w:before="87"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2012</w:t>
            </w:r>
          </w:p>
        </w:tc>
        <w:tc>
          <w:tcPr>
            <w:tcW w:w="476" w:type="dxa"/>
            <w:tcBorders>
              <w:top w:val="nil"/>
              <w:left w:val="nil"/>
              <w:bottom w:val="nil"/>
              <w:right w:val="nil"/>
            </w:tcBorders>
          </w:tcPr>
          <w:p w14:paraId="7808E372">
            <w:pPr>
              <w:widowControl w:val="0"/>
              <w:spacing w:before="87"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2013</w:t>
            </w:r>
          </w:p>
        </w:tc>
        <w:tc>
          <w:tcPr>
            <w:tcW w:w="476" w:type="dxa"/>
            <w:tcBorders>
              <w:top w:val="nil"/>
              <w:left w:val="nil"/>
              <w:bottom w:val="nil"/>
              <w:right w:val="nil"/>
            </w:tcBorders>
          </w:tcPr>
          <w:p w14:paraId="080A8A39">
            <w:pPr>
              <w:widowControl w:val="0"/>
              <w:spacing w:before="87"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2014</w:t>
            </w:r>
          </w:p>
        </w:tc>
        <w:tc>
          <w:tcPr>
            <w:tcW w:w="492" w:type="dxa"/>
            <w:tcBorders>
              <w:top w:val="nil"/>
              <w:left w:val="nil"/>
              <w:bottom w:val="nil"/>
              <w:right w:val="nil"/>
            </w:tcBorders>
          </w:tcPr>
          <w:p w14:paraId="17655F49">
            <w:pPr>
              <w:widowControl w:val="0"/>
              <w:spacing w:before="87"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2015</w:t>
            </w:r>
          </w:p>
        </w:tc>
        <w:tc>
          <w:tcPr>
            <w:tcW w:w="503" w:type="dxa"/>
            <w:tcBorders>
              <w:top w:val="nil"/>
              <w:left w:val="nil"/>
              <w:bottom w:val="nil"/>
              <w:right w:val="nil"/>
            </w:tcBorders>
          </w:tcPr>
          <w:p w14:paraId="27053E4D">
            <w:pPr>
              <w:widowControl w:val="0"/>
              <w:spacing w:before="87"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2016</w:t>
            </w:r>
          </w:p>
        </w:tc>
        <w:tc>
          <w:tcPr>
            <w:tcW w:w="510" w:type="dxa"/>
            <w:tcBorders>
              <w:top w:val="nil"/>
              <w:left w:val="nil"/>
              <w:bottom w:val="nil"/>
              <w:right w:val="nil"/>
            </w:tcBorders>
          </w:tcPr>
          <w:p w14:paraId="0F33CE17">
            <w:pPr>
              <w:widowControl w:val="0"/>
              <w:spacing w:before="87"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2017</w:t>
            </w:r>
          </w:p>
        </w:tc>
        <w:tc>
          <w:tcPr>
            <w:tcW w:w="495" w:type="dxa"/>
            <w:tcBorders>
              <w:top w:val="nil"/>
              <w:left w:val="nil"/>
              <w:bottom w:val="nil"/>
              <w:right w:val="nil"/>
            </w:tcBorders>
          </w:tcPr>
          <w:p w14:paraId="51761216">
            <w:pPr>
              <w:widowControl w:val="0"/>
              <w:spacing w:before="87"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2018</w:t>
            </w:r>
          </w:p>
        </w:tc>
        <w:tc>
          <w:tcPr>
            <w:tcW w:w="482" w:type="dxa"/>
            <w:tcBorders>
              <w:top w:val="nil"/>
              <w:left w:val="nil"/>
              <w:bottom w:val="nil"/>
              <w:right w:val="nil"/>
            </w:tcBorders>
          </w:tcPr>
          <w:p w14:paraId="39A0A5A4">
            <w:pPr>
              <w:widowControl w:val="0"/>
              <w:spacing w:before="87" w:after="0" w:line="256" w:lineRule="auto"/>
              <w:ind w:right="45"/>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2019</w:t>
            </w:r>
          </w:p>
        </w:tc>
        <w:tc>
          <w:tcPr>
            <w:tcW w:w="495" w:type="dxa"/>
            <w:tcBorders>
              <w:top w:val="nil"/>
              <w:left w:val="nil"/>
              <w:bottom w:val="nil"/>
              <w:right w:val="nil"/>
            </w:tcBorders>
          </w:tcPr>
          <w:p w14:paraId="62FF61A3">
            <w:pPr>
              <w:widowControl w:val="0"/>
              <w:spacing w:before="87"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2020</w:t>
            </w:r>
          </w:p>
        </w:tc>
        <w:tc>
          <w:tcPr>
            <w:tcW w:w="476" w:type="dxa"/>
            <w:tcBorders>
              <w:top w:val="nil"/>
              <w:left w:val="nil"/>
              <w:bottom w:val="nil"/>
              <w:right w:val="nil"/>
            </w:tcBorders>
          </w:tcPr>
          <w:p w14:paraId="7A519AFB">
            <w:pPr>
              <w:widowControl w:val="0"/>
              <w:spacing w:before="87"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2021</w:t>
            </w:r>
          </w:p>
        </w:tc>
        <w:tc>
          <w:tcPr>
            <w:tcW w:w="476" w:type="dxa"/>
            <w:tcBorders>
              <w:top w:val="nil"/>
              <w:left w:val="nil"/>
              <w:bottom w:val="nil"/>
              <w:right w:val="nil"/>
            </w:tcBorders>
          </w:tcPr>
          <w:p w14:paraId="27B37730">
            <w:pPr>
              <w:widowControl w:val="0"/>
              <w:spacing w:before="87"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2022</w:t>
            </w:r>
          </w:p>
        </w:tc>
      </w:tr>
      <w:tr w14:paraId="63E3E3D9">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59B19DEB">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ABIA</w:t>
            </w:r>
          </w:p>
        </w:tc>
        <w:tc>
          <w:tcPr>
            <w:tcW w:w="671" w:type="dxa"/>
            <w:tcBorders>
              <w:top w:val="nil"/>
              <w:left w:val="nil"/>
              <w:bottom w:val="nil"/>
              <w:right w:val="nil"/>
            </w:tcBorders>
          </w:tcPr>
          <w:p w14:paraId="0E042F0B">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2,845,380</w:t>
            </w:r>
          </w:p>
        </w:tc>
        <w:tc>
          <w:tcPr>
            <w:tcW w:w="486" w:type="dxa"/>
            <w:tcBorders>
              <w:top w:val="nil"/>
              <w:left w:val="nil"/>
              <w:bottom w:val="nil"/>
              <w:right w:val="nil"/>
            </w:tcBorders>
          </w:tcPr>
          <w:p w14:paraId="518D7756">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2,905,287</w:t>
            </w:r>
          </w:p>
        </w:tc>
        <w:tc>
          <w:tcPr>
            <w:tcW w:w="480" w:type="dxa"/>
            <w:tcBorders>
              <w:top w:val="nil"/>
              <w:left w:val="nil"/>
              <w:bottom w:val="nil"/>
              <w:right w:val="nil"/>
            </w:tcBorders>
          </w:tcPr>
          <w:p w14:paraId="3B27FCE1">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2,967,671</w:t>
            </w:r>
          </w:p>
        </w:tc>
        <w:tc>
          <w:tcPr>
            <w:tcW w:w="484" w:type="dxa"/>
            <w:tcBorders>
              <w:top w:val="nil"/>
              <w:left w:val="nil"/>
              <w:bottom w:val="nil"/>
              <w:right w:val="nil"/>
            </w:tcBorders>
          </w:tcPr>
          <w:p w14:paraId="081D0707">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3,031,880</w:t>
            </w:r>
          </w:p>
        </w:tc>
        <w:tc>
          <w:tcPr>
            <w:tcW w:w="492" w:type="dxa"/>
            <w:tcBorders>
              <w:top w:val="nil"/>
              <w:left w:val="nil"/>
              <w:bottom w:val="nil"/>
              <w:right w:val="nil"/>
            </w:tcBorders>
          </w:tcPr>
          <w:p w14:paraId="5CA34F5D">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3,098,063</w:t>
            </w:r>
          </w:p>
        </w:tc>
        <w:tc>
          <w:tcPr>
            <w:tcW w:w="510" w:type="dxa"/>
            <w:tcBorders>
              <w:top w:val="nil"/>
              <w:left w:val="nil"/>
              <w:bottom w:val="nil"/>
              <w:right w:val="nil"/>
            </w:tcBorders>
          </w:tcPr>
          <w:p w14:paraId="002888FE">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3,166,037</w:t>
            </w:r>
          </w:p>
        </w:tc>
        <w:tc>
          <w:tcPr>
            <w:tcW w:w="500" w:type="dxa"/>
            <w:tcBorders>
              <w:top w:val="nil"/>
              <w:left w:val="nil"/>
              <w:bottom w:val="nil"/>
              <w:right w:val="nil"/>
            </w:tcBorders>
          </w:tcPr>
          <w:p w14:paraId="2E1C2276">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3,235,596</w:t>
            </w:r>
          </w:p>
        </w:tc>
        <w:tc>
          <w:tcPr>
            <w:tcW w:w="476" w:type="dxa"/>
            <w:tcBorders>
              <w:top w:val="nil"/>
              <w:left w:val="nil"/>
              <w:bottom w:val="nil"/>
              <w:right w:val="nil"/>
            </w:tcBorders>
          </w:tcPr>
          <w:p w14:paraId="0862C677">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3,306,579</w:t>
            </w:r>
          </w:p>
        </w:tc>
        <w:tc>
          <w:tcPr>
            <w:tcW w:w="476" w:type="dxa"/>
            <w:tcBorders>
              <w:top w:val="nil"/>
              <w:left w:val="nil"/>
              <w:bottom w:val="nil"/>
              <w:right w:val="nil"/>
            </w:tcBorders>
          </w:tcPr>
          <w:p w14:paraId="50646A91">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3,383,573</w:t>
            </w:r>
          </w:p>
        </w:tc>
        <w:tc>
          <w:tcPr>
            <w:tcW w:w="492" w:type="dxa"/>
            <w:tcBorders>
              <w:top w:val="nil"/>
              <w:left w:val="nil"/>
              <w:bottom w:val="nil"/>
              <w:right w:val="nil"/>
            </w:tcBorders>
          </w:tcPr>
          <w:p w14:paraId="37592461">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3,466,125</w:t>
            </w:r>
          </w:p>
        </w:tc>
        <w:tc>
          <w:tcPr>
            <w:tcW w:w="503" w:type="dxa"/>
            <w:tcBorders>
              <w:top w:val="nil"/>
              <w:left w:val="nil"/>
              <w:bottom w:val="nil"/>
              <w:right w:val="nil"/>
            </w:tcBorders>
          </w:tcPr>
          <w:p w14:paraId="71D55FB2">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3,553,752</w:t>
            </w:r>
          </w:p>
        </w:tc>
        <w:tc>
          <w:tcPr>
            <w:tcW w:w="510" w:type="dxa"/>
            <w:tcBorders>
              <w:top w:val="nil"/>
              <w:left w:val="nil"/>
              <w:bottom w:val="nil"/>
              <w:right w:val="nil"/>
            </w:tcBorders>
          </w:tcPr>
          <w:p w14:paraId="21C5344A">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3,646,214</w:t>
            </w:r>
          </w:p>
        </w:tc>
        <w:tc>
          <w:tcPr>
            <w:tcW w:w="495" w:type="dxa"/>
            <w:tcBorders>
              <w:top w:val="nil"/>
              <w:left w:val="nil"/>
              <w:bottom w:val="nil"/>
              <w:right w:val="nil"/>
            </w:tcBorders>
          </w:tcPr>
          <w:p w14:paraId="2573C1D8">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3,743,568</w:t>
            </w:r>
          </w:p>
        </w:tc>
        <w:tc>
          <w:tcPr>
            <w:tcW w:w="482" w:type="dxa"/>
            <w:tcBorders>
              <w:top w:val="nil"/>
              <w:left w:val="nil"/>
              <w:bottom w:val="nil"/>
              <w:right w:val="nil"/>
            </w:tcBorders>
          </w:tcPr>
          <w:p w14:paraId="64E02F78">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3,841,943</w:t>
            </w:r>
          </w:p>
        </w:tc>
        <w:tc>
          <w:tcPr>
            <w:tcW w:w="495" w:type="dxa"/>
            <w:tcBorders>
              <w:top w:val="nil"/>
              <w:left w:val="nil"/>
              <w:bottom w:val="nil"/>
              <w:right w:val="nil"/>
            </w:tcBorders>
          </w:tcPr>
          <w:p w14:paraId="0789EAAF">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3,941,279</w:t>
            </w:r>
          </w:p>
        </w:tc>
        <w:tc>
          <w:tcPr>
            <w:tcW w:w="476" w:type="dxa"/>
            <w:tcBorders>
              <w:top w:val="nil"/>
              <w:left w:val="nil"/>
              <w:bottom w:val="nil"/>
              <w:right w:val="nil"/>
            </w:tcBorders>
          </w:tcPr>
          <w:p w14:paraId="50FCF81E">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4,041,608</w:t>
            </w:r>
          </w:p>
        </w:tc>
        <w:tc>
          <w:tcPr>
            <w:tcW w:w="476" w:type="dxa"/>
            <w:tcBorders>
              <w:top w:val="nil"/>
              <w:left w:val="nil"/>
              <w:bottom w:val="nil"/>
              <w:right w:val="nil"/>
            </w:tcBorders>
          </w:tcPr>
          <w:p w14:paraId="13C767C0">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4,143,093</w:t>
            </w:r>
          </w:p>
        </w:tc>
      </w:tr>
      <w:tr w14:paraId="446E7C01">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38A8F764">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ADAMAWA</w:t>
            </w:r>
          </w:p>
        </w:tc>
        <w:tc>
          <w:tcPr>
            <w:tcW w:w="671" w:type="dxa"/>
            <w:tcBorders>
              <w:top w:val="nil"/>
              <w:left w:val="nil"/>
              <w:bottom w:val="nil"/>
              <w:right w:val="nil"/>
            </w:tcBorders>
          </w:tcPr>
          <w:p w14:paraId="45277EF6">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3,178,950</w:t>
            </w:r>
          </w:p>
        </w:tc>
        <w:tc>
          <w:tcPr>
            <w:tcW w:w="486" w:type="dxa"/>
            <w:tcBorders>
              <w:top w:val="nil"/>
              <w:left w:val="nil"/>
              <w:bottom w:val="nil"/>
              <w:right w:val="nil"/>
            </w:tcBorders>
          </w:tcPr>
          <w:p w14:paraId="173E6FB9">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3,272,473</w:t>
            </w:r>
          </w:p>
        </w:tc>
        <w:tc>
          <w:tcPr>
            <w:tcW w:w="480" w:type="dxa"/>
            <w:tcBorders>
              <w:top w:val="nil"/>
              <w:left w:val="nil"/>
              <w:bottom w:val="nil"/>
              <w:right w:val="nil"/>
            </w:tcBorders>
          </w:tcPr>
          <w:p w14:paraId="5150C334">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3,369,841</w:t>
            </w:r>
          </w:p>
        </w:tc>
        <w:tc>
          <w:tcPr>
            <w:tcW w:w="484" w:type="dxa"/>
            <w:tcBorders>
              <w:top w:val="nil"/>
              <w:left w:val="nil"/>
              <w:bottom w:val="nil"/>
              <w:right w:val="nil"/>
            </w:tcBorders>
          </w:tcPr>
          <w:p w14:paraId="225D882B">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3,468,075</w:t>
            </w:r>
          </w:p>
        </w:tc>
        <w:tc>
          <w:tcPr>
            <w:tcW w:w="492" w:type="dxa"/>
            <w:tcBorders>
              <w:top w:val="nil"/>
              <w:left w:val="nil"/>
              <w:bottom w:val="nil"/>
              <w:right w:val="nil"/>
            </w:tcBorders>
          </w:tcPr>
          <w:p w14:paraId="793DB122">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3,567,119</w:t>
            </w:r>
          </w:p>
        </w:tc>
        <w:tc>
          <w:tcPr>
            <w:tcW w:w="510" w:type="dxa"/>
            <w:tcBorders>
              <w:top w:val="nil"/>
              <w:left w:val="nil"/>
              <w:bottom w:val="nil"/>
              <w:right w:val="nil"/>
            </w:tcBorders>
          </w:tcPr>
          <w:p w14:paraId="4EC16B8C">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3,666,513</w:t>
            </w:r>
          </w:p>
        </w:tc>
        <w:tc>
          <w:tcPr>
            <w:tcW w:w="500" w:type="dxa"/>
            <w:tcBorders>
              <w:top w:val="nil"/>
              <w:left w:val="nil"/>
              <w:bottom w:val="nil"/>
              <w:right w:val="nil"/>
            </w:tcBorders>
          </w:tcPr>
          <w:p w14:paraId="6D47BFFC">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3,765,959</w:t>
            </w:r>
          </w:p>
        </w:tc>
        <w:tc>
          <w:tcPr>
            <w:tcW w:w="476" w:type="dxa"/>
            <w:tcBorders>
              <w:top w:val="nil"/>
              <w:left w:val="nil"/>
              <w:bottom w:val="nil"/>
              <w:right w:val="nil"/>
            </w:tcBorders>
          </w:tcPr>
          <w:p w14:paraId="749D167D">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3,865,082</w:t>
            </w:r>
          </w:p>
        </w:tc>
        <w:tc>
          <w:tcPr>
            <w:tcW w:w="476" w:type="dxa"/>
            <w:tcBorders>
              <w:top w:val="nil"/>
              <w:left w:val="nil"/>
              <w:bottom w:val="nil"/>
              <w:right w:val="nil"/>
            </w:tcBorders>
          </w:tcPr>
          <w:p w14:paraId="4974A1A3">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3,968,062</w:t>
            </w:r>
          </w:p>
        </w:tc>
        <w:tc>
          <w:tcPr>
            <w:tcW w:w="492" w:type="dxa"/>
            <w:tcBorders>
              <w:top w:val="nil"/>
              <w:left w:val="nil"/>
              <w:bottom w:val="nil"/>
              <w:right w:val="nil"/>
            </w:tcBorders>
          </w:tcPr>
          <w:p w14:paraId="1A69B72B">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4,074,913</w:t>
            </w:r>
          </w:p>
        </w:tc>
        <w:tc>
          <w:tcPr>
            <w:tcW w:w="503" w:type="dxa"/>
            <w:tcBorders>
              <w:top w:val="nil"/>
              <w:left w:val="nil"/>
              <w:bottom w:val="nil"/>
              <w:right w:val="nil"/>
            </w:tcBorders>
          </w:tcPr>
          <w:p w14:paraId="64A4B500">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4,185,266</w:t>
            </w:r>
          </w:p>
        </w:tc>
        <w:tc>
          <w:tcPr>
            <w:tcW w:w="510" w:type="dxa"/>
            <w:tcBorders>
              <w:top w:val="nil"/>
              <w:left w:val="nil"/>
              <w:bottom w:val="nil"/>
              <w:right w:val="nil"/>
            </w:tcBorders>
          </w:tcPr>
          <w:p w14:paraId="1DC0ACAD">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4,299,284</w:t>
            </w:r>
          </w:p>
        </w:tc>
        <w:tc>
          <w:tcPr>
            <w:tcW w:w="495" w:type="dxa"/>
            <w:tcBorders>
              <w:top w:val="nil"/>
              <w:left w:val="nil"/>
              <w:bottom w:val="nil"/>
              <w:right w:val="nil"/>
            </w:tcBorders>
          </w:tcPr>
          <w:p w14:paraId="03AD1D00">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4,417,584</w:t>
            </w:r>
          </w:p>
        </w:tc>
        <w:tc>
          <w:tcPr>
            <w:tcW w:w="482" w:type="dxa"/>
            <w:tcBorders>
              <w:top w:val="nil"/>
              <w:left w:val="nil"/>
              <w:bottom w:val="nil"/>
              <w:right w:val="nil"/>
            </w:tcBorders>
          </w:tcPr>
          <w:p w14:paraId="233E4CAA">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4,536,948</w:t>
            </w:r>
          </w:p>
        </w:tc>
        <w:tc>
          <w:tcPr>
            <w:tcW w:w="495" w:type="dxa"/>
            <w:tcBorders>
              <w:top w:val="nil"/>
              <w:left w:val="nil"/>
              <w:bottom w:val="nil"/>
              <w:right w:val="nil"/>
            </w:tcBorders>
          </w:tcPr>
          <w:p w14:paraId="280FCA0F">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4,657,314</w:t>
            </w:r>
          </w:p>
        </w:tc>
        <w:tc>
          <w:tcPr>
            <w:tcW w:w="476" w:type="dxa"/>
            <w:tcBorders>
              <w:top w:val="nil"/>
              <w:left w:val="nil"/>
              <w:bottom w:val="nil"/>
              <w:right w:val="nil"/>
            </w:tcBorders>
          </w:tcPr>
          <w:p w14:paraId="00C7730D">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4,778,877</w:t>
            </w:r>
          </w:p>
        </w:tc>
        <w:tc>
          <w:tcPr>
            <w:tcW w:w="476" w:type="dxa"/>
            <w:tcBorders>
              <w:top w:val="nil"/>
              <w:left w:val="nil"/>
              <w:bottom w:val="nil"/>
              <w:right w:val="nil"/>
            </w:tcBorders>
          </w:tcPr>
          <w:p w14:paraId="7E9565C7">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4,902,055</w:t>
            </w:r>
          </w:p>
        </w:tc>
      </w:tr>
      <w:tr w14:paraId="212925F2">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5D98095B">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AKWA IBOM</w:t>
            </w:r>
          </w:p>
        </w:tc>
        <w:tc>
          <w:tcPr>
            <w:tcW w:w="671" w:type="dxa"/>
            <w:tcBorders>
              <w:top w:val="nil"/>
              <w:left w:val="nil"/>
              <w:bottom w:val="nil"/>
              <w:right w:val="nil"/>
            </w:tcBorders>
          </w:tcPr>
          <w:p w14:paraId="2CABBD7A">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3,902,051</w:t>
            </w:r>
          </w:p>
        </w:tc>
        <w:tc>
          <w:tcPr>
            <w:tcW w:w="486" w:type="dxa"/>
            <w:tcBorders>
              <w:top w:val="nil"/>
              <w:left w:val="nil"/>
              <w:bottom w:val="nil"/>
              <w:right w:val="nil"/>
            </w:tcBorders>
          </w:tcPr>
          <w:p w14:paraId="5390CDDB">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3,963,247</w:t>
            </w:r>
          </w:p>
        </w:tc>
        <w:tc>
          <w:tcPr>
            <w:tcW w:w="480" w:type="dxa"/>
            <w:tcBorders>
              <w:top w:val="nil"/>
              <w:left w:val="nil"/>
              <w:bottom w:val="nil"/>
              <w:right w:val="nil"/>
            </w:tcBorders>
          </w:tcPr>
          <w:p w14:paraId="753630E8">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4,027,113</w:t>
            </w:r>
          </w:p>
        </w:tc>
        <w:tc>
          <w:tcPr>
            <w:tcW w:w="484" w:type="dxa"/>
            <w:tcBorders>
              <w:top w:val="nil"/>
              <w:left w:val="nil"/>
              <w:bottom w:val="nil"/>
              <w:right w:val="nil"/>
            </w:tcBorders>
          </w:tcPr>
          <w:p w14:paraId="3AFF3921">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4,092,733</w:t>
            </w:r>
          </w:p>
        </w:tc>
        <w:tc>
          <w:tcPr>
            <w:tcW w:w="492" w:type="dxa"/>
            <w:tcBorders>
              <w:top w:val="nil"/>
              <w:left w:val="nil"/>
              <w:bottom w:val="nil"/>
              <w:right w:val="nil"/>
            </w:tcBorders>
          </w:tcPr>
          <w:p w14:paraId="6C3F82C6">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4,159,871</w:t>
            </w:r>
          </w:p>
        </w:tc>
        <w:tc>
          <w:tcPr>
            <w:tcW w:w="510" w:type="dxa"/>
            <w:tcBorders>
              <w:top w:val="nil"/>
              <w:left w:val="nil"/>
              <w:bottom w:val="nil"/>
              <w:right w:val="nil"/>
            </w:tcBorders>
          </w:tcPr>
          <w:p w14:paraId="5B88D353">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4,228,237</w:t>
            </w:r>
          </w:p>
        </w:tc>
        <w:tc>
          <w:tcPr>
            <w:tcW w:w="500" w:type="dxa"/>
            <w:tcBorders>
              <w:top w:val="nil"/>
              <w:left w:val="nil"/>
              <w:bottom w:val="nil"/>
              <w:right w:val="nil"/>
            </w:tcBorders>
          </w:tcPr>
          <w:p w14:paraId="2B1FF87C">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4,297,421</w:t>
            </w:r>
          </w:p>
        </w:tc>
        <w:tc>
          <w:tcPr>
            <w:tcW w:w="476" w:type="dxa"/>
            <w:tcBorders>
              <w:top w:val="nil"/>
              <w:left w:val="nil"/>
              <w:bottom w:val="nil"/>
              <w:right w:val="nil"/>
            </w:tcBorders>
          </w:tcPr>
          <w:p w14:paraId="048C8504">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4,367,206</w:t>
            </w:r>
          </w:p>
        </w:tc>
        <w:tc>
          <w:tcPr>
            <w:tcW w:w="476" w:type="dxa"/>
            <w:tcBorders>
              <w:top w:val="nil"/>
              <w:left w:val="nil"/>
              <w:bottom w:val="nil"/>
              <w:right w:val="nil"/>
            </w:tcBorders>
          </w:tcPr>
          <w:p w14:paraId="1DD7A75F">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4,437,200</w:t>
            </w:r>
          </w:p>
        </w:tc>
        <w:tc>
          <w:tcPr>
            <w:tcW w:w="492" w:type="dxa"/>
            <w:tcBorders>
              <w:top w:val="nil"/>
              <w:left w:val="nil"/>
              <w:bottom w:val="nil"/>
              <w:right w:val="nil"/>
            </w:tcBorders>
          </w:tcPr>
          <w:p w14:paraId="753CB4D6">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4,507,044</w:t>
            </w:r>
          </w:p>
        </w:tc>
        <w:tc>
          <w:tcPr>
            <w:tcW w:w="503" w:type="dxa"/>
            <w:tcBorders>
              <w:top w:val="nil"/>
              <w:left w:val="nil"/>
              <w:bottom w:val="nil"/>
              <w:right w:val="nil"/>
            </w:tcBorders>
          </w:tcPr>
          <w:p w14:paraId="34F260F7">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4,576,294</w:t>
            </w:r>
          </w:p>
        </w:tc>
        <w:tc>
          <w:tcPr>
            <w:tcW w:w="510" w:type="dxa"/>
            <w:tcBorders>
              <w:top w:val="nil"/>
              <w:left w:val="nil"/>
              <w:bottom w:val="nil"/>
              <w:right w:val="nil"/>
            </w:tcBorders>
          </w:tcPr>
          <w:p w14:paraId="517EBADF">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4,644,867</w:t>
            </w:r>
          </w:p>
        </w:tc>
        <w:tc>
          <w:tcPr>
            <w:tcW w:w="495" w:type="dxa"/>
            <w:tcBorders>
              <w:top w:val="nil"/>
              <w:left w:val="nil"/>
              <w:bottom w:val="nil"/>
              <w:right w:val="nil"/>
            </w:tcBorders>
          </w:tcPr>
          <w:p w14:paraId="05D3E05F">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4,712,967</w:t>
            </w:r>
          </w:p>
        </w:tc>
        <w:tc>
          <w:tcPr>
            <w:tcW w:w="482" w:type="dxa"/>
            <w:tcBorders>
              <w:top w:val="nil"/>
              <w:left w:val="nil"/>
              <w:bottom w:val="nil"/>
              <w:right w:val="nil"/>
            </w:tcBorders>
          </w:tcPr>
          <w:p w14:paraId="2C534A72">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4,780,581</w:t>
            </w:r>
          </w:p>
        </w:tc>
        <w:tc>
          <w:tcPr>
            <w:tcW w:w="495" w:type="dxa"/>
            <w:tcBorders>
              <w:top w:val="nil"/>
              <w:left w:val="nil"/>
              <w:bottom w:val="nil"/>
              <w:right w:val="nil"/>
            </w:tcBorders>
          </w:tcPr>
          <w:p w14:paraId="125BB828">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4,847,542</w:t>
            </w:r>
          </w:p>
        </w:tc>
        <w:tc>
          <w:tcPr>
            <w:tcW w:w="476" w:type="dxa"/>
            <w:tcBorders>
              <w:top w:val="nil"/>
              <w:left w:val="nil"/>
              <w:bottom w:val="nil"/>
              <w:right w:val="nil"/>
            </w:tcBorders>
          </w:tcPr>
          <w:p w14:paraId="63B4879C">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4,913,809</w:t>
            </w:r>
          </w:p>
        </w:tc>
        <w:tc>
          <w:tcPr>
            <w:tcW w:w="476" w:type="dxa"/>
            <w:tcBorders>
              <w:top w:val="nil"/>
              <w:left w:val="nil"/>
              <w:bottom w:val="nil"/>
              <w:right w:val="nil"/>
            </w:tcBorders>
          </w:tcPr>
          <w:p w14:paraId="1FC3448A">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4,979,418</w:t>
            </w:r>
          </w:p>
        </w:tc>
      </w:tr>
      <w:tr w14:paraId="36EA9A1A">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42A17727">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ANAMBRA</w:t>
            </w:r>
          </w:p>
        </w:tc>
        <w:tc>
          <w:tcPr>
            <w:tcW w:w="671" w:type="dxa"/>
            <w:tcBorders>
              <w:top w:val="nil"/>
              <w:left w:val="nil"/>
              <w:bottom w:val="nil"/>
              <w:right w:val="nil"/>
            </w:tcBorders>
          </w:tcPr>
          <w:p w14:paraId="4764DC86">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4,177,828</w:t>
            </w:r>
          </w:p>
        </w:tc>
        <w:tc>
          <w:tcPr>
            <w:tcW w:w="486" w:type="dxa"/>
            <w:tcBorders>
              <w:top w:val="nil"/>
              <w:left w:val="nil"/>
              <w:bottom w:val="nil"/>
              <w:right w:val="nil"/>
            </w:tcBorders>
          </w:tcPr>
          <w:p w14:paraId="036CD3DB">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4,286,534</w:t>
            </w:r>
          </w:p>
        </w:tc>
        <w:tc>
          <w:tcPr>
            <w:tcW w:w="480" w:type="dxa"/>
            <w:tcBorders>
              <w:top w:val="nil"/>
              <w:left w:val="nil"/>
              <w:bottom w:val="nil"/>
              <w:right w:val="nil"/>
            </w:tcBorders>
          </w:tcPr>
          <w:p w14:paraId="01081D81">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4,397,524</w:t>
            </w:r>
          </w:p>
        </w:tc>
        <w:tc>
          <w:tcPr>
            <w:tcW w:w="484" w:type="dxa"/>
            <w:tcBorders>
              <w:top w:val="nil"/>
              <w:left w:val="nil"/>
              <w:bottom w:val="nil"/>
              <w:right w:val="nil"/>
            </w:tcBorders>
          </w:tcPr>
          <w:p w14:paraId="2F608008">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4,505,444</w:t>
            </w:r>
          </w:p>
        </w:tc>
        <w:tc>
          <w:tcPr>
            <w:tcW w:w="492" w:type="dxa"/>
            <w:tcBorders>
              <w:top w:val="nil"/>
              <w:left w:val="nil"/>
              <w:bottom w:val="nil"/>
              <w:right w:val="nil"/>
            </w:tcBorders>
          </w:tcPr>
          <w:p w14:paraId="241C8628">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4,610,707</w:t>
            </w:r>
          </w:p>
        </w:tc>
        <w:tc>
          <w:tcPr>
            <w:tcW w:w="510" w:type="dxa"/>
            <w:tcBorders>
              <w:top w:val="nil"/>
              <w:left w:val="nil"/>
              <w:bottom w:val="nil"/>
              <w:right w:val="nil"/>
            </w:tcBorders>
          </w:tcPr>
          <w:p w14:paraId="755363F0">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4,713,143</w:t>
            </w:r>
          </w:p>
        </w:tc>
        <w:tc>
          <w:tcPr>
            <w:tcW w:w="500" w:type="dxa"/>
            <w:tcBorders>
              <w:top w:val="nil"/>
              <w:left w:val="nil"/>
              <w:bottom w:val="nil"/>
              <w:right w:val="nil"/>
            </w:tcBorders>
          </w:tcPr>
          <w:p w14:paraId="1B2DE79D">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4,812,262</w:t>
            </w:r>
          </w:p>
        </w:tc>
        <w:tc>
          <w:tcPr>
            <w:tcW w:w="476" w:type="dxa"/>
            <w:tcBorders>
              <w:top w:val="nil"/>
              <w:left w:val="nil"/>
              <w:bottom w:val="nil"/>
              <w:right w:val="nil"/>
            </w:tcBorders>
          </w:tcPr>
          <w:p w14:paraId="4B1B1FD1">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4,907,709</w:t>
            </w:r>
          </w:p>
        </w:tc>
        <w:tc>
          <w:tcPr>
            <w:tcW w:w="476" w:type="dxa"/>
            <w:tcBorders>
              <w:top w:val="nil"/>
              <w:left w:val="nil"/>
              <w:bottom w:val="nil"/>
              <w:right w:val="nil"/>
            </w:tcBorders>
          </w:tcPr>
          <w:p w14:paraId="6AA06E17">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5,010,207</w:t>
            </w:r>
          </w:p>
        </w:tc>
        <w:tc>
          <w:tcPr>
            <w:tcW w:w="492" w:type="dxa"/>
            <w:tcBorders>
              <w:top w:val="nil"/>
              <w:left w:val="nil"/>
              <w:bottom w:val="nil"/>
              <w:right w:val="nil"/>
            </w:tcBorders>
          </w:tcPr>
          <w:p w14:paraId="27AC480A">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5,118,973</w:t>
            </w:r>
          </w:p>
        </w:tc>
        <w:tc>
          <w:tcPr>
            <w:tcW w:w="503" w:type="dxa"/>
            <w:tcBorders>
              <w:top w:val="nil"/>
              <w:left w:val="nil"/>
              <w:bottom w:val="nil"/>
              <w:right w:val="nil"/>
            </w:tcBorders>
          </w:tcPr>
          <w:p w14:paraId="17547FC0">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5,233,407</w:t>
            </w:r>
          </w:p>
        </w:tc>
        <w:tc>
          <w:tcPr>
            <w:tcW w:w="510" w:type="dxa"/>
            <w:tcBorders>
              <w:top w:val="nil"/>
              <w:left w:val="nil"/>
              <w:bottom w:val="nil"/>
              <w:right w:val="nil"/>
            </w:tcBorders>
          </w:tcPr>
          <w:p w14:paraId="1FB5B39B">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5,352,877</w:t>
            </w:r>
          </w:p>
        </w:tc>
        <w:tc>
          <w:tcPr>
            <w:tcW w:w="495" w:type="dxa"/>
            <w:tcBorders>
              <w:top w:val="nil"/>
              <w:left w:val="nil"/>
              <w:bottom w:val="nil"/>
              <w:right w:val="nil"/>
            </w:tcBorders>
          </w:tcPr>
          <w:p w14:paraId="18B80665">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5,477,532</w:t>
            </w:r>
          </w:p>
        </w:tc>
        <w:tc>
          <w:tcPr>
            <w:tcW w:w="482" w:type="dxa"/>
            <w:tcBorders>
              <w:top w:val="nil"/>
              <w:left w:val="nil"/>
              <w:bottom w:val="nil"/>
              <w:right w:val="nil"/>
            </w:tcBorders>
          </w:tcPr>
          <w:p w14:paraId="66DA164C">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5,599,910</w:t>
            </w:r>
          </w:p>
        </w:tc>
        <w:tc>
          <w:tcPr>
            <w:tcW w:w="495" w:type="dxa"/>
            <w:tcBorders>
              <w:top w:val="nil"/>
              <w:left w:val="nil"/>
              <w:bottom w:val="nil"/>
              <w:right w:val="nil"/>
            </w:tcBorders>
          </w:tcPr>
          <w:p w14:paraId="579657FF">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5,720,035</w:t>
            </w:r>
          </w:p>
        </w:tc>
        <w:tc>
          <w:tcPr>
            <w:tcW w:w="476" w:type="dxa"/>
            <w:tcBorders>
              <w:top w:val="nil"/>
              <w:left w:val="nil"/>
              <w:bottom w:val="nil"/>
              <w:right w:val="nil"/>
            </w:tcBorders>
          </w:tcPr>
          <w:p w14:paraId="3DBAAB2D">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5,837,646</w:t>
            </w:r>
          </w:p>
        </w:tc>
        <w:tc>
          <w:tcPr>
            <w:tcW w:w="476" w:type="dxa"/>
            <w:tcBorders>
              <w:top w:val="nil"/>
              <w:left w:val="nil"/>
              <w:bottom w:val="nil"/>
              <w:right w:val="nil"/>
            </w:tcBorders>
          </w:tcPr>
          <w:p w14:paraId="3D45B983">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5,953,517</w:t>
            </w:r>
          </w:p>
        </w:tc>
      </w:tr>
      <w:tr w14:paraId="02333087">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6126A42C">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BAUCHI</w:t>
            </w:r>
          </w:p>
        </w:tc>
        <w:tc>
          <w:tcPr>
            <w:tcW w:w="671" w:type="dxa"/>
            <w:tcBorders>
              <w:top w:val="nil"/>
              <w:left w:val="nil"/>
              <w:bottom w:val="nil"/>
              <w:right w:val="nil"/>
            </w:tcBorders>
          </w:tcPr>
          <w:p w14:paraId="227505D3">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4,653,066</w:t>
            </w:r>
          </w:p>
        </w:tc>
        <w:tc>
          <w:tcPr>
            <w:tcW w:w="486" w:type="dxa"/>
            <w:tcBorders>
              <w:top w:val="nil"/>
              <w:left w:val="nil"/>
              <w:bottom w:val="nil"/>
              <w:right w:val="nil"/>
            </w:tcBorders>
          </w:tcPr>
          <w:p w14:paraId="7E6D4152">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4,847,876</w:t>
            </w:r>
          </w:p>
        </w:tc>
        <w:tc>
          <w:tcPr>
            <w:tcW w:w="480" w:type="dxa"/>
            <w:tcBorders>
              <w:top w:val="nil"/>
              <w:left w:val="nil"/>
              <w:bottom w:val="nil"/>
              <w:right w:val="nil"/>
            </w:tcBorders>
          </w:tcPr>
          <w:p w14:paraId="406FE68B">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5,047,406</w:t>
            </w:r>
          </w:p>
        </w:tc>
        <w:tc>
          <w:tcPr>
            <w:tcW w:w="484" w:type="dxa"/>
            <w:tcBorders>
              <w:top w:val="nil"/>
              <w:left w:val="nil"/>
              <w:bottom w:val="nil"/>
              <w:right w:val="nil"/>
            </w:tcBorders>
          </w:tcPr>
          <w:p w14:paraId="1FEC30CC">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5,252,679</w:t>
            </w:r>
          </w:p>
        </w:tc>
        <w:tc>
          <w:tcPr>
            <w:tcW w:w="492" w:type="dxa"/>
            <w:tcBorders>
              <w:top w:val="nil"/>
              <w:left w:val="nil"/>
              <w:bottom w:val="nil"/>
              <w:right w:val="nil"/>
            </w:tcBorders>
          </w:tcPr>
          <w:p w14:paraId="4318D4D5">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5,464,244</w:t>
            </w:r>
          </w:p>
        </w:tc>
        <w:tc>
          <w:tcPr>
            <w:tcW w:w="510" w:type="dxa"/>
            <w:tcBorders>
              <w:top w:val="nil"/>
              <w:left w:val="nil"/>
              <w:bottom w:val="nil"/>
              <w:right w:val="nil"/>
            </w:tcBorders>
          </w:tcPr>
          <w:p w14:paraId="2AA9B73D">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5,682,270</w:t>
            </w:r>
          </w:p>
        </w:tc>
        <w:tc>
          <w:tcPr>
            <w:tcW w:w="500" w:type="dxa"/>
            <w:tcBorders>
              <w:top w:val="nil"/>
              <w:left w:val="nil"/>
              <w:bottom w:val="nil"/>
              <w:right w:val="nil"/>
            </w:tcBorders>
          </w:tcPr>
          <w:p w14:paraId="4BE75A0E">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5,907,203</w:t>
            </w:r>
          </w:p>
        </w:tc>
        <w:tc>
          <w:tcPr>
            <w:tcW w:w="476" w:type="dxa"/>
            <w:tcBorders>
              <w:top w:val="nil"/>
              <w:left w:val="nil"/>
              <w:bottom w:val="nil"/>
              <w:right w:val="nil"/>
            </w:tcBorders>
          </w:tcPr>
          <w:p w14:paraId="05769C16">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6,139,446</w:t>
            </w:r>
          </w:p>
        </w:tc>
        <w:tc>
          <w:tcPr>
            <w:tcW w:w="476" w:type="dxa"/>
            <w:tcBorders>
              <w:top w:val="nil"/>
              <w:left w:val="nil"/>
              <w:bottom w:val="nil"/>
              <w:right w:val="nil"/>
            </w:tcBorders>
          </w:tcPr>
          <w:p w14:paraId="324EB908">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6,371,216</w:t>
            </w:r>
          </w:p>
        </w:tc>
        <w:tc>
          <w:tcPr>
            <w:tcW w:w="492" w:type="dxa"/>
            <w:tcBorders>
              <w:top w:val="nil"/>
              <w:left w:val="nil"/>
              <w:bottom w:val="nil"/>
              <w:right w:val="nil"/>
            </w:tcBorders>
          </w:tcPr>
          <w:p w14:paraId="111D34DC">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6,603,199</w:t>
            </w:r>
          </w:p>
        </w:tc>
        <w:tc>
          <w:tcPr>
            <w:tcW w:w="503" w:type="dxa"/>
            <w:tcBorders>
              <w:top w:val="nil"/>
              <w:left w:val="nil"/>
              <w:bottom w:val="nil"/>
              <w:right w:val="nil"/>
            </w:tcBorders>
          </w:tcPr>
          <w:p w14:paraId="2881A44E">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6,835,118</w:t>
            </w:r>
          </w:p>
        </w:tc>
        <w:tc>
          <w:tcPr>
            <w:tcW w:w="510" w:type="dxa"/>
            <w:tcBorders>
              <w:top w:val="nil"/>
              <w:left w:val="nil"/>
              <w:bottom w:val="nil"/>
              <w:right w:val="nil"/>
            </w:tcBorders>
          </w:tcPr>
          <w:p w14:paraId="108909A6">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7,067,129</w:t>
            </w:r>
          </w:p>
        </w:tc>
        <w:tc>
          <w:tcPr>
            <w:tcW w:w="495" w:type="dxa"/>
            <w:tcBorders>
              <w:top w:val="nil"/>
              <w:left w:val="nil"/>
              <w:bottom w:val="nil"/>
              <w:right w:val="nil"/>
            </w:tcBorders>
          </w:tcPr>
          <w:p w14:paraId="7443D974">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7,300,050</w:t>
            </w:r>
          </w:p>
        </w:tc>
        <w:tc>
          <w:tcPr>
            <w:tcW w:w="482" w:type="dxa"/>
            <w:tcBorders>
              <w:top w:val="nil"/>
              <w:left w:val="nil"/>
              <w:bottom w:val="nil"/>
              <w:right w:val="nil"/>
            </w:tcBorders>
          </w:tcPr>
          <w:p w14:paraId="69FA2129">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7,540,663</w:t>
            </w:r>
          </w:p>
        </w:tc>
        <w:tc>
          <w:tcPr>
            <w:tcW w:w="495" w:type="dxa"/>
            <w:tcBorders>
              <w:top w:val="nil"/>
              <w:left w:val="nil"/>
              <w:bottom w:val="nil"/>
              <w:right w:val="nil"/>
            </w:tcBorders>
          </w:tcPr>
          <w:p w14:paraId="3BD722FF">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7,788,504</w:t>
            </w:r>
          </w:p>
        </w:tc>
        <w:tc>
          <w:tcPr>
            <w:tcW w:w="476" w:type="dxa"/>
            <w:tcBorders>
              <w:top w:val="nil"/>
              <w:left w:val="nil"/>
              <w:bottom w:val="nil"/>
              <w:right w:val="nil"/>
            </w:tcBorders>
          </w:tcPr>
          <w:p w14:paraId="47666934">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8,043,978</w:t>
            </w:r>
          </w:p>
        </w:tc>
        <w:tc>
          <w:tcPr>
            <w:tcW w:w="476" w:type="dxa"/>
            <w:tcBorders>
              <w:top w:val="nil"/>
              <w:left w:val="nil"/>
              <w:bottom w:val="nil"/>
              <w:right w:val="nil"/>
            </w:tcBorders>
          </w:tcPr>
          <w:p w14:paraId="3EDEBE31">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8,308,783</w:t>
            </w:r>
          </w:p>
        </w:tc>
      </w:tr>
      <w:tr w14:paraId="5086A6CB">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00D94C8A">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Bayelsa</w:t>
            </w:r>
          </w:p>
        </w:tc>
        <w:tc>
          <w:tcPr>
            <w:tcW w:w="671" w:type="dxa"/>
            <w:tcBorders>
              <w:top w:val="nil"/>
              <w:left w:val="nil"/>
              <w:bottom w:val="nil"/>
              <w:right w:val="nil"/>
            </w:tcBorders>
          </w:tcPr>
          <w:p w14:paraId="2B5A0508">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1,704,515</w:t>
            </w:r>
          </w:p>
        </w:tc>
        <w:tc>
          <w:tcPr>
            <w:tcW w:w="486" w:type="dxa"/>
            <w:tcBorders>
              <w:top w:val="nil"/>
              <w:left w:val="nil"/>
              <w:bottom w:val="nil"/>
              <w:right w:val="nil"/>
            </w:tcBorders>
          </w:tcPr>
          <w:p w14:paraId="377FC58A">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1,761,197</w:t>
            </w:r>
          </w:p>
        </w:tc>
        <w:tc>
          <w:tcPr>
            <w:tcW w:w="480" w:type="dxa"/>
            <w:tcBorders>
              <w:top w:val="nil"/>
              <w:left w:val="nil"/>
              <w:bottom w:val="nil"/>
              <w:right w:val="nil"/>
            </w:tcBorders>
          </w:tcPr>
          <w:p w14:paraId="3BCA0A53">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1,819,103</w:t>
            </w:r>
          </w:p>
        </w:tc>
        <w:tc>
          <w:tcPr>
            <w:tcW w:w="484" w:type="dxa"/>
            <w:tcBorders>
              <w:top w:val="nil"/>
              <w:left w:val="nil"/>
              <w:bottom w:val="nil"/>
              <w:right w:val="nil"/>
            </w:tcBorders>
          </w:tcPr>
          <w:p w14:paraId="50FAE360">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1,875,276</w:t>
            </w:r>
          </w:p>
        </w:tc>
        <w:tc>
          <w:tcPr>
            <w:tcW w:w="492" w:type="dxa"/>
            <w:tcBorders>
              <w:top w:val="nil"/>
              <w:left w:val="nil"/>
              <w:bottom w:val="nil"/>
              <w:right w:val="nil"/>
            </w:tcBorders>
          </w:tcPr>
          <w:p w14:paraId="43F1AFD1">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1,929,864</w:t>
            </w:r>
          </w:p>
        </w:tc>
        <w:tc>
          <w:tcPr>
            <w:tcW w:w="510" w:type="dxa"/>
            <w:tcBorders>
              <w:top w:val="nil"/>
              <w:left w:val="nil"/>
              <w:bottom w:val="nil"/>
              <w:right w:val="nil"/>
            </w:tcBorders>
          </w:tcPr>
          <w:p w14:paraId="29F2CBE1">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1,982,672</w:t>
            </w:r>
          </w:p>
        </w:tc>
        <w:tc>
          <w:tcPr>
            <w:tcW w:w="500" w:type="dxa"/>
            <w:tcBorders>
              <w:top w:val="nil"/>
              <w:left w:val="nil"/>
              <w:bottom w:val="nil"/>
              <w:right w:val="nil"/>
            </w:tcBorders>
          </w:tcPr>
          <w:p w14:paraId="6284403E">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2,033,433</w:t>
            </w:r>
          </w:p>
        </w:tc>
        <w:tc>
          <w:tcPr>
            <w:tcW w:w="476" w:type="dxa"/>
            <w:tcBorders>
              <w:top w:val="nil"/>
              <w:left w:val="nil"/>
              <w:bottom w:val="nil"/>
              <w:right w:val="nil"/>
            </w:tcBorders>
          </w:tcPr>
          <w:p w14:paraId="06A16BA2">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2,081,965</w:t>
            </w:r>
          </w:p>
        </w:tc>
        <w:tc>
          <w:tcPr>
            <w:tcW w:w="476" w:type="dxa"/>
            <w:tcBorders>
              <w:top w:val="nil"/>
              <w:left w:val="nil"/>
              <w:bottom w:val="nil"/>
              <w:right w:val="nil"/>
            </w:tcBorders>
          </w:tcPr>
          <w:p w14:paraId="79AAE8E9">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2,132,192</w:t>
            </w:r>
          </w:p>
        </w:tc>
        <w:tc>
          <w:tcPr>
            <w:tcW w:w="492" w:type="dxa"/>
            <w:tcBorders>
              <w:top w:val="nil"/>
              <w:left w:val="nil"/>
              <w:bottom w:val="nil"/>
              <w:right w:val="nil"/>
            </w:tcBorders>
          </w:tcPr>
          <w:p w14:paraId="2CB6224A">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2,183,880</w:t>
            </w:r>
          </w:p>
        </w:tc>
        <w:tc>
          <w:tcPr>
            <w:tcW w:w="503" w:type="dxa"/>
            <w:tcBorders>
              <w:top w:val="nil"/>
              <w:left w:val="nil"/>
              <w:bottom w:val="nil"/>
              <w:right w:val="nil"/>
            </w:tcBorders>
          </w:tcPr>
          <w:p w14:paraId="624E3D3C">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2,236,872</w:t>
            </w:r>
          </w:p>
        </w:tc>
        <w:tc>
          <w:tcPr>
            <w:tcW w:w="510" w:type="dxa"/>
            <w:tcBorders>
              <w:top w:val="nil"/>
              <w:left w:val="nil"/>
              <w:bottom w:val="nil"/>
              <w:right w:val="nil"/>
            </w:tcBorders>
          </w:tcPr>
          <w:p w14:paraId="6E900428">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2,290,985</w:t>
            </w:r>
          </w:p>
        </w:tc>
        <w:tc>
          <w:tcPr>
            <w:tcW w:w="495" w:type="dxa"/>
            <w:tcBorders>
              <w:top w:val="nil"/>
              <w:left w:val="nil"/>
              <w:bottom w:val="nil"/>
              <w:right w:val="nil"/>
            </w:tcBorders>
          </w:tcPr>
          <w:p w14:paraId="25FC58CF">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2,343,687</w:t>
            </w:r>
          </w:p>
        </w:tc>
        <w:tc>
          <w:tcPr>
            <w:tcW w:w="482" w:type="dxa"/>
            <w:tcBorders>
              <w:top w:val="nil"/>
              <w:left w:val="nil"/>
              <w:bottom w:val="nil"/>
              <w:right w:val="nil"/>
            </w:tcBorders>
          </w:tcPr>
          <w:p w14:paraId="5CE7D4CA">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2,394,725</w:t>
            </w:r>
          </w:p>
        </w:tc>
        <w:tc>
          <w:tcPr>
            <w:tcW w:w="495" w:type="dxa"/>
            <w:tcBorders>
              <w:top w:val="nil"/>
              <w:left w:val="nil"/>
              <w:bottom w:val="nil"/>
              <w:right w:val="nil"/>
            </w:tcBorders>
          </w:tcPr>
          <w:p w14:paraId="44DB302F">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2,444,028</w:t>
            </w:r>
          </w:p>
        </w:tc>
        <w:tc>
          <w:tcPr>
            <w:tcW w:w="476" w:type="dxa"/>
            <w:tcBorders>
              <w:top w:val="nil"/>
              <w:left w:val="nil"/>
              <w:bottom w:val="nil"/>
              <w:right w:val="nil"/>
            </w:tcBorders>
          </w:tcPr>
          <w:p w14:paraId="27D45D02">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2,491,513</w:t>
            </w:r>
          </w:p>
        </w:tc>
        <w:tc>
          <w:tcPr>
            <w:tcW w:w="476" w:type="dxa"/>
            <w:tcBorders>
              <w:top w:val="nil"/>
              <w:left w:val="nil"/>
              <w:bottom w:val="nil"/>
              <w:right w:val="nil"/>
            </w:tcBorders>
          </w:tcPr>
          <w:p w14:paraId="1900D8B7">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2,537,375</w:t>
            </w:r>
          </w:p>
        </w:tc>
      </w:tr>
      <w:tr w14:paraId="4CE1E6EB">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58B98A11">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BENUE</w:t>
            </w:r>
          </w:p>
        </w:tc>
        <w:tc>
          <w:tcPr>
            <w:tcW w:w="671" w:type="dxa"/>
            <w:tcBorders>
              <w:top w:val="nil"/>
              <w:left w:val="nil"/>
              <w:bottom w:val="nil"/>
              <w:right w:val="nil"/>
            </w:tcBorders>
          </w:tcPr>
          <w:p w14:paraId="60F2A396">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4,253,641</w:t>
            </w:r>
          </w:p>
        </w:tc>
        <w:tc>
          <w:tcPr>
            <w:tcW w:w="486" w:type="dxa"/>
            <w:tcBorders>
              <w:top w:val="nil"/>
              <w:left w:val="nil"/>
              <w:bottom w:val="nil"/>
              <w:right w:val="nil"/>
            </w:tcBorders>
          </w:tcPr>
          <w:p w14:paraId="577AA388">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4,365,768</w:t>
            </w:r>
          </w:p>
        </w:tc>
        <w:tc>
          <w:tcPr>
            <w:tcW w:w="480" w:type="dxa"/>
            <w:tcBorders>
              <w:top w:val="nil"/>
              <w:left w:val="nil"/>
              <w:bottom w:val="nil"/>
              <w:right w:val="nil"/>
            </w:tcBorders>
          </w:tcPr>
          <w:p w14:paraId="16E083C8">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4,483,938</w:t>
            </w:r>
          </w:p>
        </w:tc>
        <w:tc>
          <w:tcPr>
            <w:tcW w:w="484" w:type="dxa"/>
            <w:tcBorders>
              <w:top w:val="nil"/>
              <w:left w:val="nil"/>
              <w:bottom w:val="nil"/>
              <w:right w:val="nil"/>
            </w:tcBorders>
          </w:tcPr>
          <w:p w14:paraId="3E2C4E4C">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4,602,120</w:t>
            </w:r>
          </w:p>
        </w:tc>
        <w:tc>
          <w:tcPr>
            <w:tcW w:w="492" w:type="dxa"/>
            <w:tcBorders>
              <w:top w:val="nil"/>
              <w:left w:val="nil"/>
              <w:bottom w:val="nil"/>
              <w:right w:val="nil"/>
            </w:tcBorders>
          </w:tcPr>
          <w:p w14:paraId="44C48DC1">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4,720,509</w:t>
            </w:r>
          </w:p>
        </w:tc>
        <w:tc>
          <w:tcPr>
            <w:tcW w:w="510" w:type="dxa"/>
            <w:tcBorders>
              <w:top w:val="nil"/>
              <w:left w:val="nil"/>
              <w:bottom w:val="nil"/>
              <w:right w:val="nil"/>
            </w:tcBorders>
          </w:tcPr>
          <w:p w14:paraId="437EFE47">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4,839,060</w:t>
            </w:r>
          </w:p>
        </w:tc>
        <w:tc>
          <w:tcPr>
            <w:tcW w:w="500" w:type="dxa"/>
            <w:tcBorders>
              <w:top w:val="nil"/>
              <w:left w:val="nil"/>
              <w:bottom w:val="nil"/>
              <w:right w:val="nil"/>
            </w:tcBorders>
          </w:tcPr>
          <w:p w14:paraId="79EDC979">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4,957,574</w:t>
            </w:r>
          </w:p>
        </w:tc>
        <w:tc>
          <w:tcPr>
            <w:tcW w:w="476" w:type="dxa"/>
            <w:tcBorders>
              <w:top w:val="nil"/>
              <w:left w:val="nil"/>
              <w:bottom w:val="nil"/>
              <w:right w:val="nil"/>
            </w:tcBorders>
          </w:tcPr>
          <w:p w14:paraId="32572570">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5,076,012</w:t>
            </w:r>
          </w:p>
        </w:tc>
        <w:tc>
          <w:tcPr>
            <w:tcW w:w="476" w:type="dxa"/>
            <w:tcBorders>
              <w:top w:val="nil"/>
              <w:left w:val="nil"/>
              <w:bottom w:val="nil"/>
              <w:right w:val="nil"/>
            </w:tcBorders>
          </w:tcPr>
          <w:p w14:paraId="5444048A">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5,195,024</w:t>
            </w:r>
          </w:p>
        </w:tc>
        <w:tc>
          <w:tcPr>
            <w:tcW w:w="492" w:type="dxa"/>
            <w:tcBorders>
              <w:top w:val="nil"/>
              <w:left w:val="nil"/>
              <w:bottom w:val="nil"/>
              <w:right w:val="nil"/>
            </w:tcBorders>
          </w:tcPr>
          <w:p w14:paraId="506F0D94">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5,314,166</w:t>
            </w:r>
          </w:p>
        </w:tc>
        <w:tc>
          <w:tcPr>
            <w:tcW w:w="503" w:type="dxa"/>
            <w:tcBorders>
              <w:top w:val="nil"/>
              <w:left w:val="nil"/>
              <w:bottom w:val="nil"/>
              <w:right w:val="nil"/>
            </w:tcBorders>
          </w:tcPr>
          <w:p w14:paraId="4F68D2BD">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5,432,973</w:t>
            </w:r>
          </w:p>
        </w:tc>
        <w:tc>
          <w:tcPr>
            <w:tcW w:w="510" w:type="dxa"/>
            <w:tcBorders>
              <w:top w:val="nil"/>
              <w:left w:val="nil"/>
              <w:bottom w:val="nil"/>
              <w:right w:val="nil"/>
            </w:tcBorders>
          </w:tcPr>
          <w:p w14:paraId="03696CB0">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5,551,238</w:t>
            </w:r>
          </w:p>
        </w:tc>
        <w:tc>
          <w:tcPr>
            <w:tcW w:w="495" w:type="dxa"/>
            <w:tcBorders>
              <w:top w:val="nil"/>
              <w:left w:val="nil"/>
              <w:bottom w:val="nil"/>
              <w:right w:val="nil"/>
            </w:tcBorders>
          </w:tcPr>
          <w:p w14:paraId="7E7B4F1C">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5,669,555</w:t>
            </w:r>
          </w:p>
        </w:tc>
        <w:tc>
          <w:tcPr>
            <w:tcW w:w="482" w:type="dxa"/>
            <w:tcBorders>
              <w:top w:val="nil"/>
              <w:left w:val="nil"/>
              <w:bottom w:val="nil"/>
              <w:right w:val="nil"/>
            </w:tcBorders>
          </w:tcPr>
          <w:p w14:paraId="5B96E7B2">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5,787,706</w:t>
            </w:r>
          </w:p>
        </w:tc>
        <w:tc>
          <w:tcPr>
            <w:tcW w:w="495" w:type="dxa"/>
            <w:tcBorders>
              <w:top w:val="nil"/>
              <w:left w:val="nil"/>
              <w:bottom w:val="nil"/>
              <w:right w:val="nil"/>
            </w:tcBorders>
          </w:tcPr>
          <w:p w14:paraId="474381B0">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5,905,747</w:t>
            </w:r>
          </w:p>
        </w:tc>
        <w:tc>
          <w:tcPr>
            <w:tcW w:w="476" w:type="dxa"/>
            <w:tcBorders>
              <w:top w:val="nil"/>
              <w:left w:val="nil"/>
              <w:bottom w:val="nil"/>
              <w:right w:val="nil"/>
            </w:tcBorders>
          </w:tcPr>
          <w:p w14:paraId="03D3179B">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6,023,643</w:t>
            </w:r>
          </w:p>
        </w:tc>
        <w:tc>
          <w:tcPr>
            <w:tcW w:w="476" w:type="dxa"/>
            <w:tcBorders>
              <w:top w:val="nil"/>
              <w:left w:val="nil"/>
              <w:bottom w:val="nil"/>
              <w:right w:val="nil"/>
            </w:tcBorders>
          </w:tcPr>
          <w:p w14:paraId="543D408B">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6,141,284</w:t>
            </w:r>
          </w:p>
        </w:tc>
      </w:tr>
      <w:tr w14:paraId="2D6AD7BB">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116497B8">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BORNO</w:t>
            </w:r>
          </w:p>
        </w:tc>
        <w:tc>
          <w:tcPr>
            <w:tcW w:w="671" w:type="dxa"/>
            <w:tcBorders>
              <w:top w:val="nil"/>
              <w:left w:val="nil"/>
              <w:bottom w:val="nil"/>
              <w:right w:val="nil"/>
            </w:tcBorders>
          </w:tcPr>
          <w:p w14:paraId="5B1D3938">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4,171,104</w:t>
            </w:r>
          </w:p>
        </w:tc>
        <w:tc>
          <w:tcPr>
            <w:tcW w:w="486" w:type="dxa"/>
            <w:tcBorders>
              <w:top w:val="nil"/>
              <w:left w:val="nil"/>
              <w:bottom w:val="nil"/>
              <w:right w:val="nil"/>
            </w:tcBorders>
          </w:tcPr>
          <w:p w14:paraId="0B290F36">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4,311,697</w:t>
            </w:r>
          </w:p>
        </w:tc>
        <w:tc>
          <w:tcPr>
            <w:tcW w:w="480" w:type="dxa"/>
            <w:tcBorders>
              <w:top w:val="nil"/>
              <w:left w:val="nil"/>
              <w:bottom w:val="nil"/>
              <w:right w:val="nil"/>
            </w:tcBorders>
          </w:tcPr>
          <w:p w14:paraId="41393361">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4,456,293</w:t>
            </w:r>
          </w:p>
        </w:tc>
        <w:tc>
          <w:tcPr>
            <w:tcW w:w="484" w:type="dxa"/>
            <w:tcBorders>
              <w:top w:val="nil"/>
              <w:left w:val="nil"/>
              <w:bottom w:val="nil"/>
              <w:right w:val="nil"/>
            </w:tcBorders>
          </w:tcPr>
          <w:p w14:paraId="4A74E2E2">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4,590,977</w:t>
            </w:r>
          </w:p>
        </w:tc>
        <w:tc>
          <w:tcPr>
            <w:tcW w:w="492" w:type="dxa"/>
            <w:tcBorders>
              <w:top w:val="nil"/>
              <w:left w:val="nil"/>
              <w:bottom w:val="nil"/>
              <w:right w:val="nil"/>
            </w:tcBorders>
          </w:tcPr>
          <w:p w14:paraId="0130DF5B">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4,716,157</w:t>
            </w:r>
          </w:p>
        </w:tc>
        <w:tc>
          <w:tcPr>
            <w:tcW w:w="510" w:type="dxa"/>
            <w:tcBorders>
              <w:top w:val="nil"/>
              <w:left w:val="nil"/>
              <w:bottom w:val="nil"/>
              <w:right w:val="nil"/>
            </w:tcBorders>
          </w:tcPr>
          <w:p w14:paraId="4AF56513">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4,831,836</w:t>
            </w:r>
          </w:p>
        </w:tc>
        <w:tc>
          <w:tcPr>
            <w:tcW w:w="500" w:type="dxa"/>
            <w:tcBorders>
              <w:top w:val="nil"/>
              <w:left w:val="nil"/>
              <w:bottom w:val="nil"/>
              <w:right w:val="nil"/>
            </w:tcBorders>
          </w:tcPr>
          <w:p w14:paraId="43335A87">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4,937,582</w:t>
            </w:r>
          </w:p>
        </w:tc>
        <w:tc>
          <w:tcPr>
            <w:tcW w:w="476" w:type="dxa"/>
            <w:tcBorders>
              <w:top w:val="nil"/>
              <w:left w:val="nil"/>
              <w:bottom w:val="nil"/>
              <w:right w:val="nil"/>
            </w:tcBorders>
          </w:tcPr>
          <w:p w14:paraId="2424BD12">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5,033,360</w:t>
            </w:r>
          </w:p>
        </w:tc>
        <w:tc>
          <w:tcPr>
            <w:tcW w:w="476" w:type="dxa"/>
            <w:tcBorders>
              <w:top w:val="nil"/>
              <w:left w:val="nil"/>
              <w:bottom w:val="nil"/>
              <w:right w:val="nil"/>
            </w:tcBorders>
          </w:tcPr>
          <w:p w14:paraId="30760EB7">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5,137,240</w:t>
            </w:r>
          </w:p>
        </w:tc>
        <w:tc>
          <w:tcPr>
            <w:tcW w:w="492" w:type="dxa"/>
            <w:tcBorders>
              <w:top w:val="nil"/>
              <w:left w:val="nil"/>
              <w:bottom w:val="nil"/>
              <w:right w:val="nil"/>
            </w:tcBorders>
          </w:tcPr>
          <w:p w14:paraId="3C1F5EA5">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5,248,555</w:t>
            </w:r>
          </w:p>
        </w:tc>
        <w:tc>
          <w:tcPr>
            <w:tcW w:w="503" w:type="dxa"/>
            <w:tcBorders>
              <w:top w:val="nil"/>
              <w:left w:val="nil"/>
              <w:bottom w:val="nil"/>
              <w:right w:val="nil"/>
            </w:tcBorders>
          </w:tcPr>
          <w:p w14:paraId="1A7EA374">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5,366,703</w:t>
            </w:r>
          </w:p>
        </w:tc>
        <w:tc>
          <w:tcPr>
            <w:tcW w:w="510" w:type="dxa"/>
            <w:tcBorders>
              <w:top w:val="nil"/>
              <w:left w:val="nil"/>
              <w:bottom w:val="nil"/>
              <w:right w:val="nil"/>
            </w:tcBorders>
          </w:tcPr>
          <w:p w14:paraId="075165DF">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5,491,442</w:t>
            </w:r>
          </w:p>
        </w:tc>
        <w:tc>
          <w:tcPr>
            <w:tcW w:w="495" w:type="dxa"/>
            <w:tcBorders>
              <w:top w:val="nil"/>
              <w:left w:val="nil"/>
              <w:bottom w:val="nil"/>
              <w:right w:val="nil"/>
            </w:tcBorders>
          </w:tcPr>
          <w:p w14:paraId="58BDCF7C">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5,623,677</w:t>
            </w:r>
          </w:p>
        </w:tc>
        <w:tc>
          <w:tcPr>
            <w:tcW w:w="482" w:type="dxa"/>
            <w:tcBorders>
              <w:top w:val="nil"/>
              <w:left w:val="nil"/>
              <w:bottom w:val="nil"/>
              <w:right w:val="nil"/>
            </w:tcBorders>
          </w:tcPr>
          <w:p w14:paraId="04CDC016">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5,751,590</w:t>
            </w:r>
          </w:p>
        </w:tc>
        <w:tc>
          <w:tcPr>
            <w:tcW w:w="495" w:type="dxa"/>
            <w:tcBorders>
              <w:top w:val="nil"/>
              <w:left w:val="nil"/>
              <w:bottom w:val="nil"/>
              <w:right w:val="nil"/>
            </w:tcBorders>
          </w:tcPr>
          <w:p w14:paraId="644EBF04">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5,875,471</w:t>
            </w:r>
          </w:p>
        </w:tc>
        <w:tc>
          <w:tcPr>
            <w:tcW w:w="476" w:type="dxa"/>
            <w:tcBorders>
              <w:top w:val="nil"/>
              <w:left w:val="nil"/>
              <w:bottom w:val="nil"/>
              <w:right w:val="nil"/>
            </w:tcBorders>
          </w:tcPr>
          <w:p w14:paraId="3C02F10B">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5,995,271</w:t>
            </w:r>
          </w:p>
        </w:tc>
        <w:tc>
          <w:tcPr>
            <w:tcW w:w="476" w:type="dxa"/>
            <w:tcBorders>
              <w:top w:val="nil"/>
              <w:left w:val="nil"/>
              <w:bottom w:val="nil"/>
              <w:right w:val="nil"/>
            </w:tcBorders>
          </w:tcPr>
          <w:p w14:paraId="57E5FEBF">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6,111,462</w:t>
            </w:r>
          </w:p>
        </w:tc>
      </w:tr>
      <w:tr w14:paraId="2658AF4D">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76E2DB73">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CROSS RIVER</w:t>
            </w:r>
          </w:p>
        </w:tc>
        <w:tc>
          <w:tcPr>
            <w:tcW w:w="671" w:type="dxa"/>
            <w:tcBorders>
              <w:top w:val="nil"/>
              <w:left w:val="nil"/>
              <w:bottom w:val="nil"/>
              <w:right w:val="nil"/>
            </w:tcBorders>
          </w:tcPr>
          <w:p w14:paraId="7809C5A8">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2,892,988</w:t>
            </w:r>
          </w:p>
        </w:tc>
        <w:tc>
          <w:tcPr>
            <w:tcW w:w="486" w:type="dxa"/>
            <w:tcBorders>
              <w:top w:val="nil"/>
              <w:left w:val="nil"/>
              <w:bottom w:val="nil"/>
              <w:right w:val="nil"/>
            </w:tcBorders>
          </w:tcPr>
          <w:p w14:paraId="29F0BA0A">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2,987,619</w:t>
            </w:r>
          </w:p>
        </w:tc>
        <w:tc>
          <w:tcPr>
            <w:tcW w:w="480" w:type="dxa"/>
            <w:tcBorders>
              <w:top w:val="nil"/>
              <w:left w:val="nil"/>
              <w:bottom w:val="nil"/>
              <w:right w:val="nil"/>
            </w:tcBorders>
          </w:tcPr>
          <w:p w14:paraId="131DDCCA">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3,085,111</w:t>
            </w:r>
          </w:p>
        </w:tc>
        <w:tc>
          <w:tcPr>
            <w:tcW w:w="484" w:type="dxa"/>
            <w:tcBorders>
              <w:top w:val="nil"/>
              <w:left w:val="nil"/>
              <w:bottom w:val="nil"/>
              <w:right w:val="nil"/>
            </w:tcBorders>
          </w:tcPr>
          <w:p w14:paraId="7BABEBF9">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3,185,687</w:t>
            </w:r>
          </w:p>
        </w:tc>
        <w:tc>
          <w:tcPr>
            <w:tcW w:w="492" w:type="dxa"/>
            <w:tcBorders>
              <w:top w:val="nil"/>
              <w:left w:val="nil"/>
              <w:bottom w:val="nil"/>
              <w:right w:val="nil"/>
            </w:tcBorders>
          </w:tcPr>
          <w:p w14:paraId="0D88B150">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3,289,317</w:t>
            </w:r>
          </w:p>
        </w:tc>
        <w:tc>
          <w:tcPr>
            <w:tcW w:w="510" w:type="dxa"/>
            <w:tcBorders>
              <w:top w:val="nil"/>
              <w:left w:val="nil"/>
              <w:bottom w:val="nil"/>
              <w:right w:val="nil"/>
            </w:tcBorders>
          </w:tcPr>
          <w:p w14:paraId="5006F54C">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3,395,946</w:t>
            </w:r>
          </w:p>
        </w:tc>
        <w:tc>
          <w:tcPr>
            <w:tcW w:w="500" w:type="dxa"/>
            <w:tcBorders>
              <w:top w:val="nil"/>
              <w:left w:val="nil"/>
              <w:bottom w:val="nil"/>
              <w:right w:val="nil"/>
            </w:tcBorders>
          </w:tcPr>
          <w:p w14:paraId="35FD3708">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3,505,493</w:t>
            </w:r>
          </w:p>
        </w:tc>
        <w:tc>
          <w:tcPr>
            <w:tcW w:w="476" w:type="dxa"/>
            <w:tcBorders>
              <w:top w:val="nil"/>
              <w:left w:val="nil"/>
              <w:bottom w:val="nil"/>
              <w:right w:val="nil"/>
            </w:tcBorders>
          </w:tcPr>
          <w:p w14:paraId="4E350040">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3,617,904</w:t>
            </w:r>
          </w:p>
        </w:tc>
        <w:tc>
          <w:tcPr>
            <w:tcW w:w="476" w:type="dxa"/>
            <w:tcBorders>
              <w:top w:val="nil"/>
              <w:left w:val="nil"/>
              <w:bottom w:val="nil"/>
              <w:right w:val="nil"/>
            </w:tcBorders>
          </w:tcPr>
          <w:p w14:paraId="625788FD">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3,725,751</w:t>
            </w:r>
          </w:p>
        </w:tc>
        <w:tc>
          <w:tcPr>
            <w:tcW w:w="492" w:type="dxa"/>
            <w:tcBorders>
              <w:top w:val="nil"/>
              <w:left w:val="nil"/>
              <w:bottom w:val="nil"/>
              <w:right w:val="nil"/>
            </w:tcBorders>
          </w:tcPr>
          <w:p w14:paraId="532F47C6">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3,828,099</w:t>
            </w:r>
          </w:p>
        </w:tc>
        <w:tc>
          <w:tcPr>
            <w:tcW w:w="503" w:type="dxa"/>
            <w:tcBorders>
              <w:top w:val="nil"/>
              <w:left w:val="nil"/>
              <w:bottom w:val="nil"/>
              <w:right w:val="nil"/>
            </w:tcBorders>
          </w:tcPr>
          <w:p w14:paraId="57E1460E">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3,924,082</w:t>
            </w:r>
          </w:p>
        </w:tc>
        <w:tc>
          <w:tcPr>
            <w:tcW w:w="510" w:type="dxa"/>
            <w:tcBorders>
              <w:top w:val="nil"/>
              <w:left w:val="nil"/>
              <w:bottom w:val="nil"/>
              <w:right w:val="nil"/>
            </w:tcBorders>
          </w:tcPr>
          <w:p w14:paraId="784959BB">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4,013,047</w:t>
            </w:r>
          </w:p>
        </w:tc>
        <w:tc>
          <w:tcPr>
            <w:tcW w:w="495" w:type="dxa"/>
            <w:tcBorders>
              <w:top w:val="nil"/>
              <w:left w:val="nil"/>
              <w:bottom w:val="nil"/>
              <w:right w:val="nil"/>
            </w:tcBorders>
          </w:tcPr>
          <w:p w14:paraId="31044230">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4,094,739</w:t>
            </w:r>
          </w:p>
        </w:tc>
        <w:tc>
          <w:tcPr>
            <w:tcW w:w="482" w:type="dxa"/>
            <w:tcBorders>
              <w:top w:val="nil"/>
              <w:left w:val="nil"/>
              <w:bottom w:val="nil"/>
              <w:right w:val="nil"/>
            </w:tcBorders>
          </w:tcPr>
          <w:p w14:paraId="0B6BEA9B">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4,175,020</w:t>
            </w:r>
          </w:p>
        </w:tc>
        <w:tc>
          <w:tcPr>
            <w:tcW w:w="495" w:type="dxa"/>
            <w:tcBorders>
              <w:top w:val="nil"/>
              <w:left w:val="nil"/>
              <w:bottom w:val="nil"/>
              <w:right w:val="nil"/>
            </w:tcBorders>
          </w:tcPr>
          <w:p w14:paraId="4613F481">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4,253,698</w:t>
            </w:r>
          </w:p>
        </w:tc>
        <w:tc>
          <w:tcPr>
            <w:tcW w:w="476" w:type="dxa"/>
            <w:tcBorders>
              <w:top w:val="nil"/>
              <w:left w:val="nil"/>
              <w:bottom w:val="nil"/>
              <w:right w:val="nil"/>
            </w:tcBorders>
          </w:tcPr>
          <w:p w14:paraId="0697DB8C">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4,330,767</w:t>
            </w:r>
          </w:p>
        </w:tc>
        <w:tc>
          <w:tcPr>
            <w:tcW w:w="476" w:type="dxa"/>
            <w:tcBorders>
              <w:top w:val="nil"/>
              <w:left w:val="nil"/>
              <w:bottom w:val="nil"/>
              <w:right w:val="nil"/>
            </w:tcBorders>
          </w:tcPr>
          <w:p w14:paraId="0ACE45CE">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4,406,204</w:t>
            </w:r>
          </w:p>
        </w:tc>
      </w:tr>
      <w:tr w14:paraId="386DB276">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3349F10B">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DELTA</w:t>
            </w:r>
          </w:p>
        </w:tc>
        <w:tc>
          <w:tcPr>
            <w:tcW w:w="671" w:type="dxa"/>
            <w:tcBorders>
              <w:top w:val="nil"/>
              <w:left w:val="nil"/>
              <w:bottom w:val="nil"/>
              <w:right w:val="nil"/>
            </w:tcBorders>
          </w:tcPr>
          <w:p w14:paraId="36B10531">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4,112,445</w:t>
            </w:r>
          </w:p>
        </w:tc>
        <w:tc>
          <w:tcPr>
            <w:tcW w:w="486" w:type="dxa"/>
            <w:tcBorders>
              <w:top w:val="nil"/>
              <w:left w:val="nil"/>
              <w:bottom w:val="nil"/>
              <w:right w:val="nil"/>
            </w:tcBorders>
          </w:tcPr>
          <w:p w14:paraId="40210C9B">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4,192,014</w:t>
            </w:r>
          </w:p>
        </w:tc>
        <w:tc>
          <w:tcPr>
            <w:tcW w:w="480" w:type="dxa"/>
            <w:tcBorders>
              <w:top w:val="nil"/>
              <w:left w:val="nil"/>
              <w:bottom w:val="nil"/>
              <w:right w:val="nil"/>
            </w:tcBorders>
          </w:tcPr>
          <w:p w14:paraId="4EED6E0D">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4,275,075</w:t>
            </w:r>
          </w:p>
        </w:tc>
        <w:tc>
          <w:tcPr>
            <w:tcW w:w="484" w:type="dxa"/>
            <w:tcBorders>
              <w:top w:val="nil"/>
              <w:left w:val="nil"/>
              <w:bottom w:val="nil"/>
              <w:right w:val="nil"/>
            </w:tcBorders>
          </w:tcPr>
          <w:p w14:paraId="05A3B71A">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4,358,889</w:t>
            </w:r>
          </w:p>
        </w:tc>
        <w:tc>
          <w:tcPr>
            <w:tcW w:w="492" w:type="dxa"/>
            <w:tcBorders>
              <w:top w:val="nil"/>
              <w:left w:val="nil"/>
              <w:bottom w:val="nil"/>
              <w:right w:val="nil"/>
            </w:tcBorders>
          </w:tcPr>
          <w:p w14:paraId="74B413C5">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4,443,441</w:t>
            </w:r>
          </w:p>
        </w:tc>
        <w:tc>
          <w:tcPr>
            <w:tcW w:w="510" w:type="dxa"/>
            <w:tcBorders>
              <w:top w:val="nil"/>
              <w:left w:val="nil"/>
              <w:bottom w:val="nil"/>
              <w:right w:val="nil"/>
            </w:tcBorders>
          </w:tcPr>
          <w:p w14:paraId="3B6756AA">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4,528,537</w:t>
            </w:r>
          </w:p>
        </w:tc>
        <w:tc>
          <w:tcPr>
            <w:tcW w:w="500" w:type="dxa"/>
            <w:tcBorders>
              <w:top w:val="nil"/>
              <w:left w:val="nil"/>
              <w:bottom w:val="nil"/>
              <w:right w:val="nil"/>
            </w:tcBorders>
          </w:tcPr>
          <w:p w14:paraId="06749965">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4,613,842</w:t>
            </w:r>
          </w:p>
        </w:tc>
        <w:tc>
          <w:tcPr>
            <w:tcW w:w="476" w:type="dxa"/>
            <w:tcBorders>
              <w:top w:val="nil"/>
              <w:left w:val="nil"/>
              <w:bottom w:val="nil"/>
              <w:right w:val="nil"/>
            </w:tcBorders>
          </w:tcPr>
          <w:p w14:paraId="422D5ECE">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4,699,157</w:t>
            </w:r>
          </w:p>
        </w:tc>
        <w:tc>
          <w:tcPr>
            <w:tcW w:w="476" w:type="dxa"/>
            <w:tcBorders>
              <w:top w:val="nil"/>
              <w:left w:val="nil"/>
              <w:bottom w:val="nil"/>
              <w:right w:val="nil"/>
            </w:tcBorders>
          </w:tcPr>
          <w:p w14:paraId="619AD7A1">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4,789,960</w:t>
            </w:r>
          </w:p>
        </w:tc>
        <w:tc>
          <w:tcPr>
            <w:tcW w:w="492" w:type="dxa"/>
            <w:tcBorders>
              <w:top w:val="nil"/>
              <w:left w:val="nil"/>
              <w:bottom w:val="nil"/>
              <w:right w:val="nil"/>
            </w:tcBorders>
          </w:tcPr>
          <w:p w14:paraId="0C4F30AE">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4,885,710</w:t>
            </w:r>
          </w:p>
        </w:tc>
        <w:tc>
          <w:tcPr>
            <w:tcW w:w="503" w:type="dxa"/>
            <w:tcBorders>
              <w:top w:val="nil"/>
              <w:left w:val="nil"/>
              <w:bottom w:val="nil"/>
              <w:right w:val="nil"/>
            </w:tcBorders>
          </w:tcPr>
          <w:p w14:paraId="550B39FC">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4,985,899</w:t>
            </w:r>
          </w:p>
        </w:tc>
        <w:tc>
          <w:tcPr>
            <w:tcW w:w="510" w:type="dxa"/>
            <w:tcBorders>
              <w:top w:val="nil"/>
              <w:left w:val="nil"/>
              <w:bottom w:val="nil"/>
              <w:right w:val="nil"/>
            </w:tcBorders>
          </w:tcPr>
          <w:p w14:paraId="2ABC49EC">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5,090,103</w:t>
            </w:r>
          </w:p>
        </w:tc>
        <w:tc>
          <w:tcPr>
            <w:tcW w:w="495" w:type="dxa"/>
            <w:tcBorders>
              <w:top w:val="nil"/>
              <w:left w:val="nil"/>
              <w:bottom w:val="nil"/>
              <w:right w:val="nil"/>
            </w:tcBorders>
          </w:tcPr>
          <w:p w14:paraId="146CA041">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5,198,675</w:t>
            </w:r>
          </w:p>
        </w:tc>
        <w:tc>
          <w:tcPr>
            <w:tcW w:w="482" w:type="dxa"/>
            <w:tcBorders>
              <w:top w:val="nil"/>
              <w:left w:val="nil"/>
              <w:bottom w:val="nil"/>
              <w:right w:val="nil"/>
            </w:tcBorders>
          </w:tcPr>
          <w:p w14:paraId="264C95F6">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5,307,543</w:t>
            </w:r>
          </w:p>
        </w:tc>
        <w:tc>
          <w:tcPr>
            <w:tcW w:w="495" w:type="dxa"/>
            <w:tcBorders>
              <w:top w:val="nil"/>
              <w:left w:val="nil"/>
              <w:bottom w:val="nil"/>
              <w:right w:val="nil"/>
            </w:tcBorders>
          </w:tcPr>
          <w:p w14:paraId="6321C89F">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5,416,738</w:t>
            </w:r>
          </w:p>
        </w:tc>
        <w:tc>
          <w:tcPr>
            <w:tcW w:w="476" w:type="dxa"/>
            <w:tcBorders>
              <w:top w:val="nil"/>
              <w:left w:val="nil"/>
              <w:bottom w:val="nil"/>
              <w:right w:val="nil"/>
            </w:tcBorders>
          </w:tcPr>
          <w:p w14:paraId="221A55D4">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5,526,218</w:t>
            </w:r>
          </w:p>
        </w:tc>
        <w:tc>
          <w:tcPr>
            <w:tcW w:w="476" w:type="dxa"/>
            <w:tcBorders>
              <w:top w:val="nil"/>
              <w:left w:val="nil"/>
              <w:bottom w:val="nil"/>
              <w:right w:val="nil"/>
            </w:tcBorders>
          </w:tcPr>
          <w:p w14:paraId="675B663A">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5,636,145</w:t>
            </w:r>
          </w:p>
        </w:tc>
      </w:tr>
      <w:tr w14:paraId="492C4453">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63642837">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EBONYI</w:t>
            </w:r>
          </w:p>
        </w:tc>
        <w:tc>
          <w:tcPr>
            <w:tcW w:w="671" w:type="dxa"/>
            <w:tcBorders>
              <w:top w:val="nil"/>
              <w:left w:val="nil"/>
              <w:bottom w:val="nil"/>
              <w:right w:val="nil"/>
            </w:tcBorders>
          </w:tcPr>
          <w:p w14:paraId="1467AD89">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2,176,947</w:t>
            </w:r>
          </w:p>
        </w:tc>
        <w:tc>
          <w:tcPr>
            <w:tcW w:w="486" w:type="dxa"/>
            <w:tcBorders>
              <w:top w:val="nil"/>
              <w:left w:val="nil"/>
              <w:bottom w:val="nil"/>
              <w:right w:val="nil"/>
            </w:tcBorders>
          </w:tcPr>
          <w:p w14:paraId="6879154B">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2,230,021</w:t>
            </w:r>
          </w:p>
        </w:tc>
        <w:tc>
          <w:tcPr>
            <w:tcW w:w="480" w:type="dxa"/>
            <w:tcBorders>
              <w:top w:val="nil"/>
              <w:left w:val="nil"/>
              <w:bottom w:val="nil"/>
              <w:right w:val="nil"/>
            </w:tcBorders>
          </w:tcPr>
          <w:p w14:paraId="0832C4C0">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2,285,259</w:t>
            </w:r>
          </w:p>
        </w:tc>
        <w:tc>
          <w:tcPr>
            <w:tcW w:w="484" w:type="dxa"/>
            <w:tcBorders>
              <w:top w:val="nil"/>
              <w:left w:val="nil"/>
              <w:bottom w:val="nil"/>
              <w:right w:val="nil"/>
            </w:tcBorders>
          </w:tcPr>
          <w:p w14:paraId="1EB2BFCF">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2,342,009</w:t>
            </w:r>
          </w:p>
        </w:tc>
        <w:tc>
          <w:tcPr>
            <w:tcW w:w="492" w:type="dxa"/>
            <w:tcBorders>
              <w:top w:val="nil"/>
              <w:left w:val="nil"/>
              <w:bottom w:val="nil"/>
              <w:right w:val="nil"/>
            </w:tcBorders>
          </w:tcPr>
          <w:p w14:paraId="4A753BAB">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2,400,297</w:t>
            </w:r>
          </w:p>
        </w:tc>
        <w:tc>
          <w:tcPr>
            <w:tcW w:w="510" w:type="dxa"/>
            <w:tcBorders>
              <w:top w:val="nil"/>
              <w:left w:val="nil"/>
              <w:bottom w:val="nil"/>
              <w:right w:val="nil"/>
            </w:tcBorders>
          </w:tcPr>
          <w:p w14:paraId="0E7EF64D">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2,460,053</w:t>
            </w:r>
          </w:p>
        </w:tc>
        <w:tc>
          <w:tcPr>
            <w:tcW w:w="500" w:type="dxa"/>
            <w:tcBorders>
              <w:top w:val="nil"/>
              <w:left w:val="nil"/>
              <w:bottom w:val="nil"/>
              <w:right w:val="nil"/>
            </w:tcBorders>
          </w:tcPr>
          <w:p w14:paraId="37BBA005">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2,521,131</w:t>
            </w:r>
          </w:p>
        </w:tc>
        <w:tc>
          <w:tcPr>
            <w:tcW w:w="476" w:type="dxa"/>
            <w:tcBorders>
              <w:top w:val="nil"/>
              <w:left w:val="nil"/>
              <w:bottom w:val="nil"/>
              <w:right w:val="nil"/>
            </w:tcBorders>
          </w:tcPr>
          <w:p w14:paraId="33F6B490">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2,583,471</w:t>
            </w:r>
          </w:p>
        </w:tc>
        <w:tc>
          <w:tcPr>
            <w:tcW w:w="476" w:type="dxa"/>
            <w:tcBorders>
              <w:top w:val="nil"/>
              <w:left w:val="nil"/>
              <w:bottom w:val="nil"/>
              <w:right w:val="nil"/>
            </w:tcBorders>
          </w:tcPr>
          <w:p w14:paraId="1A79BC80">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2,648,349</w:t>
            </w:r>
          </w:p>
        </w:tc>
        <w:tc>
          <w:tcPr>
            <w:tcW w:w="492" w:type="dxa"/>
            <w:tcBorders>
              <w:top w:val="nil"/>
              <w:left w:val="nil"/>
              <w:bottom w:val="nil"/>
              <w:right w:val="nil"/>
            </w:tcBorders>
          </w:tcPr>
          <w:p w14:paraId="4B413937">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2,715,675</w:t>
            </w:r>
          </w:p>
        </w:tc>
        <w:tc>
          <w:tcPr>
            <w:tcW w:w="503" w:type="dxa"/>
            <w:tcBorders>
              <w:top w:val="nil"/>
              <w:left w:val="nil"/>
              <w:bottom w:val="nil"/>
              <w:right w:val="nil"/>
            </w:tcBorders>
          </w:tcPr>
          <w:p w14:paraId="203CCE18">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2,785,306</w:t>
            </w:r>
          </w:p>
        </w:tc>
        <w:tc>
          <w:tcPr>
            <w:tcW w:w="510" w:type="dxa"/>
            <w:tcBorders>
              <w:top w:val="nil"/>
              <w:left w:val="nil"/>
              <w:bottom w:val="nil"/>
              <w:right w:val="nil"/>
            </w:tcBorders>
          </w:tcPr>
          <w:p w14:paraId="57BB43C3">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2,857,120</w:t>
            </w:r>
          </w:p>
        </w:tc>
        <w:tc>
          <w:tcPr>
            <w:tcW w:w="495" w:type="dxa"/>
            <w:tcBorders>
              <w:top w:val="nil"/>
              <w:left w:val="nil"/>
              <w:bottom w:val="nil"/>
              <w:right w:val="nil"/>
            </w:tcBorders>
          </w:tcPr>
          <w:p w14:paraId="46236FE6">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2,931,444</w:t>
            </w:r>
          </w:p>
        </w:tc>
        <w:tc>
          <w:tcPr>
            <w:tcW w:w="482" w:type="dxa"/>
            <w:tcBorders>
              <w:top w:val="nil"/>
              <w:left w:val="nil"/>
              <w:bottom w:val="nil"/>
              <w:right w:val="nil"/>
            </w:tcBorders>
          </w:tcPr>
          <w:p w14:paraId="58889F26">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2,931,444</w:t>
            </w:r>
          </w:p>
        </w:tc>
        <w:tc>
          <w:tcPr>
            <w:tcW w:w="495" w:type="dxa"/>
            <w:tcBorders>
              <w:top w:val="nil"/>
              <w:left w:val="nil"/>
              <w:bottom w:val="nil"/>
              <w:right w:val="nil"/>
            </w:tcBorders>
          </w:tcPr>
          <w:p w14:paraId="0C4E516B">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3,084,214</w:t>
            </w:r>
          </w:p>
        </w:tc>
        <w:tc>
          <w:tcPr>
            <w:tcW w:w="476" w:type="dxa"/>
            <w:tcBorders>
              <w:top w:val="nil"/>
              <w:left w:val="nil"/>
              <w:bottom w:val="nil"/>
              <w:right w:val="nil"/>
            </w:tcBorders>
          </w:tcPr>
          <w:p w14:paraId="33963CD4">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3,162,510</w:t>
            </w:r>
          </w:p>
        </w:tc>
        <w:tc>
          <w:tcPr>
            <w:tcW w:w="476" w:type="dxa"/>
            <w:tcBorders>
              <w:top w:val="nil"/>
              <w:left w:val="nil"/>
              <w:bottom w:val="nil"/>
              <w:right w:val="nil"/>
            </w:tcBorders>
          </w:tcPr>
          <w:p w14:paraId="25A86B62">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3,242,518</w:t>
            </w:r>
          </w:p>
        </w:tc>
      </w:tr>
      <w:tr w14:paraId="1D8066E5">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4246070F">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EDO</w:t>
            </w:r>
          </w:p>
        </w:tc>
        <w:tc>
          <w:tcPr>
            <w:tcW w:w="671" w:type="dxa"/>
            <w:tcBorders>
              <w:top w:val="nil"/>
              <w:left w:val="nil"/>
              <w:bottom w:val="nil"/>
              <w:right w:val="nil"/>
            </w:tcBorders>
          </w:tcPr>
          <w:p w14:paraId="13899B4D">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3,233,366</w:t>
            </w:r>
          </w:p>
        </w:tc>
        <w:tc>
          <w:tcPr>
            <w:tcW w:w="486" w:type="dxa"/>
            <w:tcBorders>
              <w:top w:val="nil"/>
              <w:left w:val="nil"/>
              <w:bottom w:val="nil"/>
              <w:right w:val="nil"/>
            </w:tcBorders>
          </w:tcPr>
          <w:p w14:paraId="21178C13">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3,322,668</w:t>
            </w:r>
          </w:p>
        </w:tc>
        <w:tc>
          <w:tcPr>
            <w:tcW w:w="480" w:type="dxa"/>
            <w:tcBorders>
              <w:top w:val="nil"/>
              <w:left w:val="nil"/>
              <w:bottom w:val="nil"/>
              <w:right w:val="nil"/>
            </w:tcBorders>
          </w:tcPr>
          <w:p w14:paraId="1F658A19">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3,414,774</w:t>
            </w:r>
          </w:p>
        </w:tc>
        <w:tc>
          <w:tcPr>
            <w:tcW w:w="484" w:type="dxa"/>
            <w:tcBorders>
              <w:top w:val="nil"/>
              <w:left w:val="nil"/>
              <w:bottom w:val="nil"/>
              <w:right w:val="nil"/>
            </w:tcBorders>
          </w:tcPr>
          <w:p w14:paraId="156FA8B7">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3,505,653</w:t>
            </w:r>
          </w:p>
        </w:tc>
        <w:tc>
          <w:tcPr>
            <w:tcW w:w="492" w:type="dxa"/>
            <w:tcBorders>
              <w:top w:val="nil"/>
              <w:left w:val="nil"/>
              <w:bottom w:val="nil"/>
              <w:right w:val="nil"/>
            </w:tcBorders>
          </w:tcPr>
          <w:p w14:paraId="77A840D4">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3,595,335</w:t>
            </w:r>
          </w:p>
        </w:tc>
        <w:tc>
          <w:tcPr>
            <w:tcW w:w="510" w:type="dxa"/>
            <w:tcBorders>
              <w:top w:val="nil"/>
              <w:left w:val="nil"/>
              <w:bottom w:val="nil"/>
              <w:right w:val="nil"/>
            </w:tcBorders>
          </w:tcPr>
          <w:p w14:paraId="0CCC08BE">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3,683,611</w:t>
            </w:r>
          </w:p>
        </w:tc>
        <w:tc>
          <w:tcPr>
            <w:tcW w:w="500" w:type="dxa"/>
            <w:tcBorders>
              <w:top w:val="nil"/>
              <w:left w:val="nil"/>
              <w:bottom w:val="nil"/>
              <w:right w:val="nil"/>
            </w:tcBorders>
          </w:tcPr>
          <w:p w14:paraId="0A782117">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3,770,141</w:t>
            </w:r>
          </w:p>
        </w:tc>
        <w:tc>
          <w:tcPr>
            <w:tcW w:w="476" w:type="dxa"/>
            <w:tcBorders>
              <w:top w:val="nil"/>
              <w:left w:val="nil"/>
              <w:bottom w:val="nil"/>
              <w:right w:val="nil"/>
            </w:tcBorders>
          </w:tcPr>
          <w:p w14:paraId="3D9A2E72">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3,854,642</w:t>
            </w:r>
          </w:p>
        </w:tc>
        <w:tc>
          <w:tcPr>
            <w:tcW w:w="476" w:type="dxa"/>
            <w:tcBorders>
              <w:top w:val="nil"/>
              <w:left w:val="nil"/>
              <w:bottom w:val="nil"/>
              <w:right w:val="nil"/>
            </w:tcBorders>
          </w:tcPr>
          <w:p w14:paraId="5EF4A301">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3,944,847</w:t>
            </w:r>
          </w:p>
        </w:tc>
        <w:tc>
          <w:tcPr>
            <w:tcW w:w="492" w:type="dxa"/>
            <w:tcBorders>
              <w:top w:val="nil"/>
              <w:left w:val="nil"/>
              <w:bottom w:val="nil"/>
              <w:right w:val="nil"/>
            </w:tcBorders>
          </w:tcPr>
          <w:p w14:paraId="6A1E442A">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4,040,178</w:t>
            </w:r>
          </w:p>
        </w:tc>
        <w:tc>
          <w:tcPr>
            <w:tcW w:w="503" w:type="dxa"/>
            <w:tcBorders>
              <w:top w:val="nil"/>
              <w:left w:val="nil"/>
              <w:bottom w:val="nil"/>
              <w:right w:val="nil"/>
            </w:tcBorders>
          </w:tcPr>
          <w:p w14:paraId="2629E131">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4,140,181</w:t>
            </w:r>
          </w:p>
        </w:tc>
        <w:tc>
          <w:tcPr>
            <w:tcW w:w="510" w:type="dxa"/>
            <w:tcBorders>
              <w:top w:val="nil"/>
              <w:left w:val="nil"/>
              <w:bottom w:val="nil"/>
              <w:right w:val="nil"/>
            </w:tcBorders>
          </w:tcPr>
          <w:p w14:paraId="2FB0D7CA">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4,244,511</w:t>
            </w:r>
          </w:p>
        </w:tc>
        <w:tc>
          <w:tcPr>
            <w:tcW w:w="495" w:type="dxa"/>
            <w:tcBorders>
              <w:top w:val="nil"/>
              <w:left w:val="nil"/>
              <w:bottom w:val="nil"/>
              <w:right w:val="nil"/>
            </w:tcBorders>
          </w:tcPr>
          <w:p w14:paraId="2E5322B2">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4,353,500</w:t>
            </w:r>
          </w:p>
        </w:tc>
        <w:tc>
          <w:tcPr>
            <w:tcW w:w="482" w:type="dxa"/>
            <w:tcBorders>
              <w:top w:val="nil"/>
              <w:left w:val="nil"/>
              <w:bottom w:val="nil"/>
              <w:right w:val="nil"/>
            </w:tcBorders>
          </w:tcPr>
          <w:p w14:paraId="4666D6FD">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4,461,137</w:t>
            </w:r>
          </w:p>
        </w:tc>
        <w:tc>
          <w:tcPr>
            <w:tcW w:w="495" w:type="dxa"/>
            <w:tcBorders>
              <w:top w:val="nil"/>
              <w:left w:val="nil"/>
              <w:bottom w:val="nil"/>
              <w:right w:val="nil"/>
            </w:tcBorders>
          </w:tcPr>
          <w:p w14:paraId="725276F5">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4,567,512</w:t>
            </w:r>
          </w:p>
        </w:tc>
        <w:tc>
          <w:tcPr>
            <w:tcW w:w="476" w:type="dxa"/>
            <w:tcBorders>
              <w:top w:val="nil"/>
              <w:left w:val="nil"/>
              <w:bottom w:val="nil"/>
              <w:right w:val="nil"/>
            </w:tcBorders>
          </w:tcPr>
          <w:p w14:paraId="60AA870B">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4,672,707</w:t>
            </w:r>
          </w:p>
        </w:tc>
        <w:tc>
          <w:tcPr>
            <w:tcW w:w="476" w:type="dxa"/>
            <w:tcBorders>
              <w:top w:val="nil"/>
              <w:left w:val="nil"/>
              <w:bottom w:val="nil"/>
              <w:right w:val="nil"/>
            </w:tcBorders>
          </w:tcPr>
          <w:p w14:paraId="090B9C86">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4,777,042</w:t>
            </w:r>
          </w:p>
        </w:tc>
      </w:tr>
      <w:tr w14:paraId="0BAA5D0E">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61F82B18">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EKITI</w:t>
            </w:r>
          </w:p>
        </w:tc>
        <w:tc>
          <w:tcPr>
            <w:tcW w:w="671" w:type="dxa"/>
            <w:tcBorders>
              <w:top w:val="nil"/>
              <w:left w:val="nil"/>
              <w:bottom w:val="nil"/>
              <w:right w:val="nil"/>
            </w:tcBorders>
          </w:tcPr>
          <w:p w14:paraId="089A11A3">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2,398,957</w:t>
            </w:r>
          </w:p>
        </w:tc>
        <w:tc>
          <w:tcPr>
            <w:tcW w:w="486" w:type="dxa"/>
            <w:tcBorders>
              <w:top w:val="nil"/>
              <w:left w:val="nil"/>
              <w:bottom w:val="nil"/>
              <w:right w:val="nil"/>
            </w:tcBorders>
          </w:tcPr>
          <w:p w14:paraId="19A34C7F">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2,464,735</w:t>
            </w:r>
          </w:p>
        </w:tc>
        <w:tc>
          <w:tcPr>
            <w:tcW w:w="480" w:type="dxa"/>
            <w:tcBorders>
              <w:top w:val="nil"/>
              <w:left w:val="nil"/>
              <w:bottom w:val="nil"/>
              <w:right w:val="nil"/>
            </w:tcBorders>
          </w:tcPr>
          <w:p w14:paraId="28BA530B">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2,532,953</w:t>
            </w:r>
          </w:p>
        </w:tc>
        <w:tc>
          <w:tcPr>
            <w:tcW w:w="484" w:type="dxa"/>
            <w:tcBorders>
              <w:top w:val="nil"/>
              <w:left w:val="nil"/>
              <w:bottom w:val="nil"/>
              <w:right w:val="nil"/>
            </w:tcBorders>
          </w:tcPr>
          <w:p w14:paraId="0F109B99">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2,601,870</w:t>
            </w:r>
          </w:p>
        </w:tc>
        <w:tc>
          <w:tcPr>
            <w:tcW w:w="492" w:type="dxa"/>
            <w:tcBorders>
              <w:top w:val="nil"/>
              <w:left w:val="nil"/>
              <w:bottom w:val="nil"/>
              <w:right w:val="nil"/>
            </w:tcBorders>
          </w:tcPr>
          <w:p w14:paraId="0B2E04D1">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2,671,288</w:t>
            </w:r>
          </w:p>
        </w:tc>
        <w:tc>
          <w:tcPr>
            <w:tcW w:w="510" w:type="dxa"/>
            <w:tcBorders>
              <w:top w:val="nil"/>
              <w:left w:val="nil"/>
              <w:bottom w:val="nil"/>
              <w:right w:val="nil"/>
            </w:tcBorders>
          </w:tcPr>
          <w:p w14:paraId="7F7B7D4B">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2,740,939</w:t>
            </w:r>
          </w:p>
        </w:tc>
        <w:tc>
          <w:tcPr>
            <w:tcW w:w="500" w:type="dxa"/>
            <w:tcBorders>
              <w:top w:val="nil"/>
              <w:left w:val="nil"/>
              <w:bottom w:val="nil"/>
              <w:right w:val="nil"/>
            </w:tcBorders>
          </w:tcPr>
          <w:p w14:paraId="3F82AF5D">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2,810,358</w:t>
            </w:r>
          </w:p>
        </w:tc>
        <w:tc>
          <w:tcPr>
            <w:tcW w:w="476" w:type="dxa"/>
            <w:tcBorders>
              <w:top w:val="nil"/>
              <w:left w:val="nil"/>
              <w:bottom w:val="nil"/>
              <w:right w:val="nil"/>
            </w:tcBorders>
          </w:tcPr>
          <w:p w14:paraId="138E6C36">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2,879,180</w:t>
            </w:r>
          </w:p>
        </w:tc>
        <w:tc>
          <w:tcPr>
            <w:tcW w:w="476" w:type="dxa"/>
            <w:tcBorders>
              <w:top w:val="nil"/>
              <w:left w:val="nil"/>
              <w:bottom w:val="nil"/>
              <w:right w:val="nil"/>
            </w:tcBorders>
          </w:tcPr>
          <w:p w14:paraId="59DA1CE5">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2,951,454</w:t>
            </w:r>
          </w:p>
        </w:tc>
        <w:tc>
          <w:tcPr>
            <w:tcW w:w="492" w:type="dxa"/>
            <w:tcBorders>
              <w:top w:val="nil"/>
              <w:left w:val="nil"/>
              <w:bottom w:val="nil"/>
              <w:right w:val="nil"/>
            </w:tcBorders>
          </w:tcPr>
          <w:p w14:paraId="1F936FC2">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2,951,454</w:t>
            </w:r>
          </w:p>
        </w:tc>
        <w:tc>
          <w:tcPr>
            <w:tcW w:w="503" w:type="dxa"/>
            <w:tcBorders>
              <w:top w:val="nil"/>
              <w:left w:val="nil"/>
              <w:bottom w:val="nil"/>
              <w:right w:val="nil"/>
            </w:tcBorders>
          </w:tcPr>
          <w:p w14:paraId="763334E6">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3,104,755</w:t>
            </w:r>
          </w:p>
        </w:tc>
        <w:tc>
          <w:tcPr>
            <w:tcW w:w="510" w:type="dxa"/>
            <w:tcBorders>
              <w:top w:val="nil"/>
              <w:left w:val="nil"/>
              <w:bottom w:val="nil"/>
              <w:right w:val="nil"/>
            </w:tcBorders>
          </w:tcPr>
          <w:p w14:paraId="25814A13">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3,185,220</w:t>
            </w:r>
          </w:p>
        </w:tc>
        <w:tc>
          <w:tcPr>
            <w:tcW w:w="495" w:type="dxa"/>
            <w:tcBorders>
              <w:top w:val="nil"/>
              <w:left w:val="nil"/>
              <w:bottom w:val="nil"/>
              <w:right w:val="nil"/>
            </w:tcBorders>
          </w:tcPr>
          <w:p w14:paraId="6C0391BE">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3,268,175</w:t>
            </w:r>
          </w:p>
        </w:tc>
        <w:tc>
          <w:tcPr>
            <w:tcW w:w="482" w:type="dxa"/>
            <w:tcBorders>
              <w:top w:val="nil"/>
              <w:left w:val="nil"/>
              <w:bottom w:val="nil"/>
              <w:right w:val="nil"/>
            </w:tcBorders>
          </w:tcPr>
          <w:p w14:paraId="5FFB13DE">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3,350,401</w:t>
            </w:r>
          </w:p>
        </w:tc>
        <w:tc>
          <w:tcPr>
            <w:tcW w:w="495" w:type="dxa"/>
            <w:tcBorders>
              <w:top w:val="nil"/>
              <w:left w:val="nil"/>
              <w:bottom w:val="nil"/>
              <w:right w:val="nil"/>
            </w:tcBorders>
          </w:tcPr>
          <w:p w14:paraId="3E361094">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3,431,742</w:t>
            </w:r>
          </w:p>
        </w:tc>
        <w:tc>
          <w:tcPr>
            <w:tcW w:w="476" w:type="dxa"/>
            <w:tcBorders>
              <w:top w:val="nil"/>
              <w:left w:val="nil"/>
              <w:bottom w:val="nil"/>
              <w:right w:val="nil"/>
            </w:tcBorders>
          </w:tcPr>
          <w:p w14:paraId="3B26CAF1">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3,512,293</w:t>
            </w:r>
          </w:p>
        </w:tc>
        <w:tc>
          <w:tcPr>
            <w:tcW w:w="476" w:type="dxa"/>
            <w:tcBorders>
              <w:top w:val="nil"/>
              <w:left w:val="nil"/>
              <w:bottom w:val="nil"/>
              <w:right w:val="nil"/>
            </w:tcBorders>
          </w:tcPr>
          <w:p w14:paraId="5A445CD6">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3,592,163</w:t>
            </w:r>
          </w:p>
        </w:tc>
      </w:tr>
      <w:tr w14:paraId="2B612649">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21C0975D">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ENUGU</w:t>
            </w:r>
          </w:p>
        </w:tc>
        <w:tc>
          <w:tcPr>
            <w:tcW w:w="671" w:type="dxa"/>
            <w:tcBorders>
              <w:top w:val="nil"/>
              <w:left w:val="nil"/>
              <w:bottom w:val="nil"/>
              <w:right w:val="nil"/>
            </w:tcBorders>
          </w:tcPr>
          <w:p w14:paraId="747B83E1">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3,267,837</w:t>
            </w:r>
          </w:p>
        </w:tc>
        <w:tc>
          <w:tcPr>
            <w:tcW w:w="486" w:type="dxa"/>
            <w:tcBorders>
              <w:top w:val="nil"/>
              <w:left w:val="nil"/>
              <w:bottom w:val="nil"/>
              <w:right w:val="nil"/>
            </w:tcBorders>
          </w:tcPr>
          <w:p w14:paraId="417F3850">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3,332,691</w:t>
            </w:r>
          </w:p>
        </w:tc>
        <w:tc>
          <w:tcPr>
            <w:tcW w:w="480" w:type="dxa"/>
            <w:tcBorders>
              <w:top w:val="nil"/>
              <w:left w:val="nil"/>
              <w:bottom w:val="nil"/>
              <w:right w:val="nil"/>
            </w:tcBorders>
          </w:tcPr>
          <w:p w14:paraId="48A02C5B">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3,400,471</w:t>
            </w:r>
          </w:p>
        </w:tc>
        <w:tc>
          <w:tcPr>
            <w:tcW w:w="484" w:type="dxa"/>
            <w:tcBorders>
              <w:top w:val="nil"/>
              <w:left w:val="nil"/>
              <w:bottom w:val="nil"/>
              <w:right w:val="nil"/>
            </w:tcBorders>
          </w:tcPr>
          <w:p w14:paraId="43D269FD">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3,473,924</w:t>
            </w:r>
          </w:p>
        </w:tc>
        <w:tc>
          <w:tcPr>
            <w:tcW w:w="492" w:type="dxa"/>
            <w:tcBorders>
              <w:top w:val="nil"/>
              <w:left w:val="nil"/>
              <w:bottom w:val="nil"/>
              <w:right w:val="nil"/>
            </w:tcBorders>
          </w:tcPr>
          <w:p w14:paraId="7A38DAF6">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3,553,158</w:t>
            </w:r>
          </w:p>
        </w:tc>
        <w:tc>
          <w:tcPr>
            <w:tcW w:w="510" w:type="dxa"/>
            <w:tcBorders>
              <w:top w:val="nil"/>
              <w:left w:val="nil"/>
              <w:bottom w:val="nil"/>
              <w:right w:val="nil"/>
            </w:tcBorders>
          </w:tcPr>
          <w:p w14:paraId="7234F737">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3,637,979</w:t>
            </w:r>
          </w:p>
        </w:tc>
        <w:tc>
          <w:tcPr>
            <w:tcW w:w="500" w:type="dxa"/>
            <w:tcBorders>
              <w:top w:val="nil"/>
              <w:left w:val="nil"/>
              <w:bottom w:val="nil"/>
              <w:right w:val="nil"/>
            </w:tcBorders>
          </w:tcPr>
          <w:p w14:paraId="74FCEFE4">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3,728,114</w:t>
            </w:r>
          </w:p>
        </w:tc>
        <w:tc>
          <w:tcPr>
            <w:tcW w:w="476" w:type="dxa"/>
            <w:tcBorders>
              <w:top w:val="nil"/>
              <w:left w:val="nil"/>
              <w:bottom w:val="nil"/>
              <w:right w:val="nil"/>
            </w:tcBorders>
          </w:tcPr>
          <w:p w14:paraId="268BE1DC">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3,823,387</w:t>
            </w:r>
          </w:p>
        </w:tc>
        <w:tc>
          <w:tcPr>
            <w:tcW w:w="476" w:type="dxa"/>
            <w:tcBorders>
              <w:top w:val="nil"/>
              <w:left w:val="nil"/>
              <w:bottom w:val="nil"/>
              <w:right w:val="nil"/>
            </w:tcBorders>
          </w:tcPr>
          <w:p w14:paraId="5F647B47">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3,917,615</w:t>
            </w:r>
          </w:p>
        </w:tc>
        <w:tc>
          <w:tcPr>
            <w:tcW w:w="492" w:type="dxa"/>
            <w:tcBorders>
              <w:top w:val="nil"/>
              <w:left w:val="nil"/>
              <w:bottom w:val="nil"/>
              <w:right w:val="nil"/>
            </w:tcBorders>
          </w:tcPr>
          <w:p w14:paraId="2CDA4223">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4,010,294</w:t>
            </w:r>
          </w:p>
        </w:tc>
        <w:tc>
          <w:tcPr>
            <w:tcW w:w="503" w:type="dxa"/>
            <w:tcBorders>
              <w:top w:val="nil"/>
              <w:left w:val="nil"/>
              <w:bottom w:val="nil"/>
              <w:right w:val="nil"/>
            </w:tcBorders>
          </w:tcPr>
          <w:p w14:paraId="4C280F68">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4,100,649</w:t>
            </w:r>
          </w:p>
        </w:tc>
        <w:tc>
          <w:tcPr>
            <w:tcW w:w="510" w:type="dxa"/>
            <w:tcBorders>
              <w:top w:val="nil"/>
              <w:left w:val="nil"/>
              <w:bottom w:val="nil"/>
              <w:right w:val="nil"/>
            </w:tcBorders>
          </w:tcPr>
          <w:p w14:paraId="37E3E8B1">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4,188,334</w:t>
            </w:r>
          </w:p>
        </w:tc>
        <w:tc>
          <w:tcPr>
            <w:tcW w:w="495" w:type="dxa"/>
            <w:tcBorders>
              <w:top w:val="nil"/>
              <w:left w:val="nil"/>
              <w:bottom w:val="nil"/>
              <w:right w:val="nil"/>
            </w:tcBorders>
          </w:tcPr>
          <w:p w14:paraId="3D6294F5">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4,273,288</w:t>
            </w:r>
          </w:p>
        </w:tc>
        <w:tc>
          <w:tcPr>
            <w:tcW w:w="482" w:type="dxa"/>
            <w:tcBorders>
              <w:top w:val="nil"/>
              <w:left w:val="nil"/>
              <w:bottom w:val="nil"/>
              <w:right w:val="nil"/>
            </w:tcBorders>
          </w:tcPr>
          <w:p w14:paraId="09F95FDC">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4,396,098</w:t>
            </w:r>
          </w:p>
        </w:tc>
        <w:tc>
          <w:tcPr>
            <w:tcW w:w="495" w:type="dxa"/>
            <w:tcBorders>
              <w:top w:val="nil"/>
              <w:left w:val="nil"/>
              <w:bottom w:val="nil"/>
              <w:right w:val="nil"/>
            </w:tcBorders>
          </w:tcPr>
          <w:p w14:paraId="3EDF4121">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4,505,928</w:t>
            </w:r>
          </w:p>
        </w:tc>
        <w:tc>
          <w:tcPr>
            <w:tcW w:w="476" w:type="dxa"/>
            <w:tcBorders>
              <w:top w:val="nil"/>
              <w:left w:val="nil"/>
              <w:bottom w:val="nil"/>
              <w:right w:val="nil"/>
            </w:tcBorders>
          </w:tcPr>
          <w:p w14:paraId="15D27066">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4,603,802</w:t>
            </w:r>
          </w:p>
        </w:tc>
        <w:tc>
          <w:tcPr>
            <w:tcW w:w="476" w:type="dxa"/>
            <w:tcBorders>
              <w:top w:val="nil"/>
              <w:left w:val="nil"/>
              <w:bottom w:val="nil"/>
              <w:right w:val="nil"/>
            </w:tcBorders>
          </w:tcPr>
          <w:p w14:paraId="452EB1A0">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4,690,053</w:t>
            </w:r>
          </w:p>
        </w:tc>
      </w:tr>
      <w:tr w14:paraId="718BEBA8">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49068C38">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GOMBE</w:t>
            </w:r>
          </w:p>
        </w:tc>
        <w:tc>
          <w:tcPr>
            <w:tcW w:w="671" w:type="dxa"/>
            <w:tcBorders>
              <w:top w:val="nil"/>
              <w:left w:val="nil"/>
              <w:bottom w:val="nil"/>
              <w:right w:val="nil"/>
            </w:tcBorders>
          </w:tcPr>
          <w:p w14:paraId="1B3E280C">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3,267,837</w:t>
            </w:r>
          </w:p>
        </w:tc>
        <w:tc>
          <w:tcPr>
            <w:tcW w:w="486" w:type="dxa"/>
            <w:tcBorders>
              <w:top w:val="nil"/>
              <w:left w:val="nil"/>
              <w:bottom w:val="nil"/>
              <w:right w:val="nil"/>
            </w:tcBorders>
          </w:tcPr>
          <w:p w14:paraId="3A9316D2">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2,448,350</w:t>
            </w:r>
          </w:p>
        </w:tc>
        <w:tc>
          <w:tcPr>
            <w:tcW w:w="480" w:type="dxa"/>
            <w:tcBorders>
              <w:top w:val="nil"/>
              <w:left w:val="nil"/>
              <w:bottom w:val="nil"/>
              <w:right w:val="nil"/>
            </w:tcBorders>
          </w:tcPr>
          <w:p w14:paraId="37DF548D">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2,534,438</w:t>
            </w:r>
          </w:p>
        </w:tc>
        <w:tc>
          <w:tcPr>
            <w:tcW w:w="484" w:type="dxa"/>
            <w:tcBorders>
              <w:top w:val="nil"/>
              <w:left w:val="nil"/>
              <w:bottom w:val="nil"/>
              <w:right w:val="nil"/>
            </w:tcBorders>
          </w:tcPr>
          <w:p w14:paraId="0DBB6C09">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2,623,049</w:t>
            </w:r>
          </w:p>
        </w:tc>
        <w:tc>
          <w:tcPr>
            <w:tcW w:w="492" w:type="dxa"/>
            <w:tcBorders>
              <w:top w:val="nil"/>
              <w:left w:val="nil"/>
              <w:bottom w:val="nil"/>
              <w:right w:val="nil"/>
            </w:tcBorders>
          </w:tcPr>
          <w:p w14:paraId="6A2C3B55">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2,714,145</w:t>
            </w:r>
          </w:p>
        </w:tc>
        <w:tc>
          <w:tcPr>
            <w:tcW w:w="510" w:type="dxa"/>
            <w:tcBorders>
              <w:top w:val="nil"/>
              <w:left w:val="nil"/>
              <w:bottom w:val="nil"/>
              <w:right w:val="nil"/>
            </w:tcBorders>
          </w:tcPr>
          <w:p w14:paraId="3DED1035">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2,807,884</w:t>
            </w:r>
          </w:p>
        </w:tc>
        <w:tc>
          <w:tcPr>
            <w:tcW w:w="500" w:type="dxa"/>
            <w:tcBorders>
              <w:top w:val="nil"/>
              <w:left w:val="nil"/>
              <w:bottom w:val="nil"/>
              <w:right w:val="nil"/>
            </w:tcBorders>
          </w:tcPr>
          <w:p w14:paraId="4A93A369">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2,904,216</w:t>
            </w:r>
          </w:p>
        </w:tc>
        <w:tc>
          <w:tcPr>
            <w:tcW w:w="476" w:type="dxa"/>
            <w:tcBorders>
              <w:top w:val="nil"/>
              <w:left w:val="nil"/>
              <w:bottom w:val="nil"/>
              <w:right w:val="nil"/>
            </w:tcBorders>
          </w:tcPr>
          <w:p w14:paraId="1CF0CB0A">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3,003,456</w:t>
            </w:r>
          </w:p>
        </w:tc>
        <w:tc>
          <w:tcPr>
            <w:tcW w:w="476" w:type="dxa"/>
            <w:tcBorders>
              <w:top w:val="nil"/>
              <w:left w:val="nil"/>
              <w:bottom w:val="nil"/>
              <w:right w:val="nil"/>
            </w:tcBorders>
          </w:tcPr>
          <w:p w14:paraId="5CA9F494">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3,103,782</w:t>
            </w:r>
          </w:p>
        </w:tc>
        <w:tc>
          <w:tcPr>
            <w:tcW w:w="492" w:type="dxa"/>
            <w:tcBorders>
              <w:top w:val="nil"/>
              <w:left w:val="nil"/>
              <w:bottom w:val="nil"/>
              <w:right w:val="nil"/>
            </w:tcBorders>
          </w:tcPr>
          <w:p w14:paraId="7F18C993">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3,205,287</w:t>
            </w:r>
          </w:p>
        </w:tc>
        <w:tc>
          <w:tcPr>
            <w:tcW w:w="503" w:type="dxa"/>
            <w:tcBorders>
              <w:top w:val="nil"/>
              <w:left w:val="nil"/>
              <w:bottom w:val="nil"/>
              <w:right w:val="nil"/>
            </w:tcBorders>
          </w:tcPr>
          <w:p w14:paraId="74F9F73F">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3,307,801</w:t>
            </w:r>
          </w:p>
        </w:tc>
        <w:tc>
          <w:tcPr>
            <w:tcW w:w="510" w:type="dxa"/>
            <w:tcBorders>
              <w:top w:val="nil"/>
              <w:left w:val="nil"/>
              <w:bottom w:val="nil"/>
              <w:right w:val="nil"/>
            </w:tcBorders>
          </w:tcPr>
          <w:p w14:paraId="348F2CFD">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3,411,323</w:t>
            </w:r>
          </w:p>
        </w:tc>
        <w:tc>
          <w:tcPr>
            <w:tcW w:w="495" w:type="dxa"/>
            <w:tcBorders>
              <w:top w:val="nil"/>
              <w:left w:val="nil"/>
              <w:bottom w:val="nil"/>
              <w:right w:val="nil"/>
            </w:tcBorders>
          </w:tcPr>
          <w:p w14:paraId="73BDBE8C">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3,516,217</w:t>
            </w:r>
          </w:p>
        </w:tc>
        <w:tc>
          <w:tcPr>
            <w:tcW w:w="482" w:type="dxa"/>
            <w:tcBorders>
              <w:top w:val="nil"/>
              <w:left w:val="nil"/>
              <w:bottom w:val="nil"/>
              <w:right w:val="nil"/>
            </w:tcBorders>
          </w:tcPr>
          <w:p w14:paraId="5143FC7E">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3,623,462</w:t>
            </w:r>
          </w:p>
        </w:tc>
        <w:tc>
          <w:tcPr>
            <w:tcW w:w="495" w:type="dxa"/>
            <w:tcBorders>
              <w:top w:val="nil"/>
              <w:left w:val="nil"/>
              <w:bottom w:val="nil"/>
              <w:right w:val="nil"/>
            </w:tcBorders>
          </w:tcPr>
          <w:p w14:paraId="383A3C86">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3,733,100</w:t>
            </w:r>
          </w:p>
        </w:tc>
        <w:tc>
          <w:tcPr>
            <w:tcW w:w="476" w:type="dxa"/>
            <w:tcBorders>
              <w:top w:val="nil"/>
              <w:left w:val="nil"/>
              <w:bottom w:val="nil"/>
              <w:right w:val="nil"/>
            </w:tcBorders>
          </w:tcPr>
          <w:p w14:paraId="2D30B6D9">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3,845,132</w:t>
            </w:r>
          </w:p>
        </w:tc>
        <w:tc>
          <w:tcPr>
            <w:tcW w:w="476" w:type="dxa"/>
            <w:tcBorders>
              <w:top w:val="nil"/>
              <w:left w:val="nil"/>
              <w:bottom w:val="nil"/>
              <w:right w:val="nil"/>
            </w:tcBorders>
          </w:tcPr>
          <w:p w14:paraId="40E37853">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3,960,122</w:t>
            </w:r>
          </w:p>
        </w:tc>
      </w:tr>
      <w:tr w14:paraId="2880FC41">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1FDC6E44">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IMO</w:t>
            </w:r>
          </w:p>
        </w:tc>
        <w:tc>
          <w:tcPr>
            <w:tcW w:w="671" w:type="dxa"/>
            <w:tcBorders>
              <w:top w:val="nil"/>
              <w:left w:val="nil"/>
              <w:bottom w:val="nil"/>
              <w:right w:val="nil"/>
            </w:tcBorders>
          </w:tcPr>
          <w:p w14:paraId="667EDF46">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3,927,563</w:t>
            </w:r>
          </w:p>
        </w:tc>
        <w:tc>
          <w:tcPr>
            <w:tcW w:w="486" w:type="dxa"/>
            <w:tcBorders>
              <w:top w:val="nil"/>
              <w:left w:val="nil"/>
              <w:bottom w:val="nil"/>
              <w:right w:val="nil"/>
            </w:tcBorders>
          </w:tcPr>
          <w:p w14:paraId="2C485F97">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4,011,289</w:t>
            </w:r>
          </w:p>
        </w:tc>
        <w:tc>
          <w:tcPr>
            <w:tcW w:w="480" w:type="dxa"/>
            <w:tcBorders>
              <w:top w:val="nil"/>
              <w:left w:val="nil"/>
              <w:bottom w:val="nil"/>
              <w:right w:val="nil"/>
            </w:tcBorders>
          </w:tcPr>
          <w:p w14:paraId="6F87F18E">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4,097,660</w:t>
            </w:r>
          </w:p>
        </w:tc>
        <w:tc>
          <w:tcPr>
            <w:tcW w:w="484" w:type="dxa"/>
            <w:tcBorders>
              <w:top w:val="nil"/>
              <w:left w:val="nil"/>
              <w:bottom w:val="nil"/>
              <w:right w:val="nil"/>
            </w:tcBorders>
          </w:tcPr>
          <w:p w14:paraId="4D4ABC49">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4,187,079</w:t>
            </w:r>
          </w:p>
        </w:tc>
        <w:tc>
          <w:tcPr>
            <w:tcW w:w="492" w:type="dxa"/>
            <w:tcBorders>
              <w:top w:val="nil"/>
              <w:left w:val="nil"/>
              <w:bottom w:val="nil"/>
              <w:right w:val="nil"/>
            </w:tcBorders>
          </w:tcPr>
          <w:p w14:paraId="47262558">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4,279,489</w:t>
            </w:r>
          </w:p>
        </w:tc>
        <w:tc>
          <w:tcPr>
            <w:tcW w:w="510" w:type="dxa"/>
            <w:tcBorders>
              <w:top w:val="nil"/>
              <w:left w:val="nil"/>
              <w:bottom w:val="nil"/>
              <w:right w:val="nil"/>
            </w:tcBorders>
          </w:tcPr>
          <w:p w14:paraId="1D737F3B">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4,374,817</w:t>
            </w:r>
          </w:p>
        </w:tc>
        <w:tc>
          <w:tcPr>
            <w:tcW w:w="500" w:type="dxa"/>
            <w:tcBorders>
              <w:top w:val="nil"/>
              <w:left w:val="nil"/>
              <w:bottom w:val="nil"/>
              <w:right w:val="nil"/>
            </w:tcBorders>
          </w:tcPr>
          <w:p w14:paraId="72E4C13D">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4,472,606</w:t>
            </w:r>
          </w:p>
        </w:tc>
        <w:tc>
          <w:tcPr>
            <w:tcW w:w="476" w:type="dxa"/>
            <w:tcBorders>
              <w:top w:val="nil"/>
              <w:left w:val="nil"/>
              <w:bottom w:val="nil"/>
              <w:right w:val="nil"/>
            </w:tcBorders>
          </w:tcPr>
          <w:p w14:paraId="4CD633F3">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4,572,581</w:t>
            </w:r>
          </w:p>
        </w:tc>
        <w:tc>
          <w:tcPr>
            <w:tcW w:w="476" w:type="dxa"/>
            <w:tcBorders>
              <w:top w:val="nil"/>
              <w:left w:val="nil"/>
              <w:bottom w:val="nil"/>
              <w:right w:val="nil"/>
            </w:tcBorders>
          </w:tcPr>
          <w:p w14:paraId="5093D59B">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4,673,183</w:t>
            </w:r>
          </w:p>
        </w:tc>
        <w:tc>
          <w:tcPr>
            <w:tcW w:w="492" w:type="dxa"/>
            <w:tcBorders>
              <w:top w:val="nil"/>
              <w:left w:val="nil"/>
              <w:bottom w:val="nil"/>
              <w:right w:val="nil"/>
            </w:tcBorders>
          </w:tcPr>
          <w:p w14:paraId="52767D77">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4,773,738</w:t>
            </w:r>
          </w:p>
        </w:tc>
        <w:tc>
          <w:tcPr>
            <w:tcW w:w="503" w:type="dxa"/>
            <w:tcBorders>
              <w:top w:val="nil"/>
              <w:left w:val="nil"/>
              <w:bottom w:val="nil"/>
              <w:right w:val="nil"/>
            </w:tcBorders>
          </w:tcPr>
          <w:p w14:paraId="26B81620">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4,873,654</w:t>
            </w:r>
          </w:p>
        </w:tc>
        <w:tc>
          <w:tcPr>
            <w:tcW w:w="510" w:type="dxa"/>
            <w:tcBorders>
              <w:top w:val="nil"/>
              <w:left w:val="nil"/>
              <w:bottom w:val="nil"/>
              <w:right w:val="nil"/>
            </w:tcBorders>
          </w:tcPr>
          <w:p w14:paraId="7F357F92">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4,972,386</w:t>
            </w:r>
          </w:p>
        </w:tc>
        <w:tc>
          <w:tcPr>
            <w:tcW w:w="495" w:type="dxa"/>
            <w:tcBorders>
              <w:top w:val="nil"/>
              <w:left w:val="nil"/>
              <w:bottom w:val="nil"/>
              <w:right w:val="nil"/>
            </w:tcBorders>
          </w:tcPr>
          <w:p w14:paraId="426BFBD9">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5,070,149</w:t>
            </w:r>
          </w:p>
        </w:tc>
        <w:tc>
          <w:tcPr>
            <w:tcW w:w="482" w:type="dxa"/>
            <w:tcBorders>
              <w:top w:val="nil"/>
              <w:left w:val="nil"/>
              <w:bottom w:val="nil"/>
              <w:right w:val="nil"/>
            </w:tcBorders>
          </w:tcPr>
          <w:p w14:paraId="43A99EC1">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5,167,722</w:t>
            </w:r>
          </w:p>
        </w:tc>
        <w:tc>
          <w:tcPr>
            <w:tcW w:w="495" w:type="dxa"/>
            <w:tcBorders>
              <w:top w:val="nil"/>
              <w:left w:val="nil"/>
              <w:bottom w:val="nil"/>
              <w:right w:val="nil"/>
            </w:tcBorders>
          </w:tcPr>
          <w:p w14:paraId="5D3C33AB">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5,265,082</w:t>
            </w:r>
          </w:p>
        </w:tc>
        <w:tc>
          <w:tcPr>
            <w:tcW w:w="476" w:type="dxa"/>
            <w:tcBorders>
              <w:top w:val="nil"/>
              <w:left w:val="nil"/>
              <w:bottom w:val="nil"/>
              <w:right w:val="nil"/>
            </w:tcBorders>
          </w:tcPr>
          <w:p w14:paraId="699713FD">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5,362,138</w:t>
            </w:r>
          </w:p>
        </w:tc>
        <w:tc>
          <w:tcPr>
            <w:tcW w:w="476" w:type="dxa"/>
            <w:tcBorders>
              <w:top w:val="nil"/>
              <w:left w:val="nil"/>
              <w:bottom w:val="nil"/>
              <w:right w:val="nil"/>
            </w:tcBorders>
          </w:tcPr>
          <w:p w14:paraId="63E6CE30">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5,459,337</w:t>
            </w:r>
          </w:p>
        </w:tc>
      </w:tr>
      <w:tr w14:paraId="7C244B14">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775A03E8">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JIGAWA</w:t>
            </w:r>
          </w:p>
        </w:tc>
        <w:tc>
          <w:tcPr>
            <w:tcW w:w="671" w:type="dxa"/>
            <w:tcBorders>
              <w:top w:val="nil"/>
              <w:left w:val="nil"/>
              <w:bottom w:val="nil"/>
              <w:right w:val="nil"/>
            </w:tcBorders>
          </w:tcPr>
          <w:p w14:paraId="5354C142">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4,361,002</w:t>
            </w:r>
          </w:p>
        </w:tc>
        <w:tc>
          <w:tcPr>
            <w:tcW w:w="486" w:type="dxa"/>
            <w:tcBorders>
              <w:top w:val="nil"/>
              <w:left w:val="nil"/>
              <w:bottom w:val="nil"/>
              <w:right w:val="nil"/>
            </w:tcBorders>
          </w:tcPr>
          <w:p w14:paraId="7586E30E">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4,505,748</w:t>
            </w:r>
          </w:p>
        </w:tc>
        <w:tc>
          <w:tcPr>
            <w:tcW w:w="480" w:type="dxa"/>
            <w:tcBorders>
              <w:top w:val="nil"/>
              <w:left w:val="nil"/>
              <w:bottom w:val="nil"/>
              <w:right w:val="nil"/>
            </w:tcBorders>
          </w:tcPr>
          <w:p w14:paraId="52C1875F">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4,655,575</w:t>
            </w:r>
          </w:p>
        </w:tc>
        <w:tc>
          <w:tcPr>
            <w:tcW w:w="484" w:type="dxa"/>
            <w:tcBorders>
              <w:top w:val="nil"/>
              <w:left w:val="nil"/>
              <w:bottom w:val="nil"/>
              <w:right w:val="nil"/>
            </w:tcBorders>
          </w:tcPr>
          <w:p w14:paraId="657327F1">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4,814,643</w:t>
            </w:r>
          </w:p>
        </w:tc>
        <w:tc>
          <w:tcPr>
            <w:tcW w:w="492" w:type="dxa"/>
            <w:tcBorders>
              <w:top w:val="nil"/>
              <w:left w:val="nil"/>
              <w:bottom w:val="nil"/>
              <w:right w:val="nil"/>
            </w:tcBorders>
          </w:tcPr>
          <w:p w14:paraId="0DD03FFD">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4,983,139</w:t>
            </w:r>
          </w:p>
        </w:tc>
        <w:tc>
          <w:tcPr>
            <w:tcW w:w="510" w:type="dxa"/>
            <w:tcBorders>
              <w:top w:val="nil"/>
              <w:left w:val="nil"/>
              <w:bottom w:val="nil"/>
              <w:right w:val="nil"/>
            </w:tcBorders>
          </w:tcPr>
          <w:p w14:paraId="093394EB">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5,161,158</w:t>
            </w:r>
          </w:p>
        </w:tc>
        <w:tc>
          <w:tcPr>
            <w:tcW w:w="500" w:type="dxa"/>
            <w:tcBorders>
              <w:top w:val="nil"/>
              <w:left w:val="nil"/>
              <w:bottom w:val="nil"/>
              <w:right w:val="nil"/>
            </w:tcBorders>
          </w:tcPr>
          <w:p w14:paraId="1AE4C434">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5,349,168</w:t>
            </w:r>
          </w:p>
        </w:tc>
        <w:tc>
          <w:tcPr>
            <w:tcW w:w="476" w:type="dxa"/>
            <w:tcBorders>
              <w:top w:val="nil"/>
              <w:left w:val="nil"/>
              <w:bottom w:val="nil"/>
              <w:right w:val="nil"/>
            </w:tcBorders>
          </w:tcPr>
          <w:p w14:paraId="5547C7A5">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5,547,687</w:t>
            </w:r>
          </w:p>
        </w:tc>
        <w:tc>
          <w:tcPr>
            <w:tcW w:w="476" w:type="dxa"/>
            <w:tcBorders>
              <w:top w:val="nil"/>
              <w:left w:val="nil"/>
              <w:bottom w:val="nil"/>
              <w:right w:val="nil"/>
            </w:tcBorders>
          </w:tcPr>
          <w:p w14:paraId="3DC2ED18">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5,747,033</w:t>
            </w:r>
          </w:p>
        </w:tc>
        <w:tc>
          <w:tcPr>
            <w:tcW w:w="492" w:type="dxa"/>
            <w:tcBorders>
              <w:top w:val="nil"/>
              <w:left w:val="nil"/>
              <w:bottom w:val="nil"/>
              <w:right w:val="nil"/>
            </w:tcBorders>
          </w:tcPr>
          <w:p w14:paraId="7A0E77A0">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5,947,966</w:t>
            </w:r>
          </w:p>
        </w:tc>
        <w:tc>
          <w:tcPr>
            <w:tcW w:w="503" w:type="dxa"/>
            <w:tcBorders>
              <w:top w:val="nil"/>
              <w:left w:val="nil"/>
              <w:bottom w:val="nil"/>
              <w:right w:val="nil"/>
            </w:tcBorders>
          </w:tcPr>
          <w:p w14:paraId="18102106">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6,150,337</w:t>
            </w:r>
          </w:p>
        </w:tc>
        <w:tc>
          <w:tcPr>
            <w:tcW w:w="510" w:type="dxa"/>
            <w:tcBorders>
              <w:top w:val="nil"/>
              <w:left w:val="nil"/>
              <w:bottom w:val="nil"/>
              <w:right w:val="nil"/>
            </w:tcBorders>
          </w:tcPr>
          <w:p w14:paraId="3DCFAC3C">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6,354,507</w:t>
            </w:r>
          </w:p>
        </w:tc>
        <w:tc>
          <w:tcPr>
            <w:tcW w:w="495" w:type="dxa"/>
            <w:tcBorders>
              <w:top w:val="nil"/>
              <w:left w:val="nil"/>
              <w:bottom w:val="nil"/>
              <w:right w:val="nil"/>
            </w:tcBorders>
          </w:tcPr>
          <w:p w14:paraId="630F5775">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6,561,451</w:t>
            </w:r>
          </w:p>
        </w:tc>
        <w:tc>
          <w:tcPr>
            <w:tcW w:w="482" w:type="dxa"/>
            <w:tcBorders>
              <w:top w:val="nil"/>
              <w:left w:val="nil"/>
              <w:bottom w:val="nil"/>
              <w:right w:val="nil"/>
            </w:tcBorders>
          </w:tcPr>
          <w:p w14:paraId="5E9AFF4A">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6,779,080</w:t>
            </w:r>
          </w:p>
        </w:tc>
        <w:tc>
          <w:tcPr>
            <w:tcW w:w="495" w:type="dxa"/>
            <w:tcBorders>
              <w:top w:val="nil"/>
              <w:left w:val="nil"/>
              <w:bottom w:val="nil"/>
              <w:right w:val="nil"/>
            </w:tcBorders>
          </w:tcPr>
          <w:p w14:paraId="7B40A746">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7,007,317</w:t>
            </w:r>
          </w:p>
        </w:tc>
        <w:tc>
          <w:tcPr>
            <w:tcW w:w="476" w:type="dxa"/>
            <w:tcBorders>
              <w:top w:val="nil"/>
              <w:left w:val="nil"/>
              <w:bottom w:val="nil"/>
              <w:right w:val="nil"/>
            </w:tcBorders>
          </w:tcPr>
          <w:p w14:paraId="7A5E301F">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7,246,906</w:t>
            </w:r>
          </w:p>
        </w:tc>
        <w:tc>
          <w:tcPr>
            <w:tcW w:w="476" w:type="dxa"/>
            <w:tcBorders>
              <w:top w:val="nil"/>
              <w:left w:val="nil"/>
              <w:bottom w:val="nil"/>
              <w:right w:val="nil"/>
            </w:tcBorders>
          </w:tcPr>
          <w:p w14:paraId="0A6913AB">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7,499,059</w:t>
            </w:r>
          </w:p>
        </w:tc>
      </w:tr>
      <w:tr w14:paraId="24C7BF93">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176134CE">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KADUNA</w:t>
            </w:r>
          </w:p>
        </w:tc>
        <w:tc>
          <w:tcPr>
            <w:tcW w:w="671" w:type="dxa"/>
            <w:tcBorders>
              <w:top w:val="nil"/>
              <w:left w:val="nil"/>
              <w:bottom w:val="nil"/>
              <w:right w:val="nil"/>
            </w:tcBorders>
          </w:tcPr>
          <w:p w14:paraId="0733841A">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6,113,503</w:t>
            </w:r>
          </w:p>
        </w:tc>
        <w:tc>
          <w:tcPr>
            <w:tcW w:w="486" w:type="dxa"/>
            <w:tcBorders>
              <w:top w:val="nil"/>
              <w:left w:val="nil"/>
              <w:bottom w:val="nil"/>
              <w:right w:val="nil"/>
            </w:tcBorders>
          </w:tcPr>
          <w:p w14:paraId="5E5F94F0">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6,279,678</w:t>
            </w:r>
          </w:p>
        </w:tc>
        <w:tc>
          <w:tcPr>
            <w:tcW w:w="480" w:type="dxa"/>
            <w:tcBorders>
              <w:top w:val="nil"/>
              <w:left w:val="nil"/>
              <w:bottom w:val="nil"/>
              <w:right w:val="nil"/>
            </w:tcBorders>
          </w:tcPr>
          <w:p w14:paraId="13E19D92">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6,454,239</w:t>
            </w:r>
          </w:p>
        </w:tc>
        <w:tc>
          <w:tcPr>
            <w:tcW w:w="484" w:type="dxa"/>
            <w:tcBorders>
              <w:top w:val="nil"/>
              <w:left w:val="nil"/>
              <w:bottom w:val="nil"/>
              <w:right w:val="nil"/>
            </w:tcBorders>
          </w:tcPr>
          <w:p w14:paraId="5166B079">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6,620,107</w:t>
            </w:r>
          </w:p>
        </w:tc>
        <w:tc>
          <w:tcPr>
            <w:tcW w:w="492" w:type="dxa"/>
            <w:tcBorders>
              <w:top w:val="nil"/>
              <w:left w:val="nil"/>
              <w:bottom w:val="nil"/>
              <w:right w:val="nil"/>
            </w:tcBorders>
          </w:tcPr>
          <w:p w14:paraId="6B8CE1E7">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6,776,631</w:t>
            </w:r>
          </w:p>
        </w:tc>
        <w:tc>
          <w:tcPr>
            <w:tcW w:w="510" w:type="dxa"/>
            <w:tcBorders>
              <w:top w:val="nil"/>
              <w:left w:val="nil"/>
              <w:bottom w:val="nil"/>
              <w:right w:val="nil"/>
            </w:tcBorders>
          </w:tcPr>
          <w:p w14:paraId="16C353DB">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6,922,330</w:t>
            </w:r>
          </w:p>
        </w:tc>
        <w:tc>
          <w:tcPr>
            <w:tcW w:w="500" w:type="dxa"/>
            <w:tcBorders>
              <w:top w:val="nil"/>
              <w:left w:val="nil"/>
              <w:bottom w:val="nil"/>
              <w:right w:val="nil"/>
            </w:tcBorders>
          </w:tcPr>
          <w:p w14:paraId="5E74B2A0">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7,055,966</w:t>
            </w:r>
          </w:p>
        </w:tc>
        <w:tc>
          <w:tcPr>
            <w:tcW w:w="476" w:type="dxa"/>
            <w:tcBorders>
              <w:top w:val="nil"/>
              <w:left w:val="nil"/>
              <w:bottom w:val="nil"/>
              <w:right w:val="nil"/>
            </w:tcBorders>
          </w:tcPr>
          <w:p w14:paraId="3DF59B90">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7,176,135</w:t>
            </w:r>
          </w:p>
        </w:tc>
        <w:tc>
          <w:tcPr>
            <w:tcW w:w="476" w:type="dxa"/>
            <w:tcBorders>
              <w:top w:val="nil"/>
              <w:left w:val="nil"/>
              <w:bottom w:val="nil"/>
              <w:right w:val="nil"/>
            </w:tcBorders>
          </w:tcPr>
          <w:p w14:paraId="125DAB52">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7,320,414</w:t>
            </w:r>
          </w:p>
        </w:tc>
        <w:tc>
          <w:tcPr>
            <w:tcW w:w="492" w:type="dxa"/>
            <w:tcBorders>
              <w:top w:val="nil"/>
              <w:left w:val="nil"/>
              <w:bottom w:val="nil"/>
              <w:right w:val="nil"/>
            </w:tcBorders>
          </w:tcPr>
          <w:p w14:paraId="2E82319F">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7,487,845</w:t>
            </w:r>
          </w:p>
        </w:tc>
        <w:tc>
          <w:tcPr>
            <w:tcW w:w="503" w:type="dxa"/>
            <w:tcBorders>
              <w:top w:val="nil"/>
              <w:left w:val="nil"/>
              <w:bottom w:val="nil"/>
              <w:right w:val="nil"/>
            </w:tcBorders>
          </w:tcPr>
          <w:p w14:paraId="53B66984">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7,678,078</w:t>
            </w:r>
          </w:p>
        </w:tc>
        <w:tc>
          <w:tcPr>
            <w:tcW w:w="510" w:type="dxa"/>
            <w:tcBorders>
              <w:top w:val="nil"/>
              <w:left w:val="nil"/>
              <w:bottom w:val="nil"/>
              <w:right w:val="nil"/>
            </w:tcBorders>
          </w:tcPr>
          <w:p w14:paraId="17FAD51B">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7,891,256</w:t>
            </w:r>
          </w:p>
        </w:tc>
        <w:tc>
          <w:tcPr>
            <w:tcW w:w="495" w:type="dxa"/>
            <w:tcBorders>
              <w:top w:val="nil"/>
              <w:left w:val="nil"/>
              <w:bottom w:val="nil"/>
              <w:right w:val="nil"/>
            </w:tcBorders>
          </w:tcPr>
          <w:p w14:paraId="0CCE32B8">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8,105,251</w:t>
            </w:r>
          </w:p>
        </w:tc>
        <w:tc>
          <w:tcPr>
            <w:tcW w:w="482" w:type="dxa"/>
            <w:tcBorders>
              <w:top w:val="nil"/>
              <w:left w:val="nil"/>
              <w:bottom w:val="nil"/>
              <w:right w:val="nil"/>
            </w:tcBorders>
          </w:tcPr>
          <w:p w14:paraId="5D7C8260">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8,324,285</w:t>
            </w:r>
          </w:p>
        </w:tc>
        <w:tc>
          <w:tcPr>
            <w:tcW w:w="495" w:type="dxa"/>
            <w:tcBorders>
              <w:top w:val="nil"/>
              <w:left w:val="nil"/>
              <w:bottom w:val="nil"/>
              <w:right w:val="nil"/>
            </w:tcBorders>
          </w:tcPr>
          <w:p w14:paraId="0CA28C4C">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8,549,066</w:t>
            </w:r>
          </w:p>
        </w:tc>
        <w:tc>
          <w:tcPr>
            <w:tcW w:w="476" w:type="dxa"/>
            <w:tcBorders>
              <w:top w:val="nil"/>
              <w:left w:val="nil"/>
              <w:bottom w:val="nil"/>
              <w:right w:val="nil"/>
            </w:tcBorders>
          </w:tcPr>
          <w:p w14:paraId="52ECF6E8">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8,779,665</w:t>
            </w:r>
          </w:p>
        </w:tc>
        <w:tc>
          <w:tcPr>
            <w:tcW w:w="476" w:type="dxa"/>
            <w:tcBorders>
              <w:top w:val="nil"/>
              <w:left w:val="nil"/>
              <w:bottom w:val="nil"/>
              <w:right w:val="nil"/>
            </w:tcBorders>
          </w:tcPr>
          <w:p w14:paraId="67C8FE11">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9,032,181</w:t>
            </w:r>
          </w:p>
        </w:tc>
      </w:tr>
      <w:tr w14:paraId="2F67601D">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1E0D2560">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KANO</w:t>
            </w:r>
          </w:p>
        </w:tc>
        <w:tc>
          <w:tcPr>
            <w:tcW w:w="671" w:type="dxa"/>
            <w:tcBorders>
              <w:top w:val="nil"/>
              <w:left w:val="nil"/>
              <w:bottom w:val="nil"/>
              <w:right w:val="nil"/>
            </w:tcBorders>
          </w:tcPr>
          <w:p w14:paraId="795F8579">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9,401,288</w:t>
            </w:r>
          </w:p>
        </w:tc>
        <w:tc>
          <w:tcPr>
            <w:tcW w:w="486" w:type="dxa"/>
            <w:tcBorders>
              <w:top w:val="nil"/>
              <w:left w:val="nil"/>
              <w:bottom w:val="nil"/>
              <w:right w:val="nil"/>
            </w:tcBorders>
          </w:tcPr>
          <w:p w14:paraId="60907C99">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9,774,482</w:t>
            </w:r>
          </w:p>
        </w:tc>
        <w:tc>
          <w:tcPr>
            <w:tcW w:w="480" w:type="dxa"/>
            <w:tcBorders>
              <w:top w:val="nil"/>
              <w:left w:val="nil"/>
              <w:bottom w:val="nil"/>
              <w:right w:val="nil"/>
            </w:tcBorders>
          </w:tcPr>
          <w:p w14:paraId="2208ED59">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10,157,318</w:t>
            </w:r>
          </w:p>
        </w:tc>
        <w:tc>
          <w:tcPr>
            <w:tcW w:w="484" w:type="dxa"/>
            <w:tcBorders>
              <w:top w:val="nil"/>
              <w:left w:val="nil"/>
              <w:bottom w:val="nil"/>
              <w:right w:val="nil"/>
            </w:tcBorders>
          </w:tcPr>
          <w:p w14:paraId="4B863B29">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10,531,655</w:t>
            </w:r>
          </w:p>
        </w:tc>
        <w:tc>
          <w:tcPr>
            <w:tcW w:w="492" w:type="dxa"/>
            <w:tcBorders>
              <w:top w:val="nil"/>
              <w:left w:val="nil"/>
              <w:bottom w:val="nil"/>
              <w:right w:val="nil"/>
            </w:tcBorders>
          </w:tcPr>
          <w:p w14:paraId="779866D6">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10,898,900</w:t>
            </w:r>
          </w:p>
        </w:tc>
        <w:tc>
          <w:tcPr>
            <w:tcW w:w="510" w:type="dxa"/>
            <w:tcBorders>
              <w:top w:val="nil"/>
              <w:left w:val="nil"/>
              <w:bottom w:val="nil"/>
              <w:right w:val="nil"/>
            </w:tcBorders>
          </w:tcPr>
          <w:p w14:paraId="2CAE22DE">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11,259,361</w:t>
            </w:r>
          </w:p>
        </w:tc>
        <w:tc>
          <w:tcPr>
            <w:tcW w:w="500" w:type="dxa"/>
            <w:tcBorders>
              <w:top w:val="nil"/>
              <w:left w:val="nil"/>
              <w:bottom w:val="nil"/>
              <w:right w:val="nil"/>
            </w:tcBorders>
          </w:tcPr>
          <w:p w14:paraId="2F7C73B2">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11,612,318</w:t>
            </w:r>
          </w:p>
        </w:tc>
        <w:tc>
          <w:tcPr>
            <w:tcW w:w="476" w:type="dxa"/>
            <w:tcBorders>
              <w:top w:val="nil"/>
              <w:left w:val="nil"/>
              <w:bottom w:val="nil"/>
              <w:right w:val="nil"/>
            </w:tcBorders>
          </w:tcPr>
          <w:p w14:paraId="546F2D5C">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11,958,431</w:t>
            </w:r>
          </w:p>
        </w:tc>
        <w:tc>
          <w:tcPr>
            <w:tcW w:w="476" w:type="dxa"/>
            <w:tcBorders>
              <w:top w:val="nil"/>
              <w:left w:val="nil"/>
              <w:bottom w:val="nil"/>
              <w:right w:val="nil"/>
            </w:tcBorders>
          </w:tcPr>
          <w:p w14:paraId="482BF704">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12,315,760</w:t>
            </w:r>
          </w:p>
        </w:tc>
        <w:tc>
          <w:tcPr>
            <w:tcW w:w="492" w:type="dxa"/>
            <w:tcBorders>
              <w:top w:val="nil"/>
              <w:left w:val="nil"/>
              <w:bottom w:val="nil"/>
              <w:right w:val="nil"/>
            </w:tcBorders>
          </w:tcPr>
          <w:p w14:paraId="59B03110">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12,683,756</w:t>
            </w:r>
          </w:p>
        </w:tc>
        <w:tc>
          <w:tcPr>
            <w:tcW w:w="503" w:type="dxa"/>
            <w:tcBorders>
              <w:top w:val="nil"/>
              <w:left w:val="nil"/>
              <w:bottom w:val="nil"/>
              <w:right w:val="nil"/>
            </w:tcBorders>
          </w:tcPr>
          <w:p w14:paraId="57572022">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13,061,860</w:t>
            </w:r>
          </w:p>
        </w:tc>
        <w:tc>
          <w:tcPr>
            <w:tcW w:w="510" w:type="dxa"/>
            <w:tcBorders>
              <w:top w:val="nil"/>
              <w:left w:val="nil"/>
              <w:bottom w:val="nil"/>
              <w:right w:val="nil"/>
            </w:tcBorders>
          </w:tcPr>
          <w:p w14:paraId="447892B7">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13,450,530</w:t>
            </w:r>
          </w:p>
        </w:tc>
        <w:tc>
          <w:tcPr>
            <w:tcW w:w="495" w:type="dxa"/>
            <w:tcBorders>
              <w:top w:val="nil"/>
              <w:left w:val="nil"/>
              <w:bottom w:val="nil"/>
              <w:right w:val="nil"/>
            </w:tcBorders>
          </w:tcPr>
          <w:p w14:paraId="60A15291">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13,852,238</w:t>
            </w:r>
          </w:p>
        </w:tc>
        <w:tc>
          <w:tcPr>
            <w:tcW w:w="482" w:type="dxa"/>
            <w:tcBorders>
              <w:top w:val="nil"/>
              <w:left w:val="nil"/>
              <w:bottom w:val="nil"/>
              <w:right w:val="nil"/>
            </w:tcBorders>
          </w:tcPr>
          <w:p w14:paraId="27E96795">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14,253,549</w:t>
            </w:r>
          </w:p>
        </w:tc>
        <w:tc>
          <w:tcPr>
            <w:tcW w:w="495" w:type="dxa"/>
            <w:tcBorders>
              <w:top w:val="nil"/>
              <w:left w:val="nil"/>
              <w:bottom w:val="nil"/>
              <w:right w:val="nil"/>
            </w:tcBorders>
          </w:tcPr>
          <w:p w14:paraId="40378FFA">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14,655,311</w:t>
            </w:r>
          </w:p>
        </w:tc>
        <w:tc>
          <w:tcPr>
            <w:tcW w:w="476" w:type="dxa"/>
            <w:tcBorders>
              <w:top w:val="nil"/>
              <w:left w:val="nil"/>
              <w:bottom w:val="nil"/>
              <w:right w:val="nil"/>
            </w:tcBorders>
          </w:tcPr>
          <w:p w14:paraId="2E9B4349">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15,057,715</w:t>
            </w:r>
          </w:p>
        </w:tc>
        <w:tc>
          <w:tcPr>
            <w:tcW w:w="476" w:type="dxa"/>
            <w:tcBorders>
              <w:top w:val="nil"/>
              <w:left w:val="nil"/>
              <w:bottom w:val="nil"/>
              <w:right w:val="nil"/>
            </w:tcBorders>
          </w:tcPr>
          <w:p w14:paraId="15711CB7">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15,462,177</w:t>
            </w:r>
          </w:p>
        </w:tc>
      </w:tr>
      <w:tr w14:paraId="4E854C69">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2BDF04E3">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KATSINA</w:t>
            </w:r>
          </w:p>
        </w:tc>
        <w:tc>
          <w:tcPr>
            <w:tcW w:w="671" w:type="dxa"/>
            <w:tcBorders>
              <w:top w:val="nil"/>
              <w:left w:val="nil"/>
              <w:bottom w:val="nil"/>
              <w:right w:val="nil"/>
            </w:tcBorders>
          </w:tcPr>
          <w:p w14:paraId="25CB55D4">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5,801,584</w:t>
            </w:r>
          </w:p>
        </w:tc>
        <w:tc>
          <w:tcPr>
            <w:tcW w:w="486" w:type="dxa"/>
            <w:tcBorders>
              <w:top w:val="nil"/>
              <w:left w:val="nil"/>
              <w:bottom w:val="nil"/>
              <w:right w:val="nil"/>
            </w:tcBorders>
          </w:tcPr>
          <w:p w14:paraId="04A865EF">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6,023,815</w:t>
            </w:r>
          </w:p>
        </w:tc>
        <w:tc>
          <w:tcPr>
            <w:tcW w:w="480" w:type="dxa"/>
            <w:tcBorders>
              <w:top w:val="nil"/>
              <w:left w:val="nil"/>
              <w:bottom w:val="nil"/>
              <w:right w:val="nil"/>
            </w:tcBorders>
          </w:tcPr>
          <w:p w14:paraId="4B5B32FA">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6,252,815</w:t>
            </w:r>
          </w:p>
        </w:tc>
        <w:tc>
          <w:tcPr>
            <w:tcW w:w="484" w:type="dxa"/>
            <w:tcBorders>
              <w:top w:val="nil"/>
              <w:left w:val="nil"/>
              <w:bottom w:val="nil"/>
              <w:right w:val="nil"/>
            </w:tcBorders>
          </w:tcPr>
          <w:p w14:paraId="04BF80A8">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6,488,761</w:t>
            </w:r>
          </w:p>
        </w:tc>
        <w:tc>
          <w:tcPr>
            <w:tcW w:w="492" w:type="dxa"/>
            <w:tcBorders>
              <w:top w:val="nil"/>
              <w:left w:val="nil"/>
              <w:bottom w:val="nil"/>
              <w:right w:val="nil"/>
            </w:tcBorders>
          </w:tcPr>
          <w:p w14:paraId="41B76CB8">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6,732,529</w:t>
            </w:r>
          </w:p>
        </w:tc>
        <w:tc>
          <w:tcPr>
            <w:tcW w:w="510" w:type="dxa"/>
            <w:tcBorders>
              <w:top w:val="nil"/>
              <w:left w:val="nil"/>
              <w:bottom w:val="nil"/>
              <w:right w:val="nil"/>
            </w:tcBorders>
          </w:tcPr>
          <w:p w14:paraId="34D2B7D2">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6,984,729</w:t>
            </w:r>
          </w:p>
        </w:tc>
        <w:tc>
          <w:tcPr>
            <w:tcW w:w="500" w:type="dxa"/>
            <w:tcBorders>
              <w:top w:val="nil"/>
              <w:left w:val="nil"/>
              <w:bottom w:val="nil"/>
              <w:right w:val="nil"/>
            </w:tcBorders>
          </w:tcPr>
          <w:p w14:paraId="12E2B920">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7,245,828</w:t>
            </w:r>
          </w:p>
        </w:tc>
        <w:tc>
          <w:tcPr>
            <w:tcW w:w="476" w:type="dxa"/>
            <w:tcBorders>
              <w:top w:val="nil"/>
              <w:left w:val="nil"/>
              <w:bottom w:val="nil"/>
              <w:right w:val="nil"/>
            </w:tcBorders>
          </w:tcPr>
          <w:p w14:paraId="1EE4BF31">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7,516,462</w:t>
            </w:r>
          </w:p>
        </w:tc>
        <w:tc>
          <w:tcPr>
            <w:tcW w:w="476" w:type="dxa"/>
            <w:tcBorders>
              <w:top w:val="nil"/>
              <w:left w:val="nil"/>
              <w:bottom w:val="nil"/>
              <w:right w:val="nil"/>
            </w:tcBorders>
          </w:tcPr>
          <w:p w14:paraId="488787FA">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7,793,967</w:t>
            </w:r>
          </w:p>
        </w:tc>
        <w:tc>
          <w:tcPr>
            <w:tcW w:w="492" w:type="dxa"/>
            <w:tcBorders>
              <w:top w:val="nil"/>
              <w:left w:val="nil"/>
              <w:bottom w:val="nil"/>
              <w:right w:val="nil"/>
            </w:tcBorders>
          </w:tcPr>
          <w:p w14:paraId="12785F1C">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7,793,967</w:t>
            </w:r>
          </w:p>
        </w:tc>
        <w:tc>
          <w:tcPr>
            <w:tcW w:w="503" w:type="dxa"/>
            <w:tcBorders>
              <w:top w:val="nil"/>
              <w:left w:val="nil"/>
              <w:bottom w:val="nil"/>
              <w:right w:val="nil"/>
            </w:tcBorders>
          </w:tcPr>
          <w:p w14:paraId="2EE56E1E">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8,369,926</w:t>
            </w:r>
          </w:p>
        </w:tc>
        <w:tc>
          <w:tcPr>
            <w:tcW w:w="510" w:type="dxa"/>
            <w:tcBorders>
              <w:top w:val="nil"/>
              <w:left w:val="nil"/>
              <w:bottom w:val="nil"/>
              <w:right w:val="nil"/>
            </w:tcBorders>
          </w:tcPr>
          <w:p w14:paraId="32BE5089">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8,668,899</w:t>
            </w:r>
          </w:p>
        </w:tc>
        <w:tc>
          <w:tcPr>
            <w:tcW w:w="495" w:type="dxa"/>
            <w:tcBorders>
              <w:top w:val="nil"/>
              <w:left w:val="nil"/>
              <w:bottom w:val="nil"/>
              <w:right w:val="nil"/>
            </w:tcBorders>
          </w:tcPr>
          <w:p w14:paraId="4A24773A">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8,977,242</w:t>
            </w:r>
          </w:p>
        </w:tc>
        <w:tc>
          <w:tcPr>
            <w:tcW w:w="482" w:type="dxa"/>
            <w:tcBorders>
              <w:top w:val="nil"/>
              <w:left w:val="nil"/>
              <w:bottom w:val="nil"/>
              <w:right w:val="nil"/>
            </w:tcBorders>
          </w:tcPr>
          <w:p w14:paraId="73FED5A4">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9,300,382</w:t>
            </w:r>
          </w:p>
        </w:tc>
        <w:tc>
          <w:tcPr>
            <w:tcW w:w="495" w:type="dxa"/>
            <w:tcBorders>
              <w:top w:val="nil"/>
              <w:left w:val="nil"/>
              <w:bottom w:val="nil"/>
              <w:right w:val="nil"/>
            </w:tcBorders>
          </w:tcPr>
          <w:p w14:paraId="1256F229">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9,639,059</w:t>
            </w:r>
          </w:p>
        </w:tc>
        <w:tc>
          <w:tcPr>
            <w:tcW w:w="476" w:type="dxa"/>
            <w:tcBorders>
              <w:top w:val="nil"/>
              <w:left w:val="nil"/>
              <w:bottom w:val="nil"/>
              <w:right w:val="nil"/>
            </w:tcBorders>
          </w:tcPr>
          <w:p w14:paraId="2C94D2DB">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9,994,288</w:t>
            </w:r>
          </w:p>
        </w:tc>
        <w:tc>
          <w:tcPr>
            <w:tcW w:w="476" w:type="dxa"/>
            <w:tcBorders>
              <w:top w:val="nil"/>
              <w:left w:val="nil"/>
              <w:bottom w:val="nil"/>
              <w:right w:val="nil"/>
            </w:tcBorders>
          </w:tcPr>
          <w:p w14:paraId="6469EBBB">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10,368,483</w:t>
            </w:r>
          </w:p>
        </w:tc>
      </w:tr>
      <w:tr w14:paraId="3E375CA6">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6AD12C10">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KEBBI</w:t>
            </w:r>
          </w:p>
        </w:tc>
        <w:tc>
          <w:tcPr>
            <w:tcW w:w="671" w:type="dxa"/>
            <w:tcBorders>
              <w:top w:val="nil"/>
              <w:left w:val="nil"/>
              <w:bottom w:val="nil"/>
              <w:right w:val="nil"/>
            </w:tcBorders>
          </w:tcPr>
          <w:p w14:paraId="75944C6F">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3,256,541</w:t>
            </w:r>
          </w:p>
        </w:tc>
        <w:tc>
          <w:tcPr>
            <w:tcW w:w="486" w:type="dxa"/>
            <w:tcBorders>
              <w:top w:val="nil"/>
              <w:left w:val="nil"/>
              <w:bottom w:val="nil"/>
              <w:right w:val="nil"/>
            </w:tcBorders>
          </w:tcPr>
          <w:p w14:paraId="55452A72">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3,360,340</w:t>
            </w:r>
          </w:p>
        </w:tc>
        <w:tc>
          <w:tcPr>
            <w:tcW w:w="480" w:type="dxa"/>
            <w:tcBorders>
              <w:top w:val="nil"/>
              <w:left w:val="nil"/>
              <w:bottom w:val="nil"/>
              <w:right w:val="nil"/>
            </w:tcBorders>
          </w:tcPr>
          <w:p w14:paraId="597A3573">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3,468,467</w:t>
            </w:r>
          </w:p>
        </w:tc>
        <w:tc>
          <w:tcPr>
            <w:tcW w:w="484" w:type="dxa"/>
            <w:tcBorders>
              <w:top w:val="nil"/>
              <w:left w:val="nil"/>
              <w:bottom w:val="nil"/>
              <w:right w:val="nil"/>
            </w:tcBorders>
          </w:tcPr>
          <w:p w14:paraId="4061550B">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3,582,255</w:t>
            </w:r>
          </w:p>
        </w:tc>
        <w:tc>
          <w:tcPr>
            <w:tcW w:w="492" w:type="dxa"/>
            <w:tcBorders>
              <w:top w:val="nil"/>
              <w:left w:val="nil"/>
              <w:bottom w:val="nil"/>
              <w:right w:val="nil"/>
            </w:tcBorders>
          </w:tcPr>
          <w:p w14:paraId="71085FC9">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3,701,785</w:t>
            </w:r>
          </w:p>
        </w:tc>
        <w:tc>
          <w:tcPr>
            <w:tcW w:w="510" w:type="dxa"/>
            <w:tcBorders>
              <w:top w:val="nil"/>
              <w:left w:val="nil"/>
              <w:bottom w:val="nil"/>
              <w:right w:val="nil"/>
            </w:tcBorders>
          </w:tcPr>
          <w:p w14:paraId="694F8539">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3,826,955</w:t>
            </w:r>
          </w:p>
        </w:tc>
        <w:tc>
          <w:tcPr>
            <w:tcW w:w="500" w:type="dxa"/>
            <w:tcBorders>
              <w:top w:val="nil"/>
              <w:left w:val="nil"/>
              <w:bottom w:val="nil"/>
              <w:right w:val="nil"/>
            </w:tcBorders>
          </w:tcPr>
          <w:p w14:paraId="2AB6C86E">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3,957,728</w:t>
            </w:r>
          </w:p>
        </w:tc>
        <w:tc>
          <w:tcPr>
            <w:tcW w:w="476" w:type="dxa"/>
            <w:tcBorders>
              <w:top w:val="nil"/>
              <w:left w:val="nil"/>
              <w:bottom w:val="nil"/>
              <w:right w:val="nil"/>
            </w:tcBorders>
          </w:tcPr>
          <w:p w14:paraId="4133ECF1">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4,094,168</w:t>
            </w:r>
          </w:p>
        </w:tc>
        <w:tc>
          <w:tcPr>
            <w:tcW w:w="476" w:type="dxa"/>
            <w:tcBorders>
              <w:top w:val="nil"/>
              <w:left w:val="nil"/>
              <w:bottom w:val="nil"/>
              <w:right w:val="nil"/>
            </w:tcBorders>
          </w:tcPr>
          <w:p w14:paraId="0015B03F">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4,234,095</w:t>
            </w:r>
          </w:p>
        </w:tc>
        <w:tc>
          <w:tcPr>
            <w:tcW w:w="492" w:type="dxa"/>
            <w:tcBorders>
              <w:top w:val="nil"/>
              <w:left w:val="nil"/>
              <w:bottom w:val="nil"/>
              <w:right w:val="nil"/>
            </w:tcBorders>
          </w:tcPr>
          <w:p w14:paraId="5B171A6E">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4,377,770</w:t>
            </w:r>
          </w:p>
        </w:tc>
        <w:tc>
          <w:tcPr>
            <w:tcW w:w="503" w:type="dxa"/>
            <w:tcBorders>
              <w:top w:val="nil"/>
              <w:left w:val="nil"/>
              <w:bottom w:val="nil"/>
              <w:right w:val="nil"/>
            </w:tcBorders>
          </w:tcPr>
          <w:p w14:paraId="205DDAFC">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4,525,293</w:t>
            </w:r>
          </w:p>
        </w:tc>
        <w:tc>
          <w:tcPr>
            <w:tcW w:w="510" w:type="dxa"/>
            <w:tcBorders>
              <w:top w:val="nil"/>
              <w:left w:val="nil"/>
              <w:bottom w:val="nil"/>
              <w:right w:val="nil"/>
            </w:tcBorders>
          </w:tcPr>
          <w:p w14:paraId="4BA6C1AC">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4,677,379</w:t>
            </w:r>
          </w:p>
        </w:tc>
        <w:tc>
          <w:tcPr>
            <w:tcW w:w="495" w:type="dxa"/>
            <w:tcBorders>
              <w:top w:val="nil"/>
              <w:left w:val="nil"/>
              <w:bottom w:val="nil"/>
              <w:right w:val="nil"/>
            </w:tcBorders>
          </w:tcPr>
          <w:p w14:paraId="5760D24D">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4,834,886</w:t>
            </w:r>
          </w:p>
        </w:tc>
        <w:tc>
          <w:tcPr>
            <w:tcW w:w="482" w:type="dxa"/>
            <w:tcBorders>
              <w:top w:val="nil"/>
              <w:left w:val="nil"/>
              <w:bottom w:val="nil"/>
              <w:right w:val="nil"/>
            </w:tcBorders>
          </w:tcPr>
          <w:p w14:paraId="3870C69D">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5,001,610</w:t>
            </w:r>
          </w:p>
        </w:tc>
        <w:tc>
          <w:tcPr>
            <w:tcW w:w="495" w:type="dxa"/>
            <w:tcBorders>
              <w:top w:val="nil"/>
              <w:left w:val="nil"/>
              <w:bottom w:val="nil"/>
              <w:right w:val="nil"/>
            </w:tcBorders>
          </w:tcPr>
          <w:p w14:paraId="59804B6D">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5,178,123</w:t>
            </w:r>
          </w:p>
        </w:tc>
        <w:tc>
          <w:tcPr>
            <w:tcW w:w="476" w:type="dxa"/>
            <w:tcBorders>
              <w:top w:val="nil"/>
              <w:left w:val="nil"/>
              <w:bottom w:val="nil"/>
              <w:right w:val="nil"/>
            </w:tcBorders>
          </w:tcPr>
          <w:p w14:paraId="29DA7EFF">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5,365,330</w:t>
            </w:r>
          </w:p>
        </w:tc>
        <w:tc>
          <w:tcPr>
            <w:tcW w:w="476" w:type="dxa"/>
            <w:tcBorders>
              <w:top w:val="nil"/>
              <w:left w:val="nil"/>
              <w:bottom w:val="nil"/>
              <w:right w:val="nil"/>
            </w:tcBorders>
          </w:tcPr>
          <w:p w14:paraId="3E46D3C7">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5,563,907</w:t>
            </w:r>
          </w:p>
        </w:tc>
      </w:tr>
      <w:tr w14:paraId="1E263595">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6CEA2099">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KOGI</w:t>
            </w:r>
          </w:p>
        </w:tc>
        <w:tc>
          <w:tcPr>
            <w:tcW w:w="671" w:type="dxa"/>
            <w:tcBorders>
              <w:top w:val="nil"/>
              <w:left w:val="nil"/>
              <w:bottom w:val="nil"/>
              <w:right w:val="nil"/>
            </w:tcBorders>
          </w:tcPr>
          <w:p w14:paraId="6CF174AE">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3,314,043</w:t>
            </w:r>
          </w:p>
        </w:tc>
        <w:tc>
          <w:tcPr>
            <w:tcW w:w="486" w:type="dxa"/>
            <w:tcBorders>
              <w:top w:val="nil"/>
              <w:left w:val="nil"/>
              <w:bottom w:val="nil"/>
              <w:right w:val="nil"/>
            </w:tcBorders>
          </w:tcPr>
          <w:p w14:paraId="06163505">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3,352,369</w:t>
            </w:r>
          </w:p>
        </w:tc>
        <w:tc>
          <w:tcPr>
            <w:tcW w:w="480" w:type="dxa"/>
            <w:tcBorders>
              <w:top w:val="nil"/>
              <w:left w:val="nil"/>
              <w:bottom w:val="nil"/>
              <w:right w:val="nil"/>
            </w:tcBorders>
          </w:tcPr>
          <w:p w14:paraId="1CFCB365">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3,396,391</w:t>
            </w:r>
          </w:p>
        </w:tc>
        <w:tc>
          <w:tcPr>
            <w:tcW w:w="484" w:type="dxa"/>
            <w:tcBorders>
              <w:top w:val="nil"/>
              <w:left w:val="nil"/>
              <w:bottom w:val="nil"/>
              <w:right w:val="nil"/>
            </w:tcBorders>
          </w:tcPr>
          <w:p w14:paraId="257AF479">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3,444,522</w:t>
            </w:r>
          </w:p>
        </w:tc>
        <w:tc>
          <w:tcPr>
            <w:tcW w:w="492" w:type="dxa"/>
            <w:tcBorders>
              <w:top w:val="nil"/>
              <w:left w:val="nil"/>
              <w:bottom w:val="nil"/>
              <w:right w:val="nil"/>
            </w:tcBorders>
          </w:tcPr>
          <w:p w14:paraId="79018412">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3,496,074</w:t>
            </w:r>
          </w:p>
        </w:tc>
        <w:tc>
          <w:tcPr>
            <w:tcW w:w="510" w:type="dxa"/>
            <w:tcBorders>
              <w:top w:val="nil"/>
              <w:left w:val="nil"/>
              <w:bottom w:val="nil"/>
              <w:right w:val="nil"/>
            </w:tcBorders>
          </w:tcPr>
          <w:p w14:paraId="4A3496A2">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3,550,841</w:t>
            </w:r>
          </w:p>
        </w:tc>
        <w:tc>
          <w:tcPr>
            <w:tcW w:w="500" w:type="dxa"/>
            <w:tcBorders>
              <w:top w:val="nil"/>
              <w:left w:val="nil"/>
              <w:bottom w:val="nil"/>
              <w:right w:val="nil"/>
            </w:tcBorders>
          </w:tcPr>
          <w:p w14:paraId="5E839480">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3,608,382</w:t>
            </w:r>
          </w:p>
        </w:tc>
        <w:tc>
          <w:tcPr>
            <w:tcW w:w="476" w:type="dxa"/>
            <w:tcBorders>
              <w:top w:val="nil"/>
              <w:left w:val="nil"/>
              <w:bottom w:val="nil"/>
              <w:right w:val="nil"/>
            </w:tcBorders>
          </w:tcPr>
          <w:p w14:paraId="78E4CF8F">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3,668,755</w:t>
            </w:r>
          </w:p>
        </w:tc>
        <w:tc>
          <w:tcPr>
            <w:tcW w:w="476" w:type="dxa"/>
            <w:tcBorders>
              <w:top w:val="nil"/>
              <w:left w:val="nil"/>
              <w:bottom w:val="nil"/>
              <w:right w:val="nil"/>
            </w:tcBorders>
          </w:tcPr>
          <w:p w14:paraId="7CFB91B7">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3,734,782</w:t>
            </w:r>
          </w:p>
        </w:tc>
        <w:tc>
          <w:tcPr>
            <w:tcW w:w="492" w:type="dxa"/>
            <w:tcBorders>
              <w:top w:val="nil"/>
              <w:left w:val="nil"/>
              <w:bottom w:val="nil"/>
              <w:right w:val="nil"/>
            </w:tcBorders>
          </w:tcPr>
          <w:p w14:paraId="5A12018E">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3,806,551</w:t>
            </w:r>
          </w:p>
        </w:tc>
        <w:tc>
          <w:tcPr>
            <w:tcW w:w="503" w:type="dxa"/>
            <w:tcBorders>
              <w:top w:val="nil"/>
              <w:left w:val="nil"/>
              <w:bottom w:val="nil"/>
              <w:right w:val="nil"/>
            </w:tcBorders>
          </w:tcPr>
          <w:p w14:paraId="7FD289F6">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3,884,218</w:t>
            </w:r>
          </w:p>
        </w:tc>
        <w:tc>
          <w:tcPr>
            <w:tcW w:w="510" w:type="dxa"/>
            <w:tcBorders>
              <w:top w:val="nil"/>
              <w:left w:val="nil"/>
              <w:bottom w:val="nil"/>
              <w:right w:val="nil"/>
            </w:tcBorders>
          </w:tcPr>
          <w:p w14:paraId="4B03995A">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3,967,919</w:t>
            </w:r>
          </w:p>
        </w:tc>
        <w:tc>
          <w:tcPr>
            <w:tcW w:w="495" w:type="dxa"/>
            <w:tcBorders>
              <w:top w:val="nil"/>
              <w:left w:val="nil"/>
              <w:bottom w:val="nil"/>
              <w:right w:val="nil"/>
            </w:tcBorders>
          </w:tcPr>
          <w:p w14:paraId="641EFC9E">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4,058,704</w:t>
            </w:r>
          </w:p>
        </w:tc>
        <w:tc>
          <w:tcPr>
            <w:tcW w:w="482" w:type="dxa"/>
            <w:tcBorders>
              <w:top w:val="nil"/>
              <w:left w:val="nil"/>
              <w:bottom w:val="nil"/>
              <w:right w:val="nil"/>
            </w:tcBorders>
          </w:tcPr>
          <w:p w14:paraId="13CE1AF5">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4,153,734</w:t>
            </w:r>
          </w:p>
        </w:tc>
        <w:tc>
          <w:tcPr>
            <w:tcW w:w="495" w:type="dxa"/>
            <w:tcBorders>
              <w:top w:val="nil"/>
              <w:left w:val="nil"/>
              <w:bottom w:val="nil"/>
              <w:right w:val="nil"/>
            </w:tcBorders>
          </w:tcPr>
          <w:p w14:paraId="64ECEF82">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4,253,371</w:t>
            </w:r>
          </w:p>
        </w:tc>
        <w:tc>
          <w:tcPr>
            <w:tcW w:w="476" w:type="dxa"/>
            <w:tcBorders>
              <w:top w:val="nil"/>
              <w:left w:val="nil"/>
              <w:bottom w:val="nil"/>
              <w:right w:val="nil"/>
            </w:tcBorders>
          </w:tcPr>
          <w:p w14:paraId="70AD4B81">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4,357,794</w:t>
            </w:r>
          </w:p>
        </w:tc>
        <w:tc>
          <w:tcPr>
            <w:tcW w:w="476" w:type="dxa"/>
            <w:tcBorders>
              <w:top w:val="nil"/>
              <w:left w:val="nil"/>
              <w:bottom w:val="nil"/>
              <w:right w:val="nil"/>
            </w:tcBorders>
          </w:tcPr>
          <w:p w14:paraId="433688AD">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4,466,801</w:t>
            </w:r>
          </w:p>
        </w:tc>
      </w:tr>
      <w:tr w14:paraId="5AAA71EF">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3AE25BB6">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KWARA</w:t>
            </w:r>
          </w:p>
        </w:tc>
        <w:tc>
          <w:tcPr>
            <w:tcW w:w="671" w:type="dxa"/>
            <w:tcBorders>
              <w:top w:val="nil"/>
              <w:left w:val="nil"/>
              <w:bottom w:val="nil"/>
              <w:right w:val="nil"/>
            </w:tcBorders>
          </w:tcPr>
          <w:p w14:paraId="18E53301">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2,365,353</w:t>
            </w:r>
          </w:p>
        </w:tc>
        <w:tc>
          <w:tcPr>
            <w:tcW w:w="486" w:type="dxa"/>
            <w:tcBorders>
              <w:top w:val="nil"/>
              <w:left w:val="nil"/>
              <w:bottom w:val="nil"/>
              <w:right w:val="nil"/>
            </w:tcBorders>
          </w:tcPr>
          <w:p w14:paraId="2BE277B2">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2,415,629</w:t>
            </w:r>
          </w:p>
        </w:tc>
        <w:tc>
          <w:tcPr>
            <w:tcW w:w="480" w:type="dxa"/>
            <w:tcBorders>
              <w:top w:val="nil"/>
              <w:left w:val="nil"/>
              <w:bottom w:val="nil"/>
              <w:right w:val="nil"/>
            </w:tcBorders>
          </w:tcPr>
          <w:p w14:paraId="2A16A256">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2,468,744</w:t>
            </w:r>
          </w:p>
        </w:tc>
        <w:tc>
          <w:tcPr>
            <w:tcW w:w="484" w:type="dxa"/>
            <w:tcBorders>
              <w:top w:val="nil"/>
              <w:left w:val="nil"/>
              <w:bottom w:val="nil"/>
              <w:right w:val="nil"/>
            </w:tcBorders>
          </w:tcPr>
          <w:p w14:paraId="415E7956">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2,525,690</w:t>
            </w:r>
          </w:p>
        </w:tc>
        <w:tc>
          <w:tcPr>
            <w:tcW w:w="492" w:type="dxa"/>
            <w:tcBorders>
              <w:top w:val="nil"/>
              <w:left w:val="nil"/>
              <w:bottom w:val="nil"/>
              <w:right w:val="nil"/>
            </w:tcBorders>
          </w:tcPr>
          <w:p w14:paraId="6061A5A4">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2,586,148</w:t>
            </w:r>
          </w:p>
        </w:tc>
        <w:tc>
          <w:tcPr>
            <w:tcW w:w="510" w:type="dxa"/>
            <w:tcBorders>
              <w:top w:val="nil"/>
              <w:left w:val="nil"/>
              <w:bottom w:val="nil"/>
              <w:right w:val="nil"/>
            </w:tcBorders>
          </w:tcPr>
          <w:p w14:paraId="1D1C76C5">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2,650,004</w:t>
            </w:r>
          </w:p>
        </w:tc>
        <w:tc>
          <w:tcPr>
            <w:tcW w:w="500" w:type="dxa"/>
            <w:tcBorders>
              <w:top w:val="nil"/>
              <w:left w:val="nil"/>
              <w:bottom w:val="nil"/>
              <w:right w:val="nil"/>
            </w:tcBorders>
          </w:tcPr>
          <w:p w14:paraId="68053683">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2,716,873</w:t>
            </w:r>
          </w:p>
        </w:tc>
        <w:tc>
          <w:tcPr>
            <w:tcW w:w="476" w:type="dxa"/>
            <w:tcBorders>
              <w:top w:val="nil"/>
              <w:left w:val="nil"/>
              <w:bottom w:val="nil"/>
              <w:right w:val="nil"/>
            </w:tcBorders>
          </w:tcPr>
          <w:p w14:paraId="2B091C5A">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2,786,756</w:t>
            </w:r>
          </w:p>
        </w:tc>
        <w:tc>
          <w:tcPr>
            <w:tcW w:w="476" w:type="dxa"/>
            <w:tcBorders>
              <w:top w:val="nil"/>
              <w:left w:val="nil"/>
              <w:bottom w:val="nil"/>
              <w:right w:val="nil"/>
            </w:tcBorders>
          </w:tcPr>
          <w:p w14:paraId="17917D98">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2,858,762</w:t>
            </w:r>
          </w:p>
        </w:tc>
        <w:tc>
          <w:tcPr>
            <w:tcW w:w="492" w:type="dxa"/>
            <w:tcBorders>
              <w:top w:val="nil"/>
              <w:left w:val="nil"/>
              <w:bottom w:val="nil"/>
              <w:right w:val="nil"/>
            </w:tcBorders>
          </w:tcPr>
          <w:p w14:paraId="438BDBFA">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2,933,031</w:t>
            </w:r>
          </w:p>
        </w:tc>
        <w:tc>
          <w:tcPr>
            <w:tcW w:w="503" w:type="dxa"/>
            <w:tcBorders>
              <w:top w:val="nil"/>
              <w:left w:val="nil"/>
              <w:bottom w:val="nil"/>
              <w:right w:val="nil"/>
            </w:tcBorders>
          </w:tcPr>
          <w:p w14:paraId="6782E2A8">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3,009,755</w:t>
            </w:r>
          </w:p>
        </w:tc>
        <w:tc>
          <w:tcPr>
            <w:tcW w:w="510" w:type="dxa"/>
            <w:tcBorders>
              <w:top w:val="nil"/>
              <w:left w:val="nil"/>
              <w:bottom w:val="nil"/>
              <w:right w:val="nil"/>
            </w:tcBorders>
          </w:tcPr>
          <w:p w14:paraId="233E22E5">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3,089,231</w:t>
            </w:r>
          </w:p>
        </w:tc>
        <w:tc>
          <w:tcPr>
            <w:tcW w:w="495" w:type="dxa"/>
            <w:tcBorders>
              <w:top w:val="nil"/>
              <w:left w:val="nil"/>
              <w:bottom w:val="nil"/>
              <w:right w:val="nil"/>
            </w:tcBorders>
          </w:tcPr>
          <w:p w14:paraId="21CD7932">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3,172,216</w:t>
            </w:r>
          </w:p>
        </w:tc>
        <w:tc>
          <w:tcPr>
            <w:tcW w:w="482" w:type="dxa"/>
            <w:tcBorders>
              <w:top w:val="nil"/>
              <w:left w:val="nil"/>
              <w:bottom w:val="nil"/>
              <w:right w:val="nil"/>
            </w:tcBorders>
          </w:tcPr>
          <w:p w14:paraId="62AF2A03">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3,259,613</w:t>
            </w:r>
          </w:p>
        </w:tc>
        <w:tc>
          <w:tcPr>
            <w:tcW w:w="495" w:type="dxa"/>
            <w:tcBorders>
              <w:top w:val="nil"/>
              <w:left w:val="nil"/>
              <w:bottom w:val="nil"/>
              <w:right w:val="nil"/>
            </w:tcBorders>
          </w:tcPr>
          <w:p w14:paraId="74EB8D6D">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3,351,720</w:t>
            </w:r>
          </w:p>
        </w:tc>
        <w:tc>
          <w:tcPr>
            <w:tcW w:w="476" w:type="dxa"/>
            <w:tcBorders>
              <w:top w:val="nil"/>
              <w:left w:val="nil"/>
              <w:bottom w:val="nil"/>
              <w:right w:val="nil"/>
            </w:tcBorders>
          </w:tcPr>
          <w:p w14:paraId="0B9D94B9">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3,448,777</w:t>
            </w:r>
          </w:p>
        </w:tc>
        <w:tc>
          <w:tcPr>
            <w:tcW w:w="476" w:type="dxa"/>
            <w:tcBorders>
              <w:top w:val="nil"/>
              <w:left w:val="nil"/>
              <w:bottom w:val="nil"/>
              <w:right w:val="nil"/>
            </w:tcBorders>
          </w:tcPr>
          <w:p w14:paraId="375F3614">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3,551,023</w:t>
            </w:r>
          </w:p>
        </w:tc>
      </w:tr>
      <w:tr w14:paraId="069CC424">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57E1C167">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LAGOS</w:t>
            </w:r>
          </w:p>
        </w:tc>
        <w:tc>
          <w:tcPr>
            <w:tcW w:w="671" w:type="dxa"/>
            <w:tcBorders>
              <w:top w:val="nil"/>
              <w:left w:val="nil"/>
              <w:bottom w:val="nil"/>
              <w:right w:val="nil"/>
            </w:tcBorders>
          </w:tcPr>
          <w:p w14:paraId="0AC5759F">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9,113,605</w:t>
            </w:r>
          </w:p>
        </w:tc>
        <w:tc>
          <w:tcPr>
            <w:tcW w:w="486" w:type="dxa"/>
            <w:tcBorders>
              <w:top w:val="nil"/>
              <w:left w:val="nil"/>
              <w:bottom w:val="nil"/>
              <w:right w:val="nil"/>
            </w:tcBorders>
          </w:tcPr>
          <w:p w14:paraId="543E0923">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9,383,057</w:t>
            </w:r>
          </w:p>
        </w:tc>
        <w:tc>
          <w:tcPr>
            <w:tcW w:w="480" w:type="dxa"/>
            <w:tcBorders>
              <w:top w:val="nil"/>
              <w:left w:val="nil"/>
              <w:bottom w:val="nil"/>
              <w:right w:val="nil"/>
            </w:tcBorders>
          </w:tcPr>
          <w:p w14:paraId="6AF15C47">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9,660,057</w:t>
            </w:r>
          </w:p>
        </w:tc>
        <w:tc>
          <w:tcPr>
            <w:tcW w:w="484" w:type="dxa"/>
            <w:tcBorders>
              <w:top w:val="nil"/>
              <w:left w:val="nil"/>
              <w:bottom w:val="nil"/>
              <w:right w:val="nil"/>
            </w:tcBorders>
          </w:tcPr>
          <w:p w14:paraId="486E0475">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9,948,305</w:t>
            </w:r>
          </w:p>
        </w:tc>
        <w:tc>
          <w:tcPr>
            <w:tcW w:w="492" w:type="dxa"/>
            <w:tcBorders>
              <w:top w:val="nil"/>
              <w:left w:val="nil"/>
              <w:bottom w:val="nil"/>
              <w:right w:val="nil"/>
            </w:tcBorders>
          </w:tcPr>
          <w:p w14:paraId="3FADCF4D">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10,246,131</w:t>
            </w:r>
          </w:p>
        </w:tc>
        <w:tc>
          <w:tcPr>
            <w:tcW w:w="510" w:type="dxa"/>
            <w:tcBorders>
              <w:top w:val="nil"/>
              <w:left w:val="nil"/>
              <w:bottom w:val="nil"/>
              <w:right w:val="nil"/>
            </w:tcBorders>
          </w:tcPr>
          <w:p w14:paraId="09F68BCD">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10,551,625</w:t>
            </w:r>
          </w:p>
        </w:tc>
        <w:tc>
          <w:tcPr>
            <w:tcW w:w="500" w:type="dxa"/>
            <w:tcBorders>
              <w:top w:val="nil"/>
              <w:left w:val="nil"/>
              <w:bottom w:val="nil"/>
              <w:right w:val="nil"/>
            </w:tcBorders>
          </w:tcPr>
          <w:p w14:paraId="525DEE3F">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10,862,618</w:t>
            </w:r>
          </w:p>
        </w:tc>
        <w:tc>
          <w:tcPr>
            <w:tcW w:w="476" w:type="dxa"/>
            <w:tcBorders>
              <w:top w:val="nil"/>
              <w:left w:val="nil"/>
              <w:bottom w:val="nil"/>
              <w:right w:val="nil"/>
            </w:tcBorders>
          </w:tcPr>
          <w:p w14:paraId="7889B841">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11,177,409</w:t>
            </w:r>
          </w:p>
        </w:tc>
        <w:tc>
          <w:tcPr>
            <w:tcW w:w="476" w:type="dxa"/>
            <w:tcBorders>
              <w:top w:val="nil"/>
              <w:left w:val="nil"/>
              <w:bottom w:val="nil"/>
              <w:right w:val="nil"/>
            </w:tcBorders>
          </w:tcPr>
          <w:p w14:paraId="566E9FDB">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11,477,699</w:t>
            </w:r>
          </w:p>
        </w:tc>
        <w:tc>
          <w:tcPr>
            <w:tcW w:w="492" w:type="dxa"/>
            <w:tcBorders>
              <w:top w:val="nil"/>
              <w:left w:val="nil"/>
              <w:bottom w:val="nil"/>
              <w:right w:val="nil"/>
            </w:tcBorders>
          </w:tcPr>
          <w:p w14:paraId="6CF77357">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11,763,161</w:t>
            </w:r>
          </w:p>
        </w:tc>
        <w:tc>
          <w:tcPr>
            <w:tcW w:w="503" w:type="dxa"/>
            <w:tcBorders>
              <w:top w:val="nil"/>
              <w:left w:val="nil"/>
              <w:bottom w:val="nil"/>
              <w:right w:val="nil"/>
            </w:tcBorders>
          </w:tcPr>
          <w:p w14:paraId="6C10C830">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12,033,445</w:t>
            </w:r>
          </w:p>
        </w:tc>
        <w:tc>
          <w:tcPr>
            <w:tcW w:w="510" w:type="dxa"/>
            <w:tcBorders>
              <w:top w:val="nil"/>
              <w:left w:val="nil"/>
              <w:bottom w:val="nil"/>
              <w:right w:val="nil"/>
            </w:tcBorders>
          </w:tcPr>
          <w:p w14:paraId="5ADCD5BE">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12,288,839</w:t>
            </w:r>
          </w:p>
        </w:tc>
        <w:tc>
          <w:tcPr>
            <w:tcW w:w="495" w:type="dxa"/>
            <w:tcBorders>
              <w:top w:val="nil"/>
              <w:left w:val="nil"/>
              <w:bottom w:val="nil"/>
              <w:right w:val="nil"/>
            </w:tcBorders>
          </w:tcPr>
          <w:p w14:paraId="6500C10C">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12,531,530</w:t>
            </w:r>
          </w:p>
        </w:tc>
        <w:tc>
          <w:tcPr>
            <w:tcW w:w="482" w:type="dxa"/>
            <w:tcBorders>
              <w:top w:val="nil"/>
              <w:left w:val="nil"/>
              <w:bottom w:val="nil"/>
              <w:right w:val="nil"/>
            </w:tcBorders>
          </w:tcPr>
          <w:p w14:paraId="68FAE032">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12,772,884</w:t>
            </w:r>
          </w:p>
        </w:tc>
        <w:tc>
          <w:tcPr>
            <w:tcW w:w="495" w:type="dxa"/>
            <w:tcBorders>
              <w:top w:val="nil"/>
              <w:left w:val="nil"/>
              <w:bottom w:val="nil"/>
              <w:right w:val="nil"/>
            </w:tcBorders>
          </w:tcPr>
          <w:p w14:paraId="7B77BB26">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13,012,971</w:t>
            </w:r>
          </w:p>
        </w:tc>
        <w:tc>
          <w:tcPr>
            <w:tcW w:w="476" w:type="dxa"/>
            <w:tcBorders>
              <w:top w:val="nil"/>
              <w:left w:val="nil"/>
              <w:bottom w:val="nil"/>
              <w:right w:val="nil"/>
            </w:tcBorders>
          </w:tcPr>
          <w:p w14:paraId="3B538A9B">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13,252,387</w:t>
            </w:r>
          </w:p>
        </w:tc>
        <w:tc>
          <w:tcPr>
            <w:tcW w:w="476" w:type="dxa"/>
            <w:tcBorders>
              <w:top w:val="nil"/>
              <w:left w:val="nil"/>
              <w:bottom w:val="nil"/>
              <w:right w:val="nil"/>
            </w:tcBorders>
          </w:tcPr>
          <w:p w14:paraId="0EF92212">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13,491,804</w:t>
            </w:r>
          </w:p>
        </w:tc>
      </w:tr>
      <w:tr w14:paraId="719CA028">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471D4403">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NASSARAWA</w:t>
            </w:r>
          </w:p>
        </w:tc>
        <w:tc>
          <w:tcPr>
            <w:tcW w:w="671" w:type="dxa"/>
            <w:tcBorders>
              <w:top w:val="nil"/>
              <w:left w:val="nil"/>
              <w:bottom w:val="nil"/>
              <w:right w:val="nil"/>
            </w:tcBorders>
          </w:tcPr>
          <w:p w14:paraId="48C70400">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1,869,377</w:t>
            </w:r>
          </w:p>
        </w:tc>
        <w:tc>
          <w:tcPr>
            <w:tcW w:w="486" w:type="dxa"/>
            <w:tcBorders>
              <w:top w:val="nil"/>
              <w:left w:val="nil"/>
              <w:bottom w:val="nil"/>
              <w:right w:val="nil"/>
            </w:tcBorders>
          </w:tcPr>
          <w:p w14:paraId="15F156D5">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1,908,465</w:t>
            </w:r>
          </w:p>
        </w:tc>
        <w:tc>
          <w:tcPr>
            <w:tcW w:w="480" w:type="dxa"/>
            <w:tcBorders>
              <w:top w:val="nil"/>
              <w:left w:val="nil"/>
              <w:bottom w:val="nil"/>
              <w:right w:val="nil"/>
            </w:tcBorders>
          </w:tcPr>
          <w:p w14:paraId="669CF342">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1,950,560</w:t>
            </w:r>
          </w:p>
        </w:tc>
        <w:tc>
          <w:tcPr>
            <w:tcW w:w="484" w:type="dxa"/>
            <w:tcBorders>
              <w:top w:val="nil"/>
              <w:left w:val="nil"/>
              <w:bottom w:val="nil"/>
              <w:right w:val="nil"/>
            </w:tcBorders>
          </w:tcPr>
          <w:p w14:paraId="2E2D0890">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1,996,715</w:t>
            </w:r>
          </w:p>
        </w:tc>
        <w:tc>
          <w:tcPr>
            <w:tcW w:w="492" w:type="dxa"/>
            <w:tcBorders>
              <w:top w:val="nil"/>
              <w:left w:val="nil"/>
              <w:bottom w:val="nil"/>
              <w:right w:val="nil"/>
            </w:tcBorders>
          </w:tcPr>
          <w:p w14:paraId="10AE5122">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2,046,759</w:t>
            </w:r>
          </w:p>
        </w:tc>
        <w:tc>
          <w:tcPr>
            <w:tcW w:w="510" w:type="dxa"/>
            <w:tcBorders>
              <w:top w:val="nil"/>
              <w:left w:val="nil"/>
              <w:bottom w:val="nil"/>
              <w:right w:val="nil"/>
            </w:tcBorders>
          </w:tcPr>
          <w:p w14:paraId="0A6B5082">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2,100,608</w:t>
            </w:r>
          </w:p>
        </w:tc>
        <w:tc>
          <w:tcPr>
            <w:tcW w:w="500" w:type="dxa"/>
            <w:tcBorders>
              <w:top w:val="nil"/>
              <w:left w:val="nil"/>
              <w:bottom w:val="nil"/>
              <w:right w:val="nil"/>
            </w:tcBorders>
          </w:tcPr>
          <w:p w14:paraId="51FC45D2">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2,158,187</w:t>
            </w:r>
          </w:p>
        </w:tc>
        <w:tc>
          <w:tcPr>
            <w:tcW w:w="476" w:type="dxa"/>
            <w:tcBorders>
              <w:top w:val="nil"/>
              <w:left w:val="nil"/>
              <w:bottom w:val="nil"/>
              <w:right w:val="nil"/>
            </w:tcBorders>
          </w:tcPr>
          <w:p w14:paraId="560F64C7">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2,219,522</w:t>
            </w:r>
          </w:p>
        </w:tc>
        <w:tc>
          <w:tcPr>
            <w:tcW w:w="476" w:type="dxa"/>
            <w:tcBorders>
              <w:top w:val="nil"/>
              <w:left w:val="nil"/>
              <w:bottom w:val="nil"/>
              <w:right w:val="nil"/>
            </w:tcBorders>
          </w:tcPr>
          <w:p w14:paraId="2799F7D1">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2,282,745</w:t>
            </w:r>
          </w:p>
        </w:tc>
        <w:tc>
          <w:tcPr>
            <w:tcW w:w="492" w:type="dxa"/>
            <w:tcBorders>
              <w:top w:val="nil"/>
              <w:left w:val="nil"/>
              <w:bottom w:val="nil"/>
              <w:right w:val="nil"/>
            </w:tcBorders>
          </w:tcPr>
          <w:p w14:paraId="58C4D861">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2,282,745</w:t>
            </w:r>
          </w:p>
        </w:tc>
        <w:tc>
          <w:tcPr>
            <w:tcW w:w="503" w:type="dxa"/>
            <w:tcBorders>
              <w:top w:val="nil"/>
              <w:left w:val="nil"/>
              <w:bottom w:val="nil"/>
              <w:right w:val="nil"/>
            </w:tcBorders>
          </w:tcPr>
          <w:p w14:paraId="12ADD7B5">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2,347,955</w:t>
            </w:r>
          </w:p>
        </w:tc>
        <w:tc>
          <w:tcPr>
            <w:tcW w:w="510" w:type="dxa"/>
            <w:tcBorders>
              <w:top w:val="nil"/>
              <w:left w:val="nil"/>
              <w:bottom w:val="nil"/>
              <w:right w:val="nil"/>
            </w:tcBorders>
          </w:tcPr>
          <w:p w14:paraId="323905C2">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2,484,482</w:t>
            </w:r>
          </w:p>
        </w:tc>
        <w:tc>
          <w:tcPr>
            <w:tcW w:w="495" w:type="dxa"/>
            <w:tcBorders>
              <w:top w:val="nil"/>
              <w:left w:val="nil"/>
              <w:bottom w:val="nil"/>
              <w:right w:val="nil"/>
            </w:tcBorders>
          </w:tcPr>
          <w:p w14:paraId="509EB67F">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2,556,350</w:t>
            </w:r>
          </w:p>
        </w:tc>
        <w:tc>
          <w:tcPr>
            <w:tcW w:w="482" w:type="dxa"/>
            <w:tcBorders>
              <w:top w:val="nil"/>
              <w:left w:val="nil"/>
              <w:bottom w:val="nil"/>
              <w:right w:val="nil"/>
            </w:tcBorders>
          </w:tcPr>
          <w:p w14:paraId="73CC09DD">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2,632,239</w:t>
            </w:r>
          </w:p>
        </w:tc>
        <w:tc>
          <w:tcPr>
            <w:tcW w:w="495" w:type="dxa"/>
            <w:tcBorders>
              <w:top w:val="nil"/>
              <w:left w:val="nil"/>
              <w:bottom w:val="nil"/>
              <w:right w:val="nil"/>
            </w:tcBorders>
          </w:tcPr>
          <w:p w14:paraId="75A35A6B">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2,712,349</w:t>
            </w:r>
          </w:p>
        </w:tc>
        <w:tc>
          <w:tcPr>
            <w:tcW w:w="476" w:type="dxa"/>
            <w:tcBorders>
              <w:top w:val="nil"/>
              <w:left w:val="nil"/>
              <w:bottom w:val="nil"/>
              <w:right w:val="nil"/>
            </w:tcBorders>
          </w:tcPr>
          <w:p w14:paraId="16D0B3E2">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2,796,947</w:t>
            </w:r>
          </w:p>
        </w:tc>
        <w:tc>
          <w:tcPr>
            <w:tcW w:w="476" w:type="dxa"/>
            <w:tcBorders>
              <w:top w:val="nil"/>
              <w:left w:val="nil"/>
              <w:bottom w:val="nil"/>
              <w:right w:val="nil"/>
            </w:tcBorders>
          </w:tcPr>
          <w:p w14:paraId="5F91A610">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2,886,022</w:t>
            </w:r>
          </w:p>
        </w:tc>
      </w:tr>
      <w:tr w14:paraId="737745DA">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20B91166">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NIGER</w:t>
            </w:r>
          </w:p>
        </w:tc>
        <w:tc>
          <w:tcPr>
            <w:tcW w:w="671" w:type="dxa"/>
            <w:tcBorders>
              <w:top w:val="nil"/>
              <w:left w:val="nil"/>
              <w:bottom w:val="nil"/>
              <w:right w:val="nil"/>
            </w:tcBorders>
          </w:tcPr>
          <w:p w14:paraId="76DD3B10">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3,954,772</w:t>
            </w:r>
          </w:p>
        </w:tc>
        <w:tc>
          <w:tcPr>
            <w:tcW w:w="486" w:type="dxa"/>
            <w:tcBorders>
              <w:top w:val="nil"/>
              <w:left w:val="nil"/>
              <w:bottom w:val="nil"/>
              <w:right w:val="nil"/>
            </w:tcBorders>
          </w:tcPr>
          <w:p w14:paraId="202FB9D1">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4,122,414</w:t>
            </w:r>
          </w:p>
        </w:tc>
        <w:tc>
          <w:tcPr>
            <w:tcW w:w="480" w:type="dxa"/>
            <w:tcBorders>
              <w:top w:val="nil"/>
              <w:left w:val="nil"/>
              <w:bottom w:val="nil"/>
              <w:right w:val="nil"/>
            </w:tcBorders>
          </w:tcPr>
          <w:p w14:paraId="61F85B12">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4,295,946</w:t>
            </w:r>
          </w:p>
        </w:tc>
        <w:tc>
          <w:tcPr>
            <w:tcW w:w="484" w:type="dxa"/>
            <w:tcBorders>
              <w:top w:val="nil"/>
              <w:left w:val="nil"/>
              <w:bottom w:val="nil"/>
              <w:right w:val="nil"/>
            </w:tcBorders>
          </w:tcPr>
          <w:p w14:paraId="0FCA9AB5">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4,468,171</w:t>
            </w:r>
          </w:p>
        </w:tc>
        <w:tc>
          <w:tcPr>
            <w:tcW w:w="492" w:type="dxa"/>
            <w:tcBorders>
              <w:top w:val="nil"/>
              <w:left w:val="nil"/>
              <w:bottom w:val="nil"/>
              <w:right w:val="nil"/>
            </w:tcBorders>
          </w:tcPr>
          <w:p w14:paraId="6A9DCB12">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4,639,280</w:t>
            </w:r>
          </w:p>
        </w:tc>
        <w:tc>
          <w:tcPr>
            <w:tcW w:w="510" w:type="dxa"/>
            <w:tcBorders>
              <w:top w:val="nil"/>
              <w:left w:val="nil"/>
              <w:bottom w:val="nil"/>
              <w:right w:val="nil"/>
            </w:tcBorders>
          </w:tcPr>
          <w:p w14:paraId="42847005">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4,808,915</w:t>
            </w:r>
          </w:p>
        </w:tc>
        <w:tc>
          <w:tcPr>
            <w:tcW w:w="500" w:type="dxa"/>
            <w:tcBorders>
              <w:top w:val="nil"/>
              <w:left w:val="nil"/>
              <w:bottom w:val="nil"/>
              <w:right w:val="nil"/>
            </w:tcBorders>
          </w:tcPr>
          <w:p w14:paraId="6DCA3AAB">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4,976,757</w:t>
            </w:r>
          </w:p>
        </w:tc>
        <w:tc>
          <w:tcPr>
            <w:tcW w:w="476" w:type="dxa"/>
            <w:tcBorders>
              <w:top w:val="nil"/>
              <w:left w:val="nil"/>
              <w:bottom w:val="nil"/>
              <w:right w:val="nil"/>
            </w:tcBorders>
          </w:tcPr>
          <w:p w14:paraId="02399D93">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5,142,705</w:t>
            </w:r>
          </w:p>
        </w:tc>
        <w:tc>
          <w:tcPr>
            <w:tcW w:w="476" w:type="dxa"/>
            <w:tcBorders>
              <w:top w:val="nil"/>
              <w:left w:val="nil"/>
              <w:bottom w:val="nil"/>
              <w:right w:val="nil"/>
            </w:tcBorders>
          </w:tcPr>
          <w:p w14:paraId="775EAFCB">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5,313,102</w:t>
            </w:r>
          </w:p>
        </w:tc>
        <w:tc>
          <w:tcPr>
            <w:tcW w:w="492" w:type="dxa"/>
            <w:tcBorders>
              <w:top w:val="nil"/>
              <w:left w:val="nil"/>
              <w:bottom w:val="nil"/>
              <w:right w:val="nil"/>
            </w:tcBorders>
          </w:tcPr>
          <w:p w14:paraId="068B0313">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5,487,607</w:t>
            </w:r>
          </w:p>
        </w:tc>
        <w:tc>
          <w:tcPr>
            <w:tcW w:w="503" w:type="dxa"/>
            <w:tcBorders>
              <w:top w:val="nil"/>
              <w:left w:val="nil"/>
              <w:bottom w:val="nil"/>
              <w:right w:val="nil"/>
            </w:tcBorders>
          </w:tcPr>
          <w:p w14:paraId="1E01B1EB">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5,665,810</w:t>
            </w:r>
          </w:p>
        </w:tc>
        <w:tc>
          <w:tcPr>
            <w:tcW w:w="510" w:type="dxa"/>
            <w:tcBorders>
              <w:top w:val="nil"/>
              <w:left w:val="nil"/>
              <w:bottom w:val="nil"/>
              <w:right w:val="nil"/>
            </w:tcBorders>
          </w:tcPr>
          <w:p w14:paraId="421338D2">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5,847,657</w:t>
            </w:r>
          </w:p>
        </w:tc>
        <w:tc>
          <w:tcPr>
            <w:tcW w:w="495" w:type="dxa"/>
            <w:tcBorders>
              <w:top w:val="nil"/>
              <w:left w:val="nil"/>
              <w:bottom w:val="nil"/>
              <w:right w:val="nil"/>
            </w:tcBorders>
          </w:tcPr>
          <w:p w14:paraId="7677AFD2">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6,033,997</w:t>
            </w:r>
          </w:p>
        </w:tc>
        <w:tc>
          <w:tcPr>
            <w:tcW w:w="482" w:type="dxa"/>
            <w:tcBorders>
              <w:top w:val="nil"/>
              <w:left w:val="nil"/>
              <w:bottom w:val="nil"/>
              <w:right w:val="nil"/>
            </w:tcBorders>
          </w:tcPr>
          <w:p w14:paraId="68A0FBD4">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6,220,617</w:t>
            </w:r>
          </w:p>
        </w:tc>
        <w:tc>
          <w:tcPr>
            <w:tcW w:w="495" w:type="dxa"/>
            <w:tcBorders>
              <w:top w:val="nil"/>
              <w:left w:val="nil"/>
              <w:bottom w:val="nil"/>
              <w:right w:val="nil"/>
            </w:tcBorders>
          </w:tcPr>
          <w:p w14:paraId="02E9EDA1">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6,407,568</w:t>
            </w:r>
          </w:p>
        </w:tc>
        <w:tc>
          <w:tcPr>
            <w:tcW w:w="476" w:type="dxa"/>
            <w:tcBorders>
              <w:top w:val="nil"/>
              <w:left w:val="nil"/>
              <w:bottom w:val="nil"/>
              <w:right w:val="nil"/>
            </w:tcBorders>
          </w:tcPr>
          <w:p w14:paraId="634DE565">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6,594,892</w:t>
            </w:r>
          </w:p>
        </w:tc>
        <w:tc>
          <w:tcPr>
            <w:tcW w:w="476" w:type="dxa"/>
            <w:tcBorders>
              <w:top w:val="nil"/>
              <w:left w:val="nil"/>
              <w:bottom w:val="nil"/>
              <w:right w:val="nil"/>
            </w:tcBorders>
          </w:tcPr>
          <w:p w14:paraId="3E663E78">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6,783,325</w:t>
            </w:r>
          </w:p>
        </w:tc>
      </w:tr>
      <w:tr w14:paraId="38E42A71">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41BFA83E">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OGUN</w:t>
            </w:r>
          </w:p>
        </w:tc>
        <w:tc>
          <w:tcPr>
            <w:tcW w:w="671" w:type="dxa"/>
            <w:tcBorders>
              <w:top w:val="nil"/>
              <w:left w:val="nil"/>
              <w:bottom w:val="nil"/>
              <w:right w:val="nil"/>
            </w:tcBorders>
          </w:tcPr>
          <w:p w14:paraId="70A629AA">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3,751,140</w:t>
            </w:r>
          </w:p>
        </w:tc>
        <w:tc>
          <w:tcPr>
            <w:tcW w:w="486" w:type="dxa"/>
            <w:tcBorders>
              <w:top w:val="nil"/>
              <w:left w:val="nil"/>
              <w:bottom w:val="nil"/>
              <w:right w:val="nil"/>
            </w:tcBorders>
          </w:tcPr>
          <w:p w14:paraId="3199421D">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3,912,666</w:t>
            </w:r>
          </w:p>
        </w:tc>
        <w:tc>
          <w:tcPr>
            <w:tcW w:w="480" w:type="dxa"/>
            <w:tcBorders>
              <w:top w:val="nil"/>
              <w:left w:val="nil"/>
              <w:bottom w:val="nil"/>
              <w:right w:val="nil"/>
            </w:tcBorders>
          </w:tcPr>
          <w:p w14:paraId="5F8A26FA">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4,078,465</w:t>
            </w:r>
          </w:p>
        </w:tc>
        <w:tc>
          <w:tcPr>
            <w:tcW w:w="484" w:type="dxa"/>
            <w:tcBorders>
              <w:top w:val="nil"/>
              <w:left w:val="nil"/>
              <w:bottom w:val="nil"/>
              <w:right w:val="nil"/>
            </w:tcBorders>
          </w:tcPr>
          <w:p w14:paraId="520639DC">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4,249,256</w:t>
            </w:r>
          </w:p>
        </w:tc>
        <w:tc>
          <w:tcPr>
            <w:tcW w:w="492" w:type="dxa"/>
            <w:tcBorders>
              <w:top w:val="nil"/>
              <w:left w:val="nil"/>
              <w:bottom w:val="nil"/>
              <w:right w:val="nil"/>
            </w:tcBorders>
          </w:tcPr>
          <w:p w14:paraId="53E67C1F">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4,424,849</w:t>
            </w:r>
          </w:p>
        </w:tc>
        <w:tc>
          <w:tcPr>
            <w:tcW w:w="510" w:type="dxa"/>
            <w:tcBorders>
              <w:top w:val="nil"/>
              <w:left w:val="nil"/>
              <w:bottom w:val="nil"/>
              <w:right w:val="nil"/>
            </w:tcBorders>
          </w:tcPr>
          <w:p w14:paraId="4C348AE0">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4,605,110</w:t>
            </w:r>
          </w:p>
        </w:tc>
        <w:tc>
          <w:tcPr>
            <w:tcW w:w="500" w:type="dxa"/>
            <w:tcBorders>
              <w:top w:val="nil"/>
              <w:left w:val="nil"/>
              <w:bottom w:val="nil"/>
              <w:right w:val="nil"/>
            </w:tcBorders>
          </w:tcPr>
          <w:p w14:paraId="16C09682">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4,789,518</w:t>
            </w:r>
          </w:p>
        </w:tc>
        <w:tc>
          <w:tcPr>
            <w:tcW w:w="476" w:type="dxa"/>
            <w:tcBorders>
              <w:top w:val="nil"/>
              <w:left w:val="nil"/>
              <w:bottom w:val="nil"/>
              <w:right w:val="nil"/>
            </w:tcBorders>
          </w:tcPr>
          <w:p w14:paraId="755AB89D">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4,977,824</w:t>
            </w:r>
          </w:p>
        </w:tc>
        <w:tc>
          <w:tcPr>
            <w:tcW w:w="476" w:type="dxa"/>
            <w:tcBorders>
              <w:top w:val="nil"/>
              <w:left w:val="nil"/>
              <w:bottom w:val="nil"/>
              <w:right w:val="nil"/>
            </w:tcBorders>
          </w:tcPr>
          <w:p w14:paraId="34695280">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5,158,612</w:t>
            </w:r>
          </w:p>
        </w:tc>
        <w:tc>
          <w:tcPr>
            <w:tcW w:w="492" w:type="dxa"/>
            <w:tcBorders>
              <w:top w:val="nil"/>
              <w:left w:val="nil"/>
              <w:bottom w:val="nil"/>
              <w:right w:val="nil"/>
            </w:tcBorders>
          </w:tcPr>
          <w:p w14:paraId="478ECEE4">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5,331,389</w:t>
            </w:r>
          </w:p>
        </w:tc>
        <w:tc>
          <w:tcPr>
            <w:tcW w:w="503" w:type="dxa"/>
            <w:tcBorders>
              <w:top w:val="nil"/>
              <w:left w:val="nil"/>
              <w:bottom w:val="nil"/>
              <w:right w:val="nil"/>
            </w:tcBorders>
          </w:tcPr>
          <w:p w14:paraId="4CA3EB3A">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5,495,738</w:t>
            </w:r>
          </w:p>
        </w:tc>
        <w:tc>
          <w:tcPr>
            <w:tcW w:w="510" w:type="dxa"/>
            <w:tcBorders>
              <w:top w:val="nil"/>
              <w:left w:val="nil"/>
              <w:bottom w:val="nil"/>
              <w:right w:val="nil"/>
            </w:tcBorders>
          </w:tcPr>
          <w:p w14:paraId="4783E736">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5,651,466</w:t>
            </w:r>
          </w:p>
        </w:tc>
        <w:tc>
          <w:tcPr>
            <w:tcW w:w="495" w:type="dxa"/>
            <w:tcBorders>
              <w:top w:val="nil"/>
              <w:left w:val="nil"/>
              <w:bottom w:val="nil"/>
              <w:right w:val="nil"/>
            </w:tcBorders>
          </w:tcPr>
          <w:p w14:paraId="2A49E5F9">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5,798,744</w:t>
            </w:r>
          </w:p>
        </w:tc>
        <w:tc>
          <w:tcPr>
            <w:tcW w:w="482" w:type="dxa"/>
            <w:tcBorders>
              <w:top w:val="nil"/>
              <w:left w:val="nil"/>
              <w:bottom w:val="nil"/>
              <w:right w:val="nil"/>
            </w:tcBorders>
          </w:tcPr>
          <w:p w14:paraId="700855C0">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5,945,275</w:t>
            </w:r>
          </w:p>
        </w:tc>
        <w:tc>
          <w:tcPr>
            <w:tcW w:w="495" w:type="dxa"/>
            <w:tcBorders>
              <w:top w:val="nil"/>
              <w:left w:val="nil"/>
              <w:bottom w:val="nil"/>
              <w:right w:val="nil"/>
            </w:tcBorders>
          </w:tcPr>
          <w:p w14:paraId="0ACE8DDB">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6,090,740</w:t>
            </w:r>
          </w:p>
        </w:tc>
        <w:tc>
          <w:tcPr>
            <w:tcW w:w="476" w:type="dxa"/>
            <w:tcBorders>
              <w:top w:val="nil"/>
              <w:left w:val="nil"/>
              <w:bottom w:val="nil"/>
              <w:right w:val="nil"/>
            </w:tcBorders>
          </w:tcPr>
          <w:p w14:paraId="3124BBA3">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6,235,389</w:t>
            </w:r>
          </w:p>
        </w:tc>
        <w:tc>
          <w:tcPr>
            <w:tcW w:w="476" w:type="dxa"/>
            <w:tcBorders>
              <w:top w:val="nil"/>
              <w:left w:val="nil"/>
              <w:bottom w:val="nil"/>
              <w:right w:val="nil"/>
            </w:tcBorders>
          </w:tcPr>
          <w:p w14:paraId="693F3514">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6,379,532</w:t>
            </w:r>
          </w:p>
        </w:tc>
      </w:tr>
      <w:tr w14:paraId="29292E6F">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243CF34A">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ONDO</w:t>
            </w:r>
          </w:p>
        </w:tc>
        <w:tc>
          <w:tcPr>
            <w:tcW w:w="671" w:type="dxa"/>
            <w:tcBorders>
              <w:top w:val="nil"/>
              <w:left w:val="nil"/>
              <w:bottom w:val="nil"/>
              <w:right w:val="nil"/>
            </w:tcBorders>
          </w:tcPr>
          <w:p w14:paraId="514E273D">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3,460,877</w:t>
            </w:r>
          </w:p>
        </w:tc>
        <w:tc>
          <w:tcPr>
            <w:tcW w:w="486" w:type="dxa"/>
            <w:tcBorders>
              <w:top w:val="nil"/>
              <w:left w:val="nil"/>
              <w:bottom w:val="nil"/>
              <w:right w:val="nil"/>
            </w:tcBorders>
          </w:tcPr>
          <w:p w14:paraId="3E442255">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3,561,438</w:t>
            </w:r>
          </w:p>
        </w:tc>
        <w:tc>
          <w:tcPr>
            <w:tcW w:w="480" w:type="dxa"/>
            <w:tcBorders>
              <w:top w:val="nil"/>
              <w:left w:val="nil"/>
              <w:bottom w:val="nil"/>
              <w:right w:val="nil"/>
            </w:tcBorders>
          </w:tcPr>
          <w:p w14:paraId="56E5E22E">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3,665,577</w:t>
            </w:r>
          </w:p>
        </w:tc>
        <w:tc>
          <w:tcPr>
            <w:tcW w:w="484" w:type="dxa"/>
            <w:tcBorders>
              <w:top w:val="nil"/>
              <w:left w:val="nil"/>
              <w:bottom w:val="nil"/>
              <w:right w:val="nil"/>
            </w:tcBorders>
          </w:tcPr>
          <w:p w14:paraId="4C22ED9B">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3,774,531</w:t>
            </w:r>
          </w:p>
        </w:tc>
        <w:tc>
          <w:tcPr>
            <w:tcW w:w="492" w:type="dxa"/>
            <w:tcBorders>
              <w:top w:val="nil"/>
              <w:left w:val="nil"/>
              <w:bottom w:val="nil"/>
              <w:right w:val="nil"/>
            </w:tcBorders>
          </w:tcPr>
          <w:p w14:paraId="7302268D">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3,888,324</w:t>
            </w:r>
          </w:p>
        </w:tc>
        <w:tc>
          <w:tcPr>
            <w:tcW w:w="510" w:type="dxa"/>
            <w:tcBorders>
              <w:top w:val="nil"/>
              <w:left w:val="nil"/>
              <w:bottom w:val="nil"/>
              <w:right w:val="nil"/>
            </w:tcBorders>
          </w:tcPr>
          <w:p w14:paraId="348DE7DC">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4,007,005</w:t>
            </w:r>
          </w:p>
        </w:tc>
        <w:tc>
          <w:tcPr>
            <w:tcW w:w="500" w:type="dxa"/>
            <w:tcBorders>
              <w:top w:val="nil"/>
              <w:left w:val="nil"/>
              <w:bottom w:val="nil"/>
              <w:right w:val="nil"/>
            </w:tcBorders>
          </w:tcPr>
          <w:p w14:paraId="4304A77B">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4,130,312</w:t>
            </w:r>
          </w:p>
        </w:tc>
        <w:tc>
          <w:tcPr>
            <w:tcW w:w="476" w:type="dxa"/>
            <w:tcBorders>
              <w:top w:val="nil"/>
              <w:left w:val="nil"/>
              <w:bottom w:val="nil"/>
              <w:right w:val="nil"/>
            </w:tcBorders>
          </w:tcPr>
          <w:p w14:paraId="2499FB3E">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4,258,213</w:t>
            </w:r>
          </w:p>
        </w:tc>
        <w:tc>
          <w:tcPr>
            <w:tcW w:w="476" w:type="dxa"/>
            <w:tcBorders>
              <w:top w:val="nil"/>
              <w:left w:val="nil"/>
              <w:bottom w:val="nil"/>
              <w:right w:val="nil"/>
            </w:tcBorders>
          </w:tcPr>
          <w:p w14:paraId="42484008">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4,384,163</w:t>
            </w:r>
          </w:p>
        </w:tc>
        <w:tc>
          <w:tcPr>
            <w:tcW w:w="492" w:type="dxa"/>
            <w:tcBorders>
              <w:top w:val="nil"/>
              <w:left w:val="nil"/>
              <w:bottom w:val="nil"/>
              <w:right w:val="nil"/>
            </w:tcBorders>
          </w:tcPr>
          <w:p w14:paraId="68CD49D2">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4,507,463</w:t>
            </w:r>
          </w:p>
        </w:tc>
        <w:tc>
          <w:tcPr>
            <w:tcW w:w="503" w:type="dxa"/>
            <w:tcBorders>
              <w:top w:val="nil"/>
              <w:left w:val="nil"/>
              <w:bottom w:val="nil"/>
              <w:right w:val="nil"/>
            </w:tcBorders>
          </w:tcPr>
          <w:p w14:paraId="2695F21B">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4,627,488</w:t>
            </w:r>
          </w:p>
        </w:tc>
        <w:tc>
          <w:tcPr>
            <w:tcW w:w="510" w:type="dxa"/>
            <w:tcBorders>
              <w:top w:val="nil"/>
              <w:left w:val="nil"/>
              <w:bottom w:val="nil"/>
              <w:right w:val="nil"/>
            </w:tcBorders>
          </w:tcPr>
          <w:p w14:paraId="6175B01A">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4,743,667</w:t>
            </w:r>
          </w:p>
        </w:tc>
        <w:tc>
          <w:tcPr>
            <w:tcW w:w="495" w:type="dxa"/>
            <w:tcBorders>
              <w:top w:val="nil"/>
              <w:left w:val="nil"/>
              <w:bottom w:val="nil"/>
              <w:right w:val="nil"/>
            </w:tcBorders>
          </w:tcPr>
          <w:p w14:paraId="7AF1BB6B">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4,856,143</w:t>
            </w:r>
          </w:p>
        </w:tc>
        <w:tc>
          <w:tcPr>
            <w:tcW w:w="482" w:type="dxa"/>
            <w:tcBorders>
              <w:top w:val="nil"/>
              <w:left w:val="nil"/>
              <w:bottom w:val="nil"/>
              <w:right w:val="nil"/>
            </w:tcBorders>
          </w:tcPr>
          <w:p w14:paraId="26B0003E">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4,969,707</w:t>
            </w:r>
          </w:p>
        </w:tc>
        <w:tc>
          <w:tcPr>
            <w:tcW w:w="495" w:type="dxa"/>
            <w:tcBorders>
              <w:top w:val="nil"/>
              <w:left w:val="nil"/>
              <w:bottom w:val="nil"/>
              <w:right w:val="nil"/>
            </w:tcBorders>
          </w:tcPr>
          <w:p w14:paraId="4906147A">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5,084,330</w:t>
            </w:r>
          </w:p>
        </w:tc>
        <w:tc>
          <w:tcPr>
            <w:tcW w:w="476" w:type="dxa"/>
            <w:tcBorders>
              <w:top w:val="nil"/>
              <w:left w:val="nil"/>
              <w:bottom w:val="nil"/>
              <w:right w:val="nil"/>
            </w:tcBorders>
          </w:tcPr>
          <w:p w14:paraId="094C70E1">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5,199,832</w:t>
            </w:r>
          </w:p>
        </w:tc>
        <w:tc>
          <w:tcPr>
            <w:tcW w:w="476" w:type="dxa"/>
            <w:tcBorders>
              <w:top w:val="nil"/>
              <w:left w:val="nil"/>
              <w:bottom w:val="nil"/>
              <w:right w:val="nil"/>
            </w:tcBorders>
          </w:tcPr>
          <w:p w14:paraId="54931212">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5,316,603</w:t>
            </w:r>
          </w:p>
        </w:tc>
      </w:tr>
      <w:tr w14:paraId="327B0C39">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2BE70F66">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OSUN</w:t>
            </w:r>
          </w:p>
        </w:tc>
        <w:tc>
          <w:tcPr>
            <w:tcW w:w="671" w:type="dxa"/>
            <w:tcBorders>
              <w:top w:val="nil"/>
              <w:left w:val="nil"/>
              <w:bottom w:val="nil"/>
              <w:right w:val="nil"/>
            </w:tcBorders>
          </w:tcPr>
          <w:p w14:paraId="5A4682F0">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3,416,959</w:t>
            </w:r>
          </w:p>
        </w:tc>
        <w:tc>
          <w:tcPr>
            <w:tcW w:w="486" w:type="dxa"/>
            <w:tcBorders>
              <w:top w:val="nil"/>
              <w:left w:val="nil"/>
              <w:bottom w:val="nil"/>
              <w:right w:val="nil"/>
            </w:tcBorders>
          </w:tcPr>
          <w:p w14:paraId="5E1A0495">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3,469,426</w:t>
            </w:r>
          </w:p>
        </w:tc>
        <w:tc>
          <w:tcPr>
            <w:tcW w:w="480" w:type="dxa"/>
            <w:tcBorders>
              <w:top w:val="nil"/>
              <w:left w:val="nil"/>
              <w:bottom w:val="nil"/>
              <w:right w:val="nil"/>
            </w:tcBorders>
          </w:tcPr>
          <w:p w14:paraId="272EA857">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3,524,558</w:t>
            </w:r>
          </w:p>
        </w:tc>
        <w:tc>
          <w:tcPr>
            <w:tcW w:w="484" w:type="dxa"/>
            <w:tcBorders>
              <w:top w:val="nil"/>
              <w:left w:val="nil"/>
              <w:bottom w:val="nil"/>
              <w:right w:val="nil"/>
            </w:tcBorders>
          </w:tcPr>
          <w:p w14:paraId="43FCCDC6">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3,582,296</w:t>
            </w:r>
          </w:p>
        </w:tc>
        <w:tc>
          <w:tcPr>
            <w:tcW w:w="492" w:type="dxa"/>
            <w:tcBorders>
              <w:top w:val="nil"/>
              <w:left w:val="nil"/>
              <w:bottom w:val="nil"/>
              <w:right w:val="nil"/>
            </w:tcBorders>
          </w:tcPr>
          <w:p w14:paraId="546EF94C">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3,642,607</w:t>
            </w:r>
          </w:p>
        </w:tc>
        <w:tc>
          <w:tcPr>
            <w:tcW w:w="510" w:type="dxa"/>
            <w:tcBorders>
              <w:top w:val="nil"/>
              <w:left w:val="nil"/>
              <w:bottom w:val="nil"/>
              <w:right w:val="nil"/>
            </w:tcBorders>
          </w:tcPr>
          <w:p w14:paraId="405EC6AE">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3,705,505</w:t>
            </w:r>
          </w:p>
        </w:tc>
        <w:tc>
          <w:tcPr>
            <w:tcW w:w="500" w:type="dxa"/>
            <w:tcBorders>
              <w:top w:val="nil"/>
              <w:left w:val="nil"/>
              <w:bottom w:val="nil"/>
              <w:right w:val="nil"/>
            </w:tcBorders>
          </w:tcPr>
          <w:p w14:paraId="0EF8D489">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3,770,635</w:t>
            </w:r>
          </w:p>
        </w:tc>
        <w:tc>
          <w:tcPr>
            <w:tcW w:w="476" w:type="dxa"/>
            <w:tcBorders>
              <w:top w:val="nil"/>
              <w:left w:val="nil"/>
              <w:bottom w:val="nil"/>
              <w:right w:val="nil"/>
            </w:tcBorders>
          </w:tcPr>
          <w:p w14:paraId="7AFE3EA4">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3,837,823</w:t>
            </w:r>
          </w:p>
        </w:tc>
        <w:tc>
          <w:tcPr>
            <w:tcW w:w="476" w:type="dxa"/>
            <w:tcBorders>
              <w:top w:val="nil"/>
              <w:left w:val="nil"/>
              <w:bottom w:val="nil"/>
              <w:right w:val="nil"/>
            </w:tcBorders>
          </w:tcPr>
          <w:p w14:paraId="06B62699">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3,905,483</w:t>
            </w:r>
          </w:p>
        </w:tc>
        <w:tc>
          <w:tcPr>
            <w:tcW w:w="492" w:type="dxa"/>
            <w:tcBorders>
              <w:top w:val="nil"/>
              <w:left w:val="nil"/>
              <w:bottom w:val="nil"/>
              <w:right w:val="nil"/>
            </w:tcBorders>
          </w:tcPr>
          <w:p w14:paraId="14F3695E">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3,973,037</w:t>
            </w:r>
          </w:p>
        </w:tc>
        <w:tc>
          <w:tcPr>
            <w:tcW w:w="503" w:type="dxa"/>
            <w:tcBorders>
              <w:top w:val="nil"/>
              <w:left w:val="nil"/>
              <w:bottom w:val="nil"/>
              <w:right w:val="nil"/>
            </w:tcBorders>
          </w:tcPr>
          <w:p w14:paraId="591DEDF3">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4,040,045</w:t>
            </w:r>
          </w:p>
        </w:tc>
        <w:tc>
          <w:tcPr>
            <w:tcW w:w="510" w:type="dxa"/>
            <w:tcBorders>
              <w:top w:val="nil"/>
              <w:left w:val="nil"/>
              <w:bottom w:val="nil"/>
              <w:right w:val="nil"/>
            </w:tcBorders>
          </w:tcPr>
          <w:p w14:paraId="6C3E62F5">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4,106,177</w:t>
            </w:r>
          </w:p>
        </w:tc>
        <w:tc>
          <w:tcPr>
            <w:tcW w:w="495" w:type="dxa"/>
            <w:tcBorders>
              <w:top w:val="nil"/>
              <w:left w:val="nil"/>
              <w:bottom w:val="nil"/>
              <w:right w:val="nil"/>
            </w:tcBorders>
          </w:tcPr>
          <w:p w14:paraId="30674F7C">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4,171,661</w:t>
            </w:r>
          </w:p>
        </w:tc>
        <w:tc>
          <w:tcPr>
            <w:tcW w:w="482" w:type="dxa"/>
            <w:tcBorders>
              <w:top w:val="nil"/>
              <w:left w:val="nil"/>
              <w:bottom w:val="nil"/>
              <w:right w:val="nil"/>
            </w:tcBorders>
          </w:tcPr>
          <w:p w14:paraId="066112E7">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4,237,396</w:t>
            </w:r>
          </w:p>
        </w:tc>
        <w:tc>
          <w:tcPr>
            <w:tcW w:w="495" w:type="dxa"/>
            <w:tcBorders>
              <w:top w:val="nil"/>
              <w:left w:val="nil"/>
              <w:bottom w:val="nil"/>
              <w:right w:val="nil"/>
            </w:tcBorders>
          </w:tcPr>
          <w:p w14:paraId="551EED00">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4,303,366</w:t>
            </w:r>
          </w:p>
        </w:tc>
        <w:tc>
          <w:tcPr>
            <w:tcW w:w="476" w:type="dxa"/>
            <w:tcBorders>
              <w:top w:val="nil"/>
              <w:left w:val="nil"/>
              <w:bottom w:val="nil"/>
              <w:right w:val="nil"/>
            </w:tcBorders>
          </w:tcPr>
          <w:p w14:paraId="1E7704F9">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4,369,473</w:t>
            </w:r>
          </w:p>
        </w:tc>
        <w:tc>
          <w:tcPr>
            <w:tcW w:w="476" w:type="dxa"/>
            <w:tcBorders>
              <w:top w:val="nil"/>
              <w:left w:val="nil"/>
              <w:bottom w:val="nil"/>
              <w:right w:val="nil"/>
            </w:tcBorders>
          </w:tcPr>
          <w:p w14:paraId="5706947B">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4,435,803</w:t>
            </w:r>
          </w:p>
        </w:tc>
      </w:tr>
      <w:tr w14:paraId="1BA4D378">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3590C2DF">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OYO</w:t>
            </w:r>
          </w:p>
        </w:tc>
        <w:tc>
          <w:tcPr>
            <w:tcW w:w="671" w:type="dxa"/>
            <w:tcBorders>
              <w:top w:val="nil"/>
              <w:left w:val="nil"/>
              <w:bottom w:val="nil"/>
              <w:right w:val="nil"/>
            </w:tcBorders>
          </w:tcPr>
          <w:p w14:paraId="0D90A887">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5,580,894</w:t>
            </w:r>
          </w:p>
        </w:tc>
        <w:tc>
          <w:tcPr>
            <w:tcW w:w="486" w:type="dxa"/>
            <w:tcBorders>
              <w:top w:val="nil"/>
              <w:left w:val="nil"/>
              <w:bottom w:val="nil"/>
              <w:right w:val="nil"/>
            </w:tcBorders>
          </w:tcPr>
          <w:p w14:paraId="019DE969">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5,724,321</w:t>
            </w:r>
          </w:p>
        </w:tc>
        <w:tc>
          <w:tcPr>
            <w:tcW w:w="480" w:type="dxa"/>
            <w:tcBorders>
              <w:top w:val="nil"/>
              <w:left w:val="nil"/>
              <w:bottom w:val="nil"/>
              <w:right w:val="nil"/>
            </w:tcBorders>
          </w:tcPr>
          <w:p w14:paraId="2210149F">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5,870,883</w:t>
            </w:r>
          </w:p>
        </w:tc>
        <w:tc>
          <w:tcPr>
            <w:tcW w:w="484" w:type="dxa"/>
            <w:tcBorders>
              <w:top w:val="nil"/>
              <w:left w:val="nil"/>
              <w:bottom w:val="nil"/>
              <w:right w:val="nil"/>
            </w:tcBorders>
          </w:tcPr>
          <w:p w14:paraId="5DF3E96F">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6,017,535</w:t>
            </w:r>
          </w:p>
        </w:tc>
        <w:tc>
          <w:tcPr>
            <w:tcW w:w="492" w:type="dxa"/>
            <w:tcBorders>
              <w:top w:val="nil"/>
              <w:left w:val="nil"/>
              <w:bottom w:val="nil"/>
              <w:right w:val="nil"/>
            </w:tcBorders>
          </w:tcPr>
          <w:p w14:paraId="714F2C36">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6,164,227</w:t>
            </w:r>
          </w:p>
        </w:tc>
        <w:tc>
          <w:tcPr>
            <w:tcW w:w="510" w:type="dxa"/>
            <w:tcBorders>
              <w:top w:val="nil"/>
              <w:left w:val="nil"/>
              <w:bottom w:val="nil"/>
              <w:right w:val="nil"/>
            </w:tcBorders>
          </w:tcPr>
          <w:p w14:paraId="056016E5">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6,310,726</w:t>
            </w:r>
          </w:p>
        </w:tc>
        <w:tc>
          <w:tcPr>
            <w:tcW w:w="500" w:type="dxa"/>
            <w:tcBorders>
              <w:top w:val="nil"/>
              <w:left w:val="nil"/>
              <w:bottom w:val="nil"/>
              <w:right w:val="nil"/>
            </w:tcBorders>
          </w:tcPr>
          <w:p w14:paraId="525B0BA8">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6,456,569</w:t>
            </w:r>
          </w:p>
        </w:tc>
        <w:tc>
          <w:tcPr>
            <w:tcW w:w="476" w:type="dxa"/>
            <w:tcBorders>
              <w:top w:val="nil"/>
              <w:left w:val="nil"/>
              <w:bottom w:val="nil"/>
              <w:right w:val="nil"/>
            </w:tcBorders>
          </w:tcPr>
          <w:p w14:paraId="09DB1C47">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6,601,542</w:t>
            </w:r>
          </w:p>
        </w:tc>
        <w:tc>
          <w:tcPr>
            <w:tcW w:w="476" w:type="dxa"/>
            <w:tcBorders>
              <w:top w:val="nil"/>
              <w:left w:val="nil"/>
              <w:bottom w:val="nil"/>
              <w:right w:val="nil"/>
            </w:tcBorders>
          </w:tcPr>
          <w:p w14:paraId="35D88704">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6,749,107</w:t>
            </w:r>
          </w:p>
        </w:tc>
        <w:tc>
          <w:tcPr>
            <w:tcW w:w="492" w:type="dxa"/>
            <w:tcBorders>
              <w:top w:val="nil"/>
              <w:left w:val="nil"/>
              <w:bottom w:val="nil"/>
              <w:right w:val="nil"/>
            </w:tcBorders>
          </w:tcPr>
          <w:p w14:paraId="4EC07945">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6,898,796</w:t>
            </w:r>
          </w:p>
        </w:tc>
        <w:tc>
          <w:tcPr>
            <w:tcW w:w="503" w:type="dxa"/>
            <w:tcBorders>
              <w:top w:val="nil"/>
              <w:left w:val="nil"/>
              <w:bottom w:val="nil"/>
              <w:right w:val="nil"/>
            </w:tcBorders>
          </w:tcPr>
          <w:p w14:paraId="48F93D95">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7,050,013</w:t>
            </w:r>
          </w:p>
        </w:tc>
        <w:tc>
          <w:tcPr>
            <w:tcW w:w="510" w:type="dxa"/>
            <w:tcBorders>
              <w:top w:val="nil"/>
              <w:left w:val="nil"/>
              <w:bottom w:val="nil"/>
              <w:right w:val="nil"/>
            </w:tcBorders>
          </w:tcPr>
          <w:p w14:paraId="1CBC5E17">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7,202,908</w:t>
            </w:r>
          </w:p>
        </w:tc>
        <w:tc>
          <w:tcPr>
            <w:tcW w:w="495" w:type="dxa"/>
            <w:tcBorders>
              <w:top w:val="nil"/>
              <w:left w:val="nil"/>
              <w:bottom w:val="nil"/>
              <w:right w:val="nil"/>
            </w:tcBorders>
          </w:tcPr>
          <w:p w14:paraId="01724D7C">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7,358,018</w:t>
            </w:r>
          </w:p>
        </w:tc>
        <w:tc>
          <w:tcPr>
            <w:tcW w:w="482" w:type="dxa"/>
            <w:tcBorders>
              <w:top w:val="nil"/>
              <w:left w:val="nil"/>
              <w:bottom w:val="nil"/>
              <w:right w:val="nil"/>
            </w:tcBorders>
          </w:tcPr>
          <w:p w14:paraId="19133935">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7,512,855</w:t>
            </w:r>
          </w:p>
        </w:tc>
        <w:tc>
          <w:tcPr>
            <w:tcW w:w="495" w:type="dxa"/>
            <w:tcBorders>
              <w:top w:val="nil"/>
              <w:left w:val="nil"/>
              <w:bottom w:val="nil"/>
              <w:right w:val="nil"/>
            </w:tcBorders>
          </w:tcPr>
          <w:p w14:paraId="118671B6">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7,667,318</w:t>
            </w:r>
          </w:p>
        </w:tc>
        <w:tc>
          <w:tcPr>
            <w:tcW w:w="476" w:type="dxa"/>
            <w:tcBorders>
              <w:top w:val="nil"/>
              <w:left w:val="nil"/>
              <w:bottom w:val="nil"/>
              <w:right w:val="nil"/>
            </w:tcBorders>
          </w:tcPr>
          <w:p w14:paraId="6DC50EB8">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7,821,434</w:t>
            </w:r>
          </w:p>
        </w:tc>
        <w:tc>
          <w:tcPr>
            <w:tcW w:w="476" w:type="dxa"/>
            <w:tcBorders>
              <w:top w:val="nil"/>
              <w:left w:val="nil"/>
              <w:bottom w:val="nil"/>
              <w:right w:val="nil"/>
            </w:tcBorders>
          </w:tcPr>
          <w:p w14:paraId="3BD2A8DC">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7,976,081</w:t>
            </w:r>
          </w:p>
        </w:tc>
      </w:tr>
      <w:tr w14:paraId="1309E088">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1D516A61">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PLATEAU</w:t>
            </w:r>
          </w:p>
        </w:tc>
        <w:tc>
          <w:tcPr>
            <w:tcW w:w="671" w:type="dxa"/>
            <w:tcBorders>
              <w:top w:val="nil"/>
              <w:left w:val="nil"/>
              <w:bottom w:val="nil"/>
              <w:right w:val="nil"/>
            </w:tcBorders>
          </w:tcPr>
          <w:p w14:paraId="576ABF2A">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3,206,531</w:t>
            </w:r>
          </w:p>
        </w:tc>
        <w:tc>
          <w:tcPr>
            <w:tcW w:w="486" w:type="dxa"/>
            <w:tcBorders>
              <w:top w:val="nil"/>
              <w:left w:val="nil"/>
              <w:bottom w:val="nil"/>
              <w:right w:val="nil"/>
            </w:tcBorders>
          </w:tcPr>
          <w:p w14:paraId="35348361">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3,281,149</w:t>
            </w:r>
          </w:p>
        </w:tc>
        <w:tc>
          <w:tcPr>
            <w:tcW w:w="480" w:type="dxa"/>
            <w:tcBorders>
              <w:top w:val="nil"/>
              <w:left w:val="nil"/>
              <w:bottom w:val="nil"/>
              <w:right w:val="nil"/>
            </w:tcBorders>
          </w:tcPr>
          <w:p w14:paraId="3AA0E0E7">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3,360,760</w:t>
            </w:r>
          </w:p>
        </w:tc>
        <w:tc>
          <w:tcPr>
            <w:tcW w:w="484" w:type="dxa"/>
            <w:tcBorders>
              <w:top w:val="nil"/>
              <w:left w:val="nil"/>
              <w:bottom w:val="nil"/>
              <w:right w:val="nil"/>
            </w:tcBorders>
          </w:tcPr>
          <w:p w14:paraId="48E0CE64">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3,444,191</w:t>
            </w:r>
          </w:p>
        </w:tc>
        <w:tc>
          <w:tcPr>
            <w:tcW w:w="492" w:type="dxa"/>
            <w:tcBorders>
              <w:top w:val="nil"/>
              <w:left w:val="nil"/>
              <w:bottom w:val="nil"/>
              <w:right w:val="nil"/>
            </w:tcBorders>
          </w:tcPr>
          <w:p w14:paraId="735AAF50">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3,531,259</w:t>
            </w:r>
          </w:p>
        </w:tc>
        <w:tc>
          <w:tcPr>
            <w:tcW w:w="510" w:type="dxa"/>
            <w:tcBorders>
              <w:top w:val="nil"/>
              <w:left w:val="nil"/>
              <w:bottom w:val="nil"/>
              <w:right w:val="nil"/>
            </w:tcBorders>
          </w:tcPr>
          <w:p w14:paraId="790479DC">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3,714,915</w:t>
            </w:r>
          </w:p>
        </w:tc>
        <w:tc>
          <w:tcPr>
            <w:tcW w:w="500" w:type="dxa"/>
            <w:tcBorders>
              <w:top w:val="nil"/>
              <w:left w:val="nil"/>
              <w:bottom w:val="nil"/>
              <w:right w:val="nil"/>
            </w:tcBorders>
          </w:tcPr>
          <w:p w14:paraId="3BC3D90B">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3,811,162</w:t>
            </w:r>
          </w:p>
        </w:tc>
        <w:tc>
          <w:tcPr>
            <w:tcW w:w="476" w:type="dxa"/>
            <w:tcBorders>
              <w:top w:val="nil"/>
              <w:left w:val="nil"/>
              <w:bottom w:val="nil"/>
              <w:right w:val="nil"/>
            </w:tcBorders>
          </w:tcPr>
          <w:p w14:paraId="636A5907">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3,907,945</w:t>
            </w:r>
          </w:p>
        </w:tc>
        <w:tc>
          <w:tcPr>
            <w:tcW w:w="476" w:type="dxa"/>
            <w:tcBorders>
              <w:top w:val="nil"/>
              <w:left w:val="nil"/>
              <w:bottom w:val="nil"/>
              <w:right w:val="nil"/>
            </w:tcBorders>
          </w:tcPr>
          <w:p w14:paraId="01E6602D">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3,907,945</w:t>
            </w:r>
          </w:p>
        </w:tc>
        <w:tc>
          <w:tcPr>
            <w:tcW w:w="492" w:type="dxa"/>
            <w:tcBorders>
              <w:top w:val="nil"/>
              <w:left w:val="nil"/>
              <w:bottom w:val="nil"/>
              <w:right w:val="nil"/>
            </w:tcBorders>
          </w:tcPr>
          <w:p w14:paraId="7E0450C5">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4,005,406</w:t>
            </w:r>
          </w:p>
        </w:tc>
        <w:tc>
          <w:tcPr>
            <w:tcW w:w="503" w:type="dxa"/>
            <w:tcBorders>
              <w:top w:val="nil"/>
              <w:left w:val="nil"/>
              <w:bottom w:val="nil"/>
              <w:right w:val="nil"/>
            </w:tcBorders>
          </w:tcPr>
          <w:p w14:paraId="069B9F24">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4,103,256</w:t>
            </w:r>
          </w:p>
        </w:tc>
        <w:tc>
          <w:tcPr>
            <w:tcW w:w="510" w:type="dxa"/>
            <w:tcBorders>
              <w:top w:val="nil"/>
              <w:left w:val="nil"/>
              <w:bottom w:val="nil"/>
              <w:right w:val="nil"/>
            </w:tcBorders>
          </w:tcPr>
          <w:p w14:paraId="1B34DF27">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4,201,252</w:t>
            </w:r>
          </w:p>
        </w:tc>
        <w:tc>
          <w:tcPr>
            <w:tcW w:w="495" w:type="dxa"/>
            <w:tcBorders>
              <w:top w:val="nil"/>
              <w:left w:val="nil"/>
              <w:bottom w:val="nil"/>
              <w:right w:val="nil"/>
            </w:tcBorders>
          </w:tcPr>
          <w:p w14:paraId="5661A20D">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4,300,001</w:t>
            </w:r>
          </w:p>
        </w:tc>
        <w:tc>
          <w:tcPr>
            <w:tcW w:w="482" w:type="dxa"/>
            <w:tcBorders>
              <w:top w:val="nil"/>
              <w:left w:val="nil"/>
              <w:bottom w:val="nil"/>
              <w:right w:val="nil"/>
            </w:tcBorders>
          </w:tcPr>
          <w:p w14:paraId="7A92A01D">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4,400,974</w:t>
            </w:r>
          </w:p>
        </w:tc>
        <w:tc>
          <w:tcPr>
            <w:tcW w:w="495" w:type="dxa"/>
            <w:tcBorders>
              <w:top w:val="nil"/>
              <w:left w:val="nil"/>
              <w:bottom w:val="nil"/>
              <w:right w:val="nil"/>
            </w:tcBorders>
          </w:tcPr>
          <w:p w14:paraId="66157F1B">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4,504,272</w:t>
            </w:r>
          </w:p>
        </w:tc>
        <w:tc>
          <w:tcPr>
            <w:tcW w:w="476" w:type="dxa"/>
            <w:tcBorders>
              <w:top w:val="nil"/>
              <w:left w:val="nil"/>
              <w:bottom w:val="nil"/>
              <w:right w:val="nil"/>
            </w:tcBorders>
          </w:tcPr>
          <w:p w14:paraId="61BA1156">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4,609,669</w:t>
            </w:r>
          </w:p>
        </w:tc>
        <w:tc>
          <w:tcPr>
            <w:tcW w:w="476" w:type="dxa"/>
            <w:tcBorders>
              <w:top w:val="nil"/>
              <w:left w:val="nil"/>
              <w:bottom w:val="nil"/>
              <w:right w:val="nil"/>
            </w:tcBorders>
          </w:tcPr>
          <w:p w14:paraId="3A380AFA">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4,717,305</w:t>
            </w:r>
          </w:p>
        </w:tc>
      </w:tr>
      <w:tr w14:paraId="0D7EB8D0">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7CF76E5C">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RIVERS</w:t>
            </w:r>
          </w:p>
        </w:tc>
        <w:tc>
          <w:tcPr>
            <w:tcW w:w="671" w:type="dxa"/>
            <w:tcBorders>
              <w:top w:val="nil"/>
              <w:left w:val="nil"/>
              <w:bottom w:val="nil"/>
              <w:right w:val="nil"/>
            </w:tcBorders>
          </w:tcPr>
          <w:p w14:paraId="3B51BF06">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5,198,716</w:t>
            </w:r>
          </w:p>
        </w:tc>
        <w:tc>
          <w:tcPr>
            <w:tcW w:w="486" w:type="dxa"/>
            <w:tcBorders>
              <w:top w:val="nil"/>
              <w:left w:val="nil"/>
              <w:bottom w:val="nil"/>
              <w:right w:val="nil"/>
            </w:tcBorders>
          </w:tcPr>
          <w:p w14:paraId="4A1A2FE8">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5,328,162</w:t>
            </w:r>
          </w:p>
        </w:tc>
        <w:tc>
          <w:tcPr>
            <w:tcW w:w="480" w:type="dxa"/>
            <w:tcBorders>
              <w:top w:val="nil"/>
              <w:left w:val="nil"/>
              <w:bottom w:val="nil"/>
              <w:right w:val="nil"/>
            </w:tcBorders>
          </w:tcPr>
          <w:p w14:paraId="69ACB23E">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5,462,088</w:t>
            </w:r>
          </w:p>
        </w:tc>
        <w:tc>
          <w:tcPr>
            <w:tcW w:w="484" w:type="dxa"/>
            <w:tcBorders>
              <w:top w:val="nil"/>
              <w:left w:val="nil"/>
              <w:bottom w:val="nil"/>
              <w:right w:val="nil"/>
            </w:tcBorders>
          </w:tcPr>
          <w:p w14:paraId="213EE1FF">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5,598,197</w:t>
            </w:r>
          </w:p>
        </w:tc>
        <w:tc>
          <w:tcPr>
            <w:tcW w:w="492" w:type="dxa"/>
            <w:tcBorders>
              <w:top w:val="nil"/>
              <w:left w:val="nil"/>
              <w:bottom w:val="nil"/>
              <w:right w:val="nil"/>
            </w:tcBorders>
          </w:tcPr>
          <w:p w14:paraId="0470B594">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5,736,180</w:t>
            </w:r>
          </w:p>
        </w:tc>
        <w:tc>
          <w:tcPr>
            <w:tcW w:w="510" w:type="dxa"/>
            <w:tcBorders>
              <w:top w:val="nil"/>
              <w:left w:val="nil"/>
              <w:bottom w:val="nil"/>
              <w:right w:val="nil"/>
            </w:tcBorders>
          </w:tcPr>
          <w:p w14:paraId="72F29C3F">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5,875,350</w:t>
            </w:r>
          </w:p>
        </w:tc>
        <w:tc>
          <w:tcPr>
            <w:tcW w:w="500" w:type="dxa"/>
            <w:tcBorders>
              <w:top w:val="nil"/>
              <w:left w:val="nil"/>
              <w:bottom w:val="nil"/>
              <w:right w:val="nil"/>
            </w:tcBorders>
          </w:tcPr>
          <w:p w14:paraId="6061008A">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6,014,630</w:t>
            </w:r>
          </w:p>
        </w:tc>
        <w:tc>
          <w:tcPr>
            <w:tcW w:w="476" w:type="dxa"/>
            <w:tcBorders>
              <w:top w:val="nil"/>
              <w:left w:val="nil"/>
              <w:bottom w:val="nil"/>
              <w:right w:val="nil"/>
            </w:tcBorders>
          </w:tcPr>
          <w:p w14:paraId="045E9E74">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6,153,094</w:t>
            </w:r>
          </w:p>
        </w:tc>
        <w:tc>
          <w:tcPr>
            <w:tcW w:w="476" w:type="dxa"/>
            <w:tcBorders>
              <w:top w:val="nil"/>
              <w:left w:val="nil"/>
              <w:bottom w:val="nil"/>
              <w:right w:val="nil"/>
            </w:tcBorders>
          </w:tcPr>
          <w:p w14:paraId="3CF18655">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6,294,653</w:t>
            </w:r>
          </w:p>
        </w:tc>
        <w:tc>
          <w:tcPr>
            <w:tcW w:w="492" w:type="dxa"/>
            <w:tcBorders>
              <w:top w:val="nil"/>
              <w:left w:val="nil"/>
              <w:bottom w:val="nil"/>
              <w:right w:val="nil"/>
            </w:tcBorders>
          </w:tcPr>
          <w:p w14:paraId="18BB3B94">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6,439,012</w:t>
            </w:r>
          </w:p>
        </w:tc>
        <w:tc>
          <w:tcPr>
            <w:tcW w:w="503" w:type="dxa"/>
            <w:tcBorders>
              <w:top w:val="nil"/>
              <w:left w:val="nil"/>
              <w:bottom w:val="nil"/>
              <w:right w:val="nil"/>
            </w:tcBorders>
          </w:tcPr>
          <w:p w14:paraId="61E9684B">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6,585,693</w:t>
            </w:r>
          </w:p>
        </w:tc>
        <w:tc>
          <w:tcPr>
            <w:tcW w:w="510" w:type="dxa"/>
            <w:tcBorders>
              <w:top w:val="nil"/>
              <w:left w:val="nil"/>
              <w:bottom w:val="nil"/>
              <w:right w:val="nil"/>
            </w:tcBorders>
          </w:tcPr>
          <w:p w14:paraId="5252E2AE">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6,734,279</w:t>
            </w:r>
          </w:p>
        </w:tc>
        <w:tc>
          <w:tcPr>
            <w:tcW w:w="495" w:type="dxa"/>
            <w:tcBorders>
              <w:top w:val="nil"/>
              <w:left w:val="nil"/>
              <w:bottom w:val="nil"/>
              <w:right w:val="nil"/>
            </w:tcBorders>
          </w:tcPr>
          <w:p w14:paraId="50CF1A75">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6,885,307</w:t>
            </w:r>
          </w:p>
        </w:tc>
        <w:tc>
          <w:tcPr>
            <w:tcW w:w="482" w:type="dxa"/>
            <w:tcBorders>
              <w:top w:val="nil"/>
              <w:left w:val="nil"/>
              <w:bottom w:val="nil"/>
              <w:right w:val="nil"/>
            </w:tcBorders>
          </w:tcPr>
          <w:p w14:paraId="3436CDE6">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7,034,973</w:t>
            </w:r>
          </w:p>
        </w:tc>
        <w:tc>
          <w:tcPr>
            <w:tcW w:w="495" w:type="dxa"/>
            <w:tcBorders>
              <w:top w:val="nil"/>
              <w:left w:val="nil"/>
              <w:bottom w:val="nil"/>
              <w:right w:val="nil"/>
            </w:tcBorders>
          </w:tcPr>
          <w:p w14:paraId="3585D0C3">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7,183,473</w:t>
            </w:r>
          </w:p>
        </w:tc>
        <w:tc>
          <w:tcPr>
            <w:tcW w:w="476" w:type="dxa"/>
            <w:tcBorders>
              <w:top w:val="nil"/>
              <w:left w:val="nil"/>
              <w:bottom w:val="nil"/>
              <w:right w:val="nil"/>
            </w:tcBorders>
          </w:tcPr>
          <w:p w14:paraId="69A6AB5E">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7,330,764</w:t>
            </w:r>
          </w:p>
        </w:tc>
        <w:tc>
          <w:tcPr>
            <w:tcW w:w="476" w:type="dxa"/>
            <w:tcBorders>
              <w:top w:val="nil"/>
              <w:left w:val="nil"/>
              <w:bottom w:val="nil"/>
              <w:right w:val="nil"/>
            </w:tcBorders>
          </w:tcPr>
          <w:p w14:paraId="3A092FE2">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7,476,805</w:t>
            </w:r>
          </w:p>
        </w:tc>
      </w:tr>
      <w:tr w14:paraId="2FCFA75D">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5184B085">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SOKOTO</w:t>
            </w:r>
          </w:p>
        </w:tc>
        <w:tc>
          <w:tcPr>
            <w:tcW w:w="671" w:type="dxa"/>
            <w:tcBorders>
              <w:top w:val="nil"/>
              <w:left w:val="nil"/>
              <w:bottom w:val="nil"/>
              <w:right w:val="nil"/>
            </w:tcBorders>
          </w:tcPr>
          <w:p w14:paraId="6A74B78E">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3,702,676</w:t>
            </w:r>
          </w:p>
        </w:tc>
        <w:tc>
          <w:tcPr>
            <w:tcW w:w="486" w:type="dxa"/>
            <w:tcBorders>
              <w:top w:val="nil"/>
              <w:left w:val="nil"/>
              <w:bottom w:val="nil"/>
              <w:right w:val="nil"/>
            </w:tcBorders>
          </w:tcPr>
          <w:p w14:paraId="1AB2A93E">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3,866,216</w:t>
            </w:r>
          </w:p>
        </w:tc>
        <w:tc>
          <w:tcPr>
            <w:tcW w:w="480" w:type="dxa"/>
            <w:tcBorders>
              <w:top w:val="nil"/>
              <w:left w:val="nil"/>
              <w:bottom w:val="nil"/>
              <w:right w:val="nil"/>
            </w:tcBorders>
          </w:tcPr>
          <w:p w14:paraId="53135D27">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4,033,171</w:t>
            </w:r>
          </w:p>
        </w:tc>
        <w:tc>
          <w:tcPr>
            <w:tcW w:w="484" w:type="dxa"/>
            <w:tcBorders>
              <w:top w:val="nil"/>
              <w:left w:val="nil"/>
              <w:bottom w:val="nil"/>
              <w:right w:val="nil"/>
            </w:tcBorders>
          </w:tcPr>
          <w:p w14:paraId="28E992C3">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4,199,311</w:t>
            </w:r>
          </w:p>
        </w:tc>
        <w:tc>
          <w:tcPr>
            <w:tcW w:w="492" w:type="dxa"/>
            <w:tcBorders>
              <w:top w:val="nil"/>
              <w:left w:val="nil"/>
              <w:bottom w:val="nil"/>
              <w:right w:val="nil"/>
            </w:tcBorders>
          </w:tcPr>
          <w:p w14:paraId="23B00467">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4,364,153</w:t>
            </w:r>
          </w:p>
        </w:tc>
        <w:tc>
          <w:tcPr>
            <w:tcW w:w="510" w:type="dxa"/>
            <w:tcBorders>
              <w:top w:val="nil"/>
              <w:left w:val="nil"/>
              <w:bottom w:val="nil"/>
              <w:right w:val="nil"/>
            </w:tcBorders>
          </w:tcPr>
          <w:p w14:paraId="32A5BAC9">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4,527,047</w:t>
            </w:r>
          </w:p>
        </w:tc>
        <w:tc>
          <w:tcPr>
            <w:tcW w:w="500" w:type="dxa"/>
            <w:tcBorders>
              <w:top w:val="nil"/>
              <w:left w:val="nil"/>
              <w:bottom w:val="nil"/>
              <w:right w:val="nil"/>
            </w:tcBorders>
          </w:tcPr>
          <w:p w14:paraId="1AFB82EB">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4,687,262</w:t>
            </w:r>
          </w:p>
        </w:tc>
        <w:tc>
          <w:tcPr>
            <w:tcW w:w="476" w:type="dxa"/>
            <w:tcBorders>
              <w:top w:val="nil"/>
              <w:left w:val="nil"/>
              <w:bottom w:val="nil"/>
              <w:right w:val="nil"/>
            </w:tcBorders>
          </w:tcPr>
          <w:p w14:paraId="3DDA394D">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4,844,245</w:t>
            </w:r>
          </w:p>
        </w:tc>
        <w:tc>
          <w:tcPr>
            <w:tcW w:w="476" w:type="dxa"/>
            <w:tcBorders>
              <w:top w:val="nil"/>
              <w:left w:val="nil"/>
              <w:bottom w:val="nil"/>
              <w:right w:val="nil"/>
            </w:tcBorders>
          </w:tcPr>
          <w:p w14:paraId="77D52732">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5,004,659</w:t>
            </w:r>
          </w:p>
        </w:tc>
        <w:tc>
          <w:tcPr>
            <w:tcW w:w="492" w:type="dxa"/>
            <w:tcBorders>
              <w:top w:val="nil"/>
              <w:left w:val="nil"/>
              <w:bottom w:val="nil"/>
              <w:right w:val="nil"/>
            </w:tcBorders>
          </w:tcPr>
          <w:p w14:paraId="474D9C67">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5,168,672</w:t>
            </w:r>
          </w:p>
        </w:tc>
        <w:tc>
          <w:tcPr>
            <w:tcW w:w="503" w:type="dxa"/>
            <w:tcBorders>
              <w:top w:val="nil"/>
              <w:left w:val="nil"/>
              <w:bottom w:val="nil"/>
              <w:right w:val="nil"/>
            </w:tcBorders>
          </w:tcPr>
          <w:p w14:paraId="07760359">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5,336,484</w:t>
            </w:r>
          </w:p>
        </w:tc>
        <w:tc>
          <w:tcPr>
            <w:tcW w:w="510" w:type="dxa"/>
            <w:tcBorders>
              <w:top w:val="nil"/>
              <w:left w:val="nil"/>
              <w:bottom w:val="nil"/>
              <w:right w:val="nil"/>
            </w:tcBorders>
          </w:tcPr>
          <w:p w14:paraId="556B1E56">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5,508,650</w:t>
            </w:r>
          </w:p>
        </w:tc>
        <w:tc>
          <w:tcPr>
            <w:tcW w:w="495" w:type="dxa"/>
            <w:tcBorders>
              <w:top w:val="nil"/>
              <w:left w:val="nil"/>
              <w:bottom w:val="nil"/>
              <w:right w:val="nil"/>
            </w:tcBorders>
          </w:tcPr>
          <w:p w14:paraId="09779B24">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5,686,341</w:t>
            </w:r>
          </w:p>
        </w:tc>
        <w:tc>
          <w:tcPr>
            <w:tcW w:w="482" w:type="dxa"/>
            <w:tcBorders>
              <w:top w:val="nil"/>
              <w:left w:val="nil"/>
              <w:bottom w:val="nil"/>
              <w:right w:val="nil"/>
            </w:tcBorders>
          </w:tcPr>
          <w:p w14:paraId="4C877C02">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5,863,187</w:t>
            </w:r>
          </w:p>
        </w:tc>
        <w:tc>
          <w:tcPr>
            <w:tcW w:w="495" w:type="dxa"/>
            <w:tcBorders>
              <w:top w:val="nil"/>
              <w:left w:val="nil"/>
              <w:bottom w:val="nil"/>
              <w:right w:val="nil"/>
            </w:tcBorders>
          </w:tcPr>
          <w:p w14:paraId="04AD40F5">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6,039,289</w:t>
            </w:r>
          </w:p>
        </w:tc>
        <w:tc>
          <w:tcPr>
            <w:tcW w:w="476" w:type="dxa"/>
            <w:tcBorders>
              <w:top w:val="nil"/>
              <w:left w:val="nil"/>
              <w:bottom w:val="nil"/>
              <w:right w:val="nil"/>
            </w:tcBorders>
          </w:tcPr>
          <w:p w14:paraId="05A19D85">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6,214,881</w:t>
            </w:r>
          </w:p>
        </w:tc>
        <w:tc>
          <w:tcPr>
            <w:tcW w:w="476" w:type="dxa"/>
            <w:tcBorders>
              <w:top w:val="nil"/>
              <w:left w:val="nil"/>
              <w:bottom w:val="nil"/>
              <w:right w:val="nil"/>
            </w:tcBorders>
          </w:tcPr>
          <w:p w14:paraId="2424B8BB">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6,391,047</w:t>
            </w:r>
          </w:p>
        </w:tc>
      </w:tr>
      <w:tr w14:paraId="246BF7D7">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4C5474EC">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TARABA</w:t>
            </w:r>
          </w:p>
        </w:tc>
        <w:tc>
          <w:tcPr>
            <w:tcW w:w="671" w:type="dxa"/>
            <w:tcBorders>
              <w:top w:val="nil"/>
              <w:left w:val="nil"/>
              <w:bottom w:val="nil"/>
              <w:right w:val="nil"/>
            </w:tcBorders>
          </w:tcPr>
          <w:p w14:paraId="5F166F47">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2,294,800</w:t>
            </w:r>
          </w:p>
        </w:tc>
        <w:tc>
          <w:tcPr>
            <w:tcW w:w="486" w:type="dxa"/>
            <w:tcBorders>
              <w:top w:val="nil"/>
              <w:left w:val="nil"/>
              <w:bottom w:val="nil"/>
              <w:right w:val="nil"/>
            </w:tcBorders>
          </w:tcPr>
          <w:p w14:paraId="7AB7E60F">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2,360,112</w:t>
            </w:r>
          </w:p>
        </w:tc>
        <w:tc>
          <w:tcPr>
            <w:tcW w:w="480" w:type="dxa"/>
            <w:tcBorders>
              <w:top w:val="nil"/>
              <w:left w:val="nil"/>
              <w:bottom w:val="nil"/>
              <w:right w:val="nil"/>
            </w:tcBorders>
          </w:tcPr>
          <w:p w14:paraId="7C01C388">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2,428,624</w:t>
            </w:r>
          </w:p>
        </w:tc>
        <w:tc>
          <w:tcPr>
            <w:tcW w:w="484" w:type="dxa"/>
            <w:tcBorders>
              <w:top w:val="nil"/>
              <w:left w:val="nil"/>
              <w:bottom w:val="nil"/>
              <w:right w:val="nil"/>
            </w:tcBorders>
          </w:tcPr>
          <w:p w14:paraId="6AB742CC">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2,500,644</w:t>
            </w:r>
          </w:p>
        </w:tc>
        <w:tc>
          <w:tcPr>
            <w:tcW w:w="492" w:type="dxa"/>
            <w:tcBorders>
              <w:top w:val="nil"/>
              <w:left w:val="nil"/>
              <w:bottom w:val="nil"/>
              <w:right w:val="nil"/>
            </w:tcBorders>
          </w:tcPr>
          <w:p w14:paraId="138A78D5">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2,576,092</w:t>
            </w:r>
          </w:p>
        </w:tc>
        <w:tc>
          <w:tcPr>
            <w:tcW w:w="510" w:type="dxa"/>
            <w:tcBorders>
              <w:top w:val="nil"/>
              <w:left w:val="nil"/>
              <w:bottom w:val="nil"/>
              <w:right w:val="nil"/>
            </w:tcBorders>
          </w:tcPr>
          <w:p w14:paraId="424A4C5C">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2,654,897</w:t>
            </w:r>
          </w:p>
        </w:tc>
        <w:tc>
          <w:tcPr>
            <w:tcW w:w="500" w:type="dxa"/>
            <w:tcBorders>
              <w:top w:val="nil"/>
              <w:left w:val="nil"/>
              <w:bottom w:val="nil"/>
              <w:right w:val="nil"/>
            </w:tcBorders>
          </w:tcPr>
          <w:p w14:paraId="37603C1D">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2,736,961</w:t>
            </w:r>
          </w:p>
        </w:tc>
        <w:tc>
          <w:tcPr>
            <w:tcW w:w="476" w:type="dxa"/>
            <w:tcBorders>
              <w:top w:val="nil"/>
              <w:left w:val="nil"/>
              <w:bottom w:val="nil"/>
              <w:right w:val="nil"/>
            </w:tcBorders>
          </w:tcPr>
          <w:p w14:paraId="01EF0473">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2,822,424</w:t>
            </w:r>
          </w:p>
        </w:tc>
        <w:tc>
          <w:tcPr>
            <w:tcW w:w="476" w:type="dxa"/>
            <w:tcBorders>
              <w:top w:val="nil"/>
              <w:left w:val="nil"/>
              <w:bottom w:val="nil"/>
              <w:right w:val="nil"/>
            </w:tcBorders>
          </w:tcPr>
          <w:p w14:paraId="498A5012">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2,907,564</w:t>
            </w:r>
          </w:p>
        </w:tc>
        <w:tc>
          <w:tcPr>
            <w:tcW w:w="492" w:type="dxa"/>
            <w:tcBorders>
              <w:top w:val="nil"/>
              <w:left w:val="nil"/>
              <w:bottom w:val="nil"/>
              <w:right w:val="nil"/>
            </w:tcBorders>
          </w:tcPr>
          <w:p w14:paraId="5A2EA765">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2,992,417</w:t>
            </w:r>
          </w:p>
        </w:tc>
        <w:tc>
          <w:tcPr>
            <w:tcW w:w="503" w:type="dxa"/>
            <w:tcBorders>
              <w:top w:val="nil"/>
              <w:left w:val="nil"/>
              <w:bottom w:val="nil"/>
              <w:right w:val="nil"/>
            </w:tcBorders>
          </w:tcPr>
          <w:p w14:paraId="4AD8AAE7">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3,076,898</w:t>
            </w:r>
          </w:p>
        </w:tc>
        <w:tc>
          <w:tcPr>
            <w:tcW w:w="510" w:type="dxa"/>
            <w:tcBorders>
              <w:top w:val="nil"/>
              <w:left w:val="nil"/>
              <w:bottom w:val="nil"/>
              <w:right w:val="nil"/>
            </w:tcBorders>
          </w:tcPr>
          <w:p w14:paraId="75213841">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3,160,982</w:t>
            </w:r>
          </w:p>
        </w:tc>
        <w:tc>
          <w:tcPr>
            <w:tcW w:w="495" w:type="dxa"/>
            <w:tcBorders>
              <w:top w:val="nil"/>
              <w:left w:val="nil"/>
              <w:bottom w:val="nil"/>
              <w:right w:val="nil"/>
            </w:tcBorders>
          </w:tcPr>
          <w:p w14:paraId="16781BBD">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3,245,094</w:t>
            </w:r>
          </w:p>
        </w:tc>
        <w:tc>
          <w:tcPr>
            <w:tcW w:w="482" w:type="dxa"/>
            <w:tcBorders>
              <w:top w:val="nil"/>
              <w:left w:val="nil"/>
              <w:bottom w:val="nil"/>
              <w:right w:val="nil"/>
            </w:tcBorders>
          </w:tcPr>
          <w:p w14:paraId="18CCDA89">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3,331,885</w:t>
            </w:r>
          </w:p>
        </w:tc>
        <w:tc>
          <w:tcPr>
            <w:tcW w:w="495" w:type="dxa"/>
            <w:tcBorders>
              <w:top w:val="nil"/>
              <w:left w:val="nil"/>
              <w:bottom w:val="nil"/>
              <w:right w:val="nil"/>
            </w:tcBorders>
          </w:tcPr>
          <w:p w14:paraId="05E86814">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3,421,510</w:t>
            </w:r>
          </w:p>
        </w:tc>
        <w:tc>
          <w:tcPr>
            <w:tcW w:w="476" w:type="dxa"/>
            <w:tcBorders>
              <w:top w:val="nil"/>
              <w:left w:val="nil"/>
              <w:bottom w:val="nil"/>
              <w:right w:val="nil"/>
            </w:tcBorders>
          </w:tcPr>
          <w:p w14:paraId="3FED847B">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3,514,117</w:t>
            </w:r>
          </w:p>
        </w:tc>
        <w:tc>
          <w:tcPr>
            <w:tcW w:w="476" w:type="dxa"/>
            <w:tcBorders>
              <w:top w:val="nil"/>
              <w:left w:val="nil"/>
              <w:bottom w:val="nil"/>
              <w:right w:val="nil"/>
            </w:tcBorders>
          </w:tcPr>
          <w:p w14:paraId="16004BE3">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3,609,843</w:t>
            </w:r>
          </w:p>
        </w:tc>
      </w:tr>
      <w:tr w14:paraId="2333498C">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5D0FCBAB">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YOBE</w:t>
            </w:r>
          </w:p>
        </w:tc>
        <w:tc>
          <w:tcPr>
            <w:tcW w:w="671" w:type="dxa"/>
            <w:tcBorders>
              <w:top w:val="nil"/>
              <w:left w:val="nil"/>
              <w:bottom w:val="nil"/>
              <w:right w:val="nil"/>
            </w:tcBorders>
          </w:tcPr>
          <w:p w14:paraId="420553C9">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2,321,339</w:t>
            </w:r>
          </w:p>
        </w:tc>
        <w:tc>
          <w:tcPr>
            <w:tcW w:w="486" w:type="dxa"/>
            <w:tcBorders>
              <w:top w:val="nil"/>
              <w:left w:val="nil"/>
              <w:bottom w:val="nil"/>
              <w:right w:val="nil"/>
            </w:tcBorders>
          </w:tcPr>
          <w:p w14:paraId="616C18BD">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2,405,685</w:t>
            </w:r>
          </w:p>
        </w:tc>
        <w:tc>
          <w:tcPr>
            <w:tcW w:w="480" w:type="dxa"/>
            <w:tcBorders>
              <w:top w:val="nil"/>
              <w:left w:val="nil"/>
              <w:bottom w:val="nil"/>
              <w:right w:val="nil"/>
            </w:tcBorders>
          </w:tcPr>
          <w:p w14:paraId="0AFDF8E2">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2,492,327</w:t>
            </w:r>
          </w:p>
        </w:tc>
        <w:tc>
          <w:tcPr>
            <w:tcW w:w="484" w:type="dxa"/>
            <w:tcBorders>
              <w:top w:val="nil"/>
              <w:left w:val="nil"/>
              <w:bottom w:val="nil"/>
              <w:right w:val="nil"/>
            </w:tcBorders>
          </w:tcPr>
          <w:p w14:paraId="4C41B0FF">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2,577,228</w:t>
            </w:r>
          </w:p>
        </w:tc>
        <w:tc>
          <w:tcPr>
            <w:tcW w:w="492" w:type="dxa"/>
            <w:tcBorders>
              <w:top w:val="nil"/>
              <w:left w:val="nil"/>
              <w:bottom w:val="nil"/>
              <w:right w:val="nil"/>
            </w:tcBorders>
          </w:tcPr>
          <w:p w14:paraId="0F2FF7A3">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2,660,844</w:t>
            </w:r>
          </w:p>
        </w:tc>
        <w:tc>
          <w:tcPr>
            <w:tcW w:w="510" w:type="dxa"/>
            <w:tcBorders>
              <w:top w:val="nil"/>
              <w:left w:val="nil"/>
              <w:bottom w:val="nil"/>
              <w:right w:val="nil"/>
            </w:tcBorders>
          </w:tcPr>
          <w:p w14:paraId="3E3BE941">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2,824,673</w:t>
            </w:r>
          </w:p>
        </w:tc>
        <w:tc>
          <w:tcPr>
            <w:tcW w:w="500" w:type="dxa"/>
            <w:tcBorders>
              <w:top w:val="nil"/>
              <w:left w:val="nil"/>
              <w:bottom w:val="nil"/>
              <w:right w:val="nil"/>
            </w:tcBorders>
          </w:tcPr>
          <w:p w14:paraId="1B702F91">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2,904,997</w:t>
            </w:r>
          </w:p>
        </w:tc>
        <w:tc>
          <w:tcPr>
            <w:tcW w:w="476" w:type="dxa"/>
            <w:tcBorders>
              <w:top w:val="nil"/>
              <w:left w:val="nil"/>
              <w:bottom w:val="nil"/>
              <w:right w:val="nil"/>
            </w:tcBorders>
          </w:tcPr>
          <w:p w14:paraId="39DD960F">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2,986,104</w:t>
            </w:r>
          </w:p>
        </w:tc>
        <w:tc>
          <w:tcPr>
            <w:tcW w:w="476" w:type="dxa"/>
            <w:tcBorders>
              <w:top w:val="nil"/>
              <w:left w:val="nil"/>
              <w:bottom w:val="nil"/>
              <w:right w:val="nil"/>
            </w:tcBorders>
          </w:tcPr>
          <w:p w14:paraId="04D282C3">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3,067,883</w:t>
            </w:r>
          </w:p>
        </w:tc>
        <w:tc>
          <w:tcPr>
            <w:tcW w:w="492" w:type="dxa"/>
            <w:tcBorders>
              <w:top w:val="nil"/>
              <w:left w:val="nil"/>
              <w:bottom w:val="nil"/>
              <w:right w:val="nil"/>
            </w:tcBorders>
          </w:tcPr>
          <w:p w14:paraId="1AEF26FE">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3,150,002</w:t>
            </w:r>
          </w:p>
        </w:tc>
        <w:tc>
          <w:tcPr>
            <w:tcW w:w="503" w:type="dxa"/>
            <w:tcBorders>
              <w:top w:val="nil"/>
              <w:left w:val="nil"/>
              <w:bottom w:val="nil"/>
              <w:right w:val="nil"/>
            </w:tcBorders>
          </w:tcPr>
          <w:p w14:paraId="63B7A1EF">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3,232,244</w:t>
            </w:r>
          </w:p>
        </w:tc>
        <w:tc>
          <w:tcPr>
            <w:tcW w:w="510" w:type="dxa"/>
            <w:tcBorders>
              <w:top w:val="nil"/>
              <w:left w:val="nil"/>
              <w:bottom w:val="nil"/>
              <w:right w:val="nil"/>
            </w:tcBorders>
          </w:tcPr>
          <w:p w14:paraId="16CC287E">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3,315,082</w:t>
            </w:r>
          </w:p>
        </w:tc>
        <w:tc>
          <w:tcPr>
            <w:tcW w:w="495" w:type="dxa"/>
            <w:tcBorders>
              <w:top w:val="nil"/>
              <w:left w:val="nil"/>
              <w:bottom w:val="nil"/>
              <w:right w:val="nil"/>
            </w:tcBorders>
          </w:tcPr>
          <w:p w14:paraId="313A1502">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3,398,177</w:t>
            </w:r>
          </w:p>
        </w:tc>
        <w:tc>
          <w:tcPr>
            <w:tcW w:w="482" w:type="dxa"/>
            <w:tcBorders>
              <w:top w:val="nil"/>
              <w:left w:val="nil"/>
              <w:bottom w:val="nil"/>
              <w:right w:val="nil"/>
            </w:tcBorders>
          </w:tcPr>
          <w:p w14:paraId="1C44C026">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3,481,567</w:t>
            </w:r>
          </w:p>
        </w:tc>
        <w:tc>
          <w:tcPr>
            <w:tcW w:w="495" w:type="dxa"/>
            <w:tcBorders>
              <w:top w:val="nil"/>
              <w:left w:val="nil"/>
              <w:bottom w:val="nil"/>
              <w:right w:val="nil"/>
            </w:tcBorders>
          </w:tcPr>
          <w:p w14:paraId="148C4427">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3,565,258</w:t>
            </w:r>
          </w:p>
        </w:tc>
        <w:tc>
          <w:tcPr>
            <w:tcW w:w="476" w:type="dxa"/>
            <w:tcBorders>
              <w:top w:val="nil"/>
              <w:left w:val="nil"/>
              <w:bottom w:val="nil"/>
              <w:right w:val="nil"/>
            </w:tcBorders>
          </w:tcPr>
          <w:p w14:paraId="641F578B">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3,565,258</w:t>
            </w:r>
          </w:p>
        </w:tc>
        <w:tc>
          <w:tcPr>
            <w:tcW w:w="476" w:type="dxa"/>
            <w:tcBorders>
              <w:top w:val="nil"/>
              <w:left w:val="nil"/>
              <w:bottom w:val="nil"/>
              <w:right w:val="nil"/>
            </w:tcBorders>
          </w:tcPr>
          <w:p w14:paraId="216E655C">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3,649,607</w:t>
            </w:r>
          </w:p>
        </w:tc>
      </w:tr>
      <w:tr w14:paraId="17316DEA">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01995282">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ZAMFARA</w:t>
            </w:r>
          </w:p>
        </w:tc>
        <w:tc>
          <w:tcPr>
            <w:tcW w:w="671" w:type="dxa"/>
            <w:tcBorders>
              <w:top w:val="nil"/>
              <w:left w:val="nil"/>
              <w:bottom w:val="nil"/>
              <w:right w:val="nil"/>
            </w:tcBorders>
          </w:tcPr>
          <w:p w14:paraId="71FF061D">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1,406,239</w:t>
            </w:r>
          </w:p>
        </w:tc>
        <w:tc>
          <w:tcPr>
            <w:tcW w:w="486" w:type="dxa"/>
            <w:tcBorders>
              <w:top w:val="nil"/>
              <w:left w:val="nil"/>
              <w:bottom w:val="nil"/>
              <w:right w:val="nil"/>
            </w:tcBorders>
          </w:tcPr>
          <w:p w14:paraId="5F9A6BEA">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3,407,567</w:t>
            </w:r>
          </w:p>
        </w:tc>
        <w:tc>
          <w:tcPr>
            <w:tcW w:w="480" w:type="dxa"/>
            <w:tcBorders>
              <w:top w:val="nil"/>
              <w:left w:val="nil"/>
              <w:bottom w:val="nil"/>
              <w:right w:val="nil"/>
            </w:tcBorders>
          </w:tcPr>
          <w:p w14:paraId="422ACC3F">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3,539,989</w:t>
            </w:r>
          </w:p>
        </w:tc>
        <w:tc>
          <w:tcPr>
            <w:tcW w:w="484" w:type="dxa"/>
            <w:tcBorders>
              <w:top w:val="nil"/>
              <w:left w:val="nil"/>
              <w:bottom w:val="nil"/>
              <w:right w:val="nil"/>
            </w:tcBorders>
          </w:tcPr>
          <w:p w14:paraId="7EEA575D">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3,681,136</w:t>
            </w:r>
          </w:p>
        </w:tc>
        <w:tc>
          <w:tcPr>
            <w:tcW w:w="492" w:type="dxa"/>
            <w:tcBorders>
              <w:top w:val="nil"/>
              <w:left w:val="nil"/>
              <w:bottom w:val="nil"/>
              <w:right w:val="nil"/>
            </w:tcBorders>
          </w:tcPr>
          <w:p w14:paraId="7F2679C0">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3,831,298</w:t>
            </w:r>
          </w:p>
        </w:tc>
        <w:tc>
          <w:tcPr>
            <w:tcW w:w="510" w:type="dxa"/>
            <w:tcBorders>
              <w:top w:val="nil"/>
              <w:left w:val="nil"/>
              <w:bottom w:val="nil"/>
              <w:right w:val="nil"/>
            </w:tcBorders>
          </w:tcPr>
          <w:p w14:paraId="0219BB68">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3,991,000</w:t>
            </w:r>
          </w:p>
        </w:tc>
        <w:tc>
          <w:tcPr>
            <w:tcW w:w="500" w:type="dxa"/>
            <w:tcBorders>
              <w:top w:val="nil"/>
              <w:left w:val="nil"/>
              <w:bottom w:val="nil"/>
              <w:right w:val="nil"/>
            </w:tcBorders>
          </w:tcPr>
          <w:p w14:paraId="3037339D">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4,160,798</w:t>
            </w:r>
          </w:p>
        </w:tc>
        <w:tc>
          <w:tcPr>
            <w:tcW w:w="476" w:type="dxa"/>
            <w:tcBorders>
              <w:top w:val="nil"/>
              <w:left w:val="nil"/>
              <w:bottom w:val="nil"/>
              <w:right w:val="nil"/>
            </w:tcBorders>
          </w:tcPr>
          <w:p w14:paraId="50C3D5AB">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4,341,427</w:t>
            </w:r>
          </w:p>
        </w:tc>
        <w:tc>
          <w:tcPr>
            <w:tcW w:w="476" w:type="dxa"/>
            <w:tcBorders>
              <w:top w:val="nil"/>
              <w:left w:val="nil"/>
              <w:bottom w:val="nil"/>
              <w:right w:val="nil"/>
            </w:tcBorders>
          </w:tcPr>
          <w:p w14:paraId="03E8E47B">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4,516,743</w:t>
            </w:r>
          </w:p>
        </w:tc>
        <w:tc>
          <w:tcPr>
            <w:tcW w:w="492" w:type="dxa"/>
            <w:tcBorders>
              <w:top w:val="nil"/>
              <w:left w:val="nil"/>
              <w:bottom w:val="nil"/>
              <w:right w:val="nil"/>
            </w:tcBorders>
          </w:tcPr>
          <w:p w14:paraId="1891F09E">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4,686,636</w:t>
            </w:r>
          </w:p>
        </w:tc>
        <w:tc>
          <w:tcPr>
            <w:tcW w:w="503" w:type="dxa"/>
            <w:tcBorders>
              <w:top w:val="nil"/>
              <w:left w:val="nil"/>
              <w:bottom w:val="nil"/>
              <w:right w:val="nil"/>
            </w:tcBorders>
          </w:tcPr>
          <w:p w14:paraId="31C89E23">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4,850,510</w:t>
            </w:r>
          </w:p>
        </w:tc>
        <w:tc>
          <w:tcPr>
            <w:tcW w:w="510" w:type="dxa"/>
            <w:tcBorders>
              <w:top w:val="nil"/>
              <w:left w:val="nil"/>
              <w:bottom w:val="nil"/>
              <w:right w:val="nil"/>
            </w:tcBorders>
          </w:tcPr>
          <w:p w14:paraId="78677C27">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5,008,075</w:t>
            </w:r>
          </w:p>
        </w:tc>
        <w:tc>
          <w:tcPr>
            <w:tcW w:w="495" w:type="dxa"/>
            <w:tcBorders>
              <w:top w:val="nil"/>
              <w:left w:val="nil"/>
              <w:bottom w:val="nil"/>
              <w:right w:val="nil"/>
            </w:tcBorders>
          </w:tcPr>
          <w:p w14:paraId="3512E366">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5,159,678</w:t>
            </w:r>
          </w:p>
        </w:tc>
        <w:tc>
          <w:tcPr>
            <w:tcW w:w="482" w:type="dxa"/>
            <w:tcBorders>
              <w:top w:val="nil"/>
              <w:left w:val="nil"/>
              <w:bottom w:val="nil"/>
              <w:right w:val="nil"/>
            </w:tcBorders>
          </w:tcPr>
          <w:p w14:paraId="30AA8404">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5,317,793</w:t>
            </w:r>
          </w:p>
        </w:tc>
        <w:tc>
          <w:tcPr>
            <w:tcW w:w="495" w:type="dxa"/>
            <w:tcBorders>
              <w:top w:val="nil"/>
              <w:left w:val="nil"/>
              <w:bottom w:val="nil"/>
              <w:right w:val="nil"/>
            </w:tcBorders>
          </w:tcPr>
          <w:p w14:paraId="18975DA1">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5,482,423</w:t>
            </w:r>
          </w:p>
        </w:tc>
        <w:tc>
          <w:tcPr>
            <w:tcW w:w="476" w:type="dxa"/>
            <w:tcBorders>
              <w:top w:val="nil"/>
              <w:left w:val="nil"/>
              <w:bottom w:val="nil"/>
              <w:right w:val="nil"/>
            </w:tcBorders>
          </w:tcPr>
          <w:p w14:paraId="01EFAA9B">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5,654,021</w:t>
            </w:r>
          </w:p>
        </w:tc>
        <w:tc>
          <w:tcPr>
            <w:tcW w:w="476" w:type="dxa"/>
            <w:tcBorders>
              <w:top w:val="nil"/>
              <w:left w:val="nil"/>
              <w:bottom w:val="nil"/>
              <w:right w:val="nil"/>
            </w:tcBorders>
          </w:tcPr>
          <w:p w14:paraId="6270A9DD">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5,833,494</w:t>
            </w:r>
          </w:p>
        </w:tc>
      </w:tr>
      <w:tr w14:paraId="50DDF310">
        <w:tblPrEx>
          <w:tblCellMar>
            <w:top w:w="0" w:type="dxa"/>
            <w:left w:w="0" w:type="dxa"/>
            <w:bottom w:w="0" w:type="dxa"/>
            <w:right w:w="0" w:type="dxa"/>
          </w:tblCellMar>
        </w:tblPrEx>
        <w:trPr>
          <w:trHeight w:val="135" w:hRule="atLeast"/>
        </w:trPr>
        <w:tc>
          <w:tcPr>
            <w:tcW w:w="656" w:type="dxa"/>
            <w:tcBorders>
              <w:top w:val="nil"/>
              <w:left w:val="nil"/>
              <w:bottom w:val="nil"/>
              <w:right w:val="nil"/>
            </w:tcBorders>
          </w:tcPr>
          <w:p w14:paraId="5E526054">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FCT ABUJA</w:t>
            </w:r>
          </w:p>
        </w:tc>
        <w:tc>
          <w:tcPr>
            <w:tcW w:w="671" w:type="dxa"/>
            <w:tcBorders>
              <w:top w:val="nil"/>
              <w:left w:val="nil"/>
              <w:bottom w:val="nil"/>
              <w:right w:val="nil"/>
            </w:tcBorders>
          </w:tcPr>
          <w:p w14:paraId="19466ACF">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1,406,239</w:t>
            </w:r>
          </w:p>
        </w:tc>
        <w:tc>
          <w:tcPr>
            <w:tcW w:w="486" w:type="dxa"/>
            <w:tcBorders>
              <w:top w:val="nil"/>
              <w:left w:val="nil"/>
              <w:bottom w:val="nil"/>
              <w:right w:val="nil"/>
            </w:tcBorders>
          </w:tcPr>
          <w:p w14:paraId="3D7C3714">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1,489,957</w:t>
            </w:r>
          </w:p>
        </w:tc>
        <w:tc>
          <w:tcPr>
            <w:tcW w:w="480" w:type="dxa"/>
            <w:tcBorders>
              <w:top w:val="nil"/>
              <w:left w:val="nil"/>
              <w:bottom w:val="nil"/>
              <w:right w:val="nil"/>
            </w:tcBorders>
          </w:tcPr>
          <w:p w14:paraId="6159D6BA">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1,576,504</w:t>
            </w:r>
          </w:p>
        </w:tc>
        <w:tc>
          <w:tcPr>
            <w:tcW w:w="484" w:type="dxa"/>
            <w:tcBorders>
              <w:top w:val="nil"/>
              <w:left w:val="nil"/>
              <w:bottom w:val="nil"/>
              <w:right w:val="nil"/>
            </w:tcBorders>
          </w:tcPr>
          <w:p w14:paraId="4E8F7CF4">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1,665,938</w:t>
            </w:r>
          </w:p>
        </w:tc>
        <w:tc>
          <w:tcPr>
            <w:tcW w:w="492" w:type="dxa"/>
            <w:tcBorders>
              <w:top w:val="nil"/>
              <w:left w:val="nil"/>
              <w:bottom w:val="nil"/>
              <w:right w:val="nil"/>
            </w:tcBorders>
          </w:tcPr>
          <w:p w14:paraId="71B97F3E">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1,758,208</w:t>
            </w:r>
          </w:p>
        </w:tc>
        <w:tc>
          <w:tcPr>
            <w:tcW w:w="510" w:type="dxa"/>
            <w:tcBorders>
              <w:top w:val="nil"/>
              <w:left w:val="nil"/>
              <w:bottom w:val="nil"/>
              <w:right w:val="nil"/>
            </w:tcBorders>
          </w:tcPr>
          <w:p w14:paraId="74536F39">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1,853,377</w:t>
            </w:r>
          </w:p>
        </w:tc>
        <w:tc>
          <w:tcPr>
            <w:tcW w:w="500" w:type="dxa"/>
            <w:tcBorders>
              <w:top w:val="nil"/>
              <w:left w:val="nil"/>
              <w:bottom w:val="nil"/>
              <w:right w:val="nil"/>
            </w:tcBorders>
          </w:tcPr>
          <w:p w14:paraId="3FDEC7BB">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1,951,425</w:t>
            </w:r>
          </w:p>
        </w:tc>
        <w:tc>
          <w:tcPr>
            <w:tcW w:w="476" w:type="dxa"/>
            <w:tcBorders>
              <w:top w:val="nil"/>
              <w:left w:val="nil"/>
              <w:bottom w:val="nil"/>
              <w:right w:val="nil"/>
            </w:tcBorders>
          </w:tcPr>
          <w:p w14:paraId="60A12BAC">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2,052,494</w:t>
            </w:r>
          </w:p>
        </w:tc>
        <w:tc>
          <w:tcPr>
            <w:tcW w:w="476" w:type="dxa"/>
            <w:tcBorders>
              <w:top w:val="nil"/>
              <w:left w:val="nil"/>
              <w:bottom w:val="nil"/>
              <w:right w:val="nil"/>
            </w:tcBorders>
          </w:tcPr>
          <w:p w14:paraId="22153E0D">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2,155,943</w:t>
            </w:r>
          </w:p>
        </w:tc>
        <w:tc>
          <w:tcPr>
            <w:tcW w:w="492" w:type="dxa"/>
            <w:tcBorders>
              <w:top w:val="nil"/>
              <w:left w:val="nil"/>
              <w:bottom w:val="nil"/>
              <w:right w:val="nil"/>
            </w:tcBorders>
          </w:tcPr>
          <w:p w14:paraId="23FA4706">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2,261,377</w:t>
            </w:r>
          </w:p>
        </w:tc>
        <w:tc>
          <w:tcPr>
            <w:tcW w:w="503" w:type="dxa"/>
            <w:tcBorders>
              <w:top w:val="nil"/>
              <w:left w:val="nil"/>
              <w:bottom w:val="nil"/>
              <w:right w:val="nil"/>
            </w:tcBorders>
          </w:tcPr>
          <w:p w14:paraId="538383E6">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2,368,558</w:t>
            </w:r>
          </w:p>
        </w:tc>
        <w:tc>
          <w:tcPr>
            <w:tcW w:w="510" w:type="dxa"/>
            <w:tcBorders>
              <w:top w:val="nil"/>
              <w:left w:val="nil"/>
              <w:bottom w:val="nil"/>
              <w:right w:val="nil"/>
            </w:tcBorders>
          </w:tcPr>
          <w:p w14:paraId="7767FCC5">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2,477,433</w:t>
            </w:r>
          </w:p>
        </w:tc>
        <w:tc>
          <w:tcPr>
            <w:tcW w:w="495" w:type="dxa"/>
            <w:tcBorders>
              <w:top w:val="nil"/>
              <w:left w:val="nil"/>
              <w:bottom w:val="nil"/>
              <w:right w:val="nil"/>
            </w:tcBorders>
          </w:tcPr>
          <w:p w14:paraId="6B59192F">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2,588,192</w:t>
            </w:r>
          </w:p>
        </w:tc>
        <w:tc>
          <w:tcPr>
            <w:tcW w:w="482" w:type="dxa"/>
            <w:tcBorders>
              <w:top w:val="nil"/>
              <w:left w:val="nil"/>
              <w:bottom w:val="nil"/>
              <w:right w:val="nil"/>
            </w:tcBorders>
          </w:tcPr>
          <w:p w14:paraId="54281795">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2,702,443</w:t>
            </w:r>
          </w:p>
        </w:tc>
        <w:tc>
          <w:tcPr>
            <w:tcW w:w="495" w:type="dxa"/>
            <w:tcBorders>
              <w:top w:val="nil"/>
              <w:left w:val="nil"/>
              <w:bottom w:val="nil"/>
              <w:right w:val="nil"/>
            </w:tcBorders>
          </w:tcPr>
          <w:p w14:paraId="211DA48B">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2,820,261</w:t>
            </w:r>
          </w:p>
        </w:tc>
        <w:tc>
          <w:tcPr>
            <w:tcW w:w="476" w:type="dxa"/>
            <w:tcBorders>
              <w:top w:val="nil"/>
              <w:left w:val="nil"/>
              <w:bottom w:val="nil"/>
              <w:right w:val="nil"/>
            </w:tcBorders>
          </w:tcPr>
          <w:p w14:paraId="093E342D">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2,941,873</w:t>
            </w:r>
          </w:p>
        </w:tc>
        <w:tc>
          <w:tcPr>
            <w:tcW w:w="476" w:type="dxa"/>
            <w:tcBorders>
              <w:top w:val="nil"/>
              <w:left w:val="nil"/>
              <w:bottom w:val="nil"/>
              <w:right w:val="nil"/>
            </w:tcBorders>
          </w:tcPr>
          <w:p w14:paraId="3264675C">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3,067,457</w:t>
            </w:r>
          </w:p>
        </w:tc>
      </w:tr>
      <w:tr w14:paraId="7525F3B3">
        <w:tblPrEx>
          <w:tblCellMar>
            <w:top w:w="0" w:type="dxa"/>
            <w:left w:w="0" w:type="dxa"/>
            <w:bottom w:w="0" w:type="dxa"/>
            <w:right w:w="0" w:type="dxa"/>
          </w:tblCellMar>
        </w:tblPrEx>
        <w:trPr>
          <w:trHeight w:val="118" w:hRule="atLeast"/>
        </w:trPr>
        <w:tc>
          <w:tcPr>
            <w:tcW w:w="656" w:type="dxa"/>
            <w:tcBorders>
              <w:top w:val="nil"/>
              <w:left w:val="nil"/>
              <w:bottom w:val="nil"/>
              <w:right w:val="nil"/>
            </w:tcBorders>
          </w:tcPr>
          <w:p w14:paraId="6DC280F4">
            <w:pPr>
              <w:widowControl w:val="0"/>
              <w:spacing w:before="100" w:beforeAutospacing="1" w:after="0" w:line="256" w:lineRule="auto"/>
              <w:ind w:left="22"/>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TOTAL</w:t>
            </w:r>
          </w:p>
        </w:tc>
        <w:tc>
          <w:tcPr>
            <w:tcW w:w="671" w:type="dxa"/>
            <w:tcBorders>
              <w:top w:val="nil"/>
              <w:left w:val="nil"/>
              <w:bottom w:val="nil"/>
              <w:right w:val="nil"/>
            </w:tcBorders>
          </w:tcPr>
          <w:p w14:paraId="59DA102B">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140,431,790</w:t>
            </w:r>
          </w:p>
        </w:tc>
        <w:tc>
          <w:tcPr>
            <w:tcW w:w="486" w:type="dxa"/>
            <w:tcBorders>
              <w:top w:val="nil"/>
              <w:left w:val="nil"/>
              <w:bottom w:val="nil"/>
              <w:right w:val="nil"/>
            </w:tcBorders>
          </w:tcPr>
          <w:p w14:paraId="1DAB2175">
            <w:pPr>
              <w:widowControl w:val="0"/>
              <w:spacing w:before="100" w:beforeAutospacing="1" w:after="0" w:line="256" w:lineRule="auto"/>
              <w:ind w:right="3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144,636,162</w:t>
            </w:r>
          </w:p>
        </w:tc>
        <w:tc>
          <w:tcPr>
            <w:tcW w:w="480" w:type="dxa"/>
            <w:tcBorders>
              <w:top w:val="nil"/>
              <w:left w:val="nil"/>
              <w:bottom w:val="nil"/>
              <w:right w:val="nil"/>
            </w:tcBorders>
          </w:tcPr>
          <w:p w14:paraId="492F4531">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148,987,688</w:t>
            </w:r>
          </w:p>
        </w:tc>
        <w:tc>
          <w:tcPr>
            <w:tcW w:w="484" w:type="dxa"/>
            <w:tcBorders>
              <w:top w:val="nil"/>
              <w:left w:val="nil"/>
              <w:bottom w:val="nil"/>
              <w:right w:val="nil"/>
            </w:tcBorders>
          </w:tcPr>
          <w:p w14:paraId="357E51C7">
            <w:pPr>
              <w:widowControl w:val="0"/>
              <w:spacing w:before="100" w:beforeAutospacing="1" w:after="0" w:line="256" w:lineRule="auto"/>
              <w:ind w:right="3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153,408,431</w:t>
            </w:r>
          </w:p>
        </w:tc>
        <w:tc>
          <w:tcPr>
            <w:tcW w:w="492" w:type="dxa"/>
            <w:tcBorders>
              <w:top w:val="nil"/>
              <w:left w:val="nil"/>
              <w:bottom w:val="nil"/>
              <w:right w:val="nil"/>
            </w:tcBorders>
          </w:tcPr>
          <w:p w14:paraId="4A140520">
            <w:pPr>
              <w:widowControl w:val="0"/>
              <w:spacing w:before="100" w:beforeAutospacing="1" w:after="0" w:line="256" w:lineRule="auto"/>
              <w:ind w:right="3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157,898,421</w:t>
            </w:r>
          </w:p>
        </w:tc>
        <w:tc>
          <w:tcPr>
            <w:tcW w:w="510" w:type="dxa"/>
            <w:tcBorders>
              <w:top w:val="nil"/>
              <w:left w:val="nil"/>
              <w:bottom w:val="nil"/>
              <w:right w:val="nil"/>
            </w:tcBorders>
          </w:tcPr>
          <w:p w14:paraId="7D15818D">
            <w:pPr>
              <w:widowControl w:val="0"/>
              <w:spacing w:before="100" w:beforeAutospacing="1" w:after="0" w:line="256" w:lineRule="auto"/>
              <w:ind w:right="56"/>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162,625,665</w:t>
            </w:r>
          </w:p>
        </w:tc>
        <w:tc>
          <w:tcPr>
            <w:tcW w:w="500" w:type="dxa"/>
            <w:tcBorders>
              <w:top w:val="nil"/>
              <w:left w:val="nil"/>
              <w:bottom w:val="nil"/>
              <w:right w:val="nil"/>
            </w:tcBorders>
          </w:tcPr>
          <w:p w14:paraId="3D17F1C3">
            <w:pPr>
              <w:widowControl w:val="0"/>
              <w:spacing w:before="100" w:beforeAutospacing="1" w:after="0" w:line="256" w:lineRule="auto"/>
              <w:ind w:right="28"/>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167,231,025</w:t>
            </w:r>
          </w:p>
        </w:tc>
        <w:tc>
          <w:tcPr>
            <w:tcW w:w="476" w:type="dxa"/>
            <w:tcBorders>
              <w:top w:val="nil"/>
              <w:left w:val="nil"/>
              <w:bottom w:val="nil"/>
              <w:right w:val="nil"/>
            </w:tcBorders>
          </w:tcPr>
          <w:p w14:paraId="5AA2A346">
            <w:pPr>
              <w:widowControl w:val="0"/>
              <w:spacing w:before="100" w:beforeAutospacing="1" w:after="0" w:line="256" w:lineRule="auto"/>
              <w:ind w:right="3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171,882,302</w:t>
            </w:r>
          </w:p>
        </w:tc>
        <w:tc>
          <w:tcPr>
            <w:tcW w:w="476" w:type="dxa"/>
            <w:tcBorders>
              <w:top w:val="nil"/>
              <w:left w:val="nil"/>
              <w:bottom w:val="nil"/>
              <w:right w:val="nil"/>
            </w:tcBorders>
          </w:tcPr>
          <w:p w14:paraId="2C5EA1AD">
            <w:pPr>
              <w:widowControl w:val="0"/>
              <w:spacing w:before="100" w:beforeAutospacing="1" w:after="0" w:line="256" w:lineRule="auto"/>
              <w:ind w:right="2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176,520,769</w:t>
            </w:r>
          </w:p>
        </w:tc>
        <w:tc>
          <w:tcPr>
            <w:tcW w:w="492" w:type="dxa"/>
            <w:tcBorders>
              <w:top w:val="nil"/>
              <w:left w:val="nil"/>
              <w:bottom w:val="nil"/>
              <w:right w:val="nil"/>
            </w:tcBorders>
          </w:tcPr>
          <w:p w14:paraId="456D3D3E">
            <w:pPr>
              <w:widowControl w:val="0"/>
              <w:spacing w:before="100" w:beforeAutospacing="1" w:after="0" w:line="256" w:lineRule="auto"/>
              <w:ind w:right="49"/>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180,905,896</w:t>
            </w:r>
          </w:p>
        </w:tc>
        <w:tc>
          <w:tcPr>
            <w:tcW w:w="503" w:type="dxa"/>
            <w:tcBorders>
              <w:top w:val="nil"/>
              <w:left w:val="nil"/>
              <w:bottom w:val="nil"/>
              <w:right w:val="nil"/>
            </w:tcBorders>
          </w:tcPr>
          <w:p w14:paraId="0AD353BC">
            <w:pPr>
              <w:widowControl w:val="0"/>
              <w:spacing w:before="100" w:beforeAutospacing="1" w:after="0" w:line="256" w:lineRule="auto"/>
              <w:ind w:right="4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186,136,316</w:t>
            </w:r>
          </w:p>
        </w:tc>
        <w:tc>
          <w:tcPr>
            <w:tcW w:w="510" w:type="dxa"/>
            <w:tcBorders>
              <w:top w:val="nil"/>
              <w:left w:val="nil"/>
              <w:bottom w:val="nil"/>
              <w:right w:val="nil"/>
            </w:tcBorders>
          </w:tcPr>
          <w:p w14:paraId="68400F76">
            <w:pPr>
              <w:widowControl w:val="0"/>
              <w:spacing w:before="100" w:beforeAutospacing="1" w:after="0" w:line="256" w:lineRule="auto"/>
              <w:ind w:right="5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191,136,750</w:t>
            </w:r>
          </w:p>
        </w:tc>
        <w:tc>
          <w:tcPr>
            <w:tcW w:w="495" w:type="dxa"/>
            <w:tcBorders>
              <w:top w:val="nil"/>
              <w:left w:val="nil"/>
              <w:bottom w:val="nil"/>
              <w:right w:val="nil"/>
            </w:tcBorders>
          </w:tcPr>
          <w:p w14:paraId="7C9E1C99">
            <w:pPr>
              <w:widowControl w:val="0"/>
              <w:spacing w:before="100" w:beforeAutospacing="1" w:after="0" w:line="256" w:lineRule="auto"/>
              <w:ind w:right="27"/>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196,126,028</w:t>
            </w:r>
          </w:p>
        </w:tc>
        <w:tc>
          <w:tcPr>
            <w:tcW w:w="482" w:type="dxa"/>
            <w:tcBorders>
              <w:top w:val="nil"/>
              <w:left w:val="nil"/>
              <w:bottom w:val="nil"/>
              <w:right w:val="nil"/>
            </w:tcBorders>
          </w:tcPr>
          <w:p w14:paraId="58BC07A7">
            <w:pPr>
              <w:widowControl w:val="0"/>
              <w:spacing w:before="100" w:beforeAutospacing="1" w:after="0" w:line="256" w:lineRule="auto"/>
              <w:ind w:right="4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201,142,941</w:t>
            </w:r>
          </w:p>
        </w:tc>
        <w:tc>
          <w:tcPr>
            <w:tcW w:w="495" w:type="dxa"/>
            <w:tcBorders>
              <w:top w:val="nil"/>
              <w:left w:val="nil"/>
              <w:bottom w:val="nil"/>
              <w:right w:val="nil"/>
            </w:tcBorders>
          </w:tcPr>
          <w:p w14:paraId="407E6510">
            <w:pPr>
              <w:widowControl w:val="0"/>
              <w:spacing w:before="100" w:beforeAutospacing="1" w:after="0" w:line="256" w:lineRule="auto"/>
              <w:ind w:right="41"/>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206,367,029</w:t>
            </w:r>
          </w:p>
        </w:tc>
        <w:tc>
          <w:tcPr>
            <w:tcW w:w="476" w:type="dxa"/>
            <w:tcBorders>
              <w:top w:val="nil"/>
              <w:left w:val="nil"/>
              <w:bottom w:val="nil"/>
              <w:right w:val="nil"/>
            </w:tcBorders>
          </w:tcPr>
          <w:p w14:paraId="4BF7F705">
            <w:pPr>
              <w:widowControl w:val="0"/>
              <w:spacing w:before="100" w:beforeAutospacing="1" w:after="0" w:line="256" w:lineRule="auto"/>
              <w:ind w:right="24"/>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211,493,324</w:t>
            </w:r>
          </w:p>
        </w:tc>
        <w:tc>
          <w:tcPr>
            <w:tcW w:w="476" w:type="dxa"/>
            <w:tcBorders>
              <w:top w:val="nil"/>
              <w:left w:val="nil"/>
              <w:bottom w:val="nil"/>
              <w:right w:val="nil"/>
            </w:tcBorders>
          </w:tcPr>
          <w:p w14:paraId="02CC5D5A">
            <w:pPr>
              <w:widowControl w:val="0"/>
              <w:spacing w:before="100" w:beforeAutospacing="1" w:after="0" w:line="256" w:lineRule="auto"/>
              <w:ind w:right="23"/>
              <w:jc w:val="right"/>
              <w:rPr>
                <w:rFonts w:ascii="Calibri" w:hAnsi="Calibri" w:eastAsia="Times New Roman" w:cs="Calibri"/>
                <w:color w:val="000000"/>
                <w:sz w:val="9"/>
                <w:szCs w:val="9"/>
                <w14:ligatures w14:val="none"/>
              </w:rPr>
            </w:pPr>
            <w:r>
              <w:rPr>
                <w:rFonts w:ascii="Calibri" w:hAnsi="Calibri" w:eastAsia="Times New Roman" w:cs="Calibri"/>
                <w:color w:val="000000"/>
                <w:sz w:val="9"/>
                <w:szCs w:val="9"/>
                <w14:ligatures w14:val="none"/>
              </w:rPr>
              <w:t>216,798,930</w:t>
            </w:r>
          </w:p>
        </w:tc>
      </w:tr>
    </w:tbl>
    <w:p w14:paraId="4C030819">
      <w:pPr>
        <w:keepNext/>
        <w:keepLines/>
        <w:widowControl w:val="0"/>
        <w:spacing w:before="240" w:after="0" w:line="256" w:lineRule="auto"/>
        <w:outlineLvl w:val="0"/>
        <w:rPr>
          <w:rFonts w:ascii="Times New Roman" w:hAnsi="Times New Roman" w:eastAsia="Times New Roman" w:cs="Times New Roman"/>
          <w:b/>
          <w:color w:val="000000"/>
          <w:sz w:val="32"/>
          <w:szCs w:val="32"/>
          <w14:ligatures w14:val="none"/>
        </w:rPr>
      </w:pPr>
    </w:p>
    <w:p w14:paraId="2B5A9168">
      <w:pPr>
        <w:spacing w:before="100" w:beforeAutospacing="1" w:line="256" w:lineRule="auto"/>
        <w:rPr>
          <w:rFonts w:ascii="Calibri" w:hAnsi="Calibri" w:eastAsia="Times New Roman" w:cs="Times New Roman"/>
          <w14:ligatures w14:val="none"/>
        </w:rPr>
      </w:pPr>
      <w:r>
        <w:rPr>
          <w:rFonts w:ascii="Calibri" w:hAnsi="Calibri" w:eastAsia="Times New Roman" w:cs="Times New Roman"/>
          <w14:ligatures w14:val="none"/>
        </w:rPr>
        <w:t>Appendix 11 data collection acknowledgement letters</w:t>
      </w:r>
    </w:p>
    <w:p w14:paraId="4C8912F4">
      <w:pPr>
        <w:keepNext/>
        <w:keepLines/>
        <w:widowControl w:val="0"/>
        <w:spacing w:before="240" w:after="0" w:line="256" w:lineRule="auto"/>
        <w:outlineLvl w:val="0"/>
        <w:rPr>
          <w:rFonts w:ascii="Times New Roman" w:hAnsi="Times New Roman" w:eastAsia="Times New Roman" w:cs="Times New Roman"/>
          <w:b/>
          <w:color w:val="000000"/>
          <w:kern w:val="0"/>
          <w:sz w:val="28"/>
          <w:szCs w:val="28"/>
          <w14:ligatures w14:val="none"/>
        </w:rPr>
      </w:pPr>
      <w:bookmarkStart w:id="105" w:name="_Toc215220549"/>
      <w:r>
        <w:rPr>
          <w:rFonts w:ascii="Times New Roman" w:hAnsi="Times New Roman" w:eastAsia="Times New Roman" w:cs="Times New Roman"/>
          <w:b/>
          <w:color w:val="000000"/>
          <w:kern w:val="0"/>
          <w:sz w:val="28"/>
          <w:szCs w:val="28"/>
          <w14:ligatures w14:val="none"/>
        </w:rPr>
        <w:drawing>
          <wp:inline distT="0" distB="0" distL="0" distR="0">
            <wp:extent cx="5867400" cy="74961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867400" cy="7496175"/>
                    </a:xfrm>
                    <a:prstGeom prst="rect">
                      <a:avLst/>
                    </a:prstGeom>
                    <a:noFill/>
                  </pic:spPr>
                </pic:pic>
              </a:graphicData>
            </a:graphic>
          </wp:inline>
        </w:drawing>
      </w:r>
      <w:bookmarkEnd w:id="105"/>
    </w:p>
    <w:p w14:paraId="41A9021E">
      <w:pPr>
        <w:spacing w:before="100" w:beforeAutospacing="1" w:line="256" w:lineRule="auto"/>
        <w:rPr>
          <w:rFonts w:ascii="Calibri" w:hAnsi="Calibri" w:eastAsia="Times New Roman" w:cs="Times New Roman"/>
          <w14:ligatures w14:val="none"/>
        </w:rPr>
      </w:pPr>
    </w:p>
    <w:p w14:paraId="0BC30CD2">
      <w:pPr>
        <w:spacing w:before="100" w:beforeAutospacing="1" w:line="256"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drawing>
          <wp:inline distT="0" distB="0" distL="0" distR="0">
            <wp:extent cx="5905500" cy="6858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905500" cy="6858000"/>
                    </a:xfrm>
                    <a:prstGeom prst="rect">
                      <a:avLst/>
                    </a:prstGeom>
                    <a:noFill/>
                  </pic:spPr>
                </pic:pic>
              </a:graphicData>
            </a:graphic>
          </wp:inline>
        </w:drawing>
      </w:r>
    </w:p>
    <w:p w14:paraId="54CF988C">
      <w:pPr>
        <w:spacing w:before="100" w:beforeAutospacing="1" w:line="256" w:lineRule="auto"/>
        <w:rPr>
          <w:rFonts w:ascii="Times New Roman" w:hAnsi="Times New Roman" w:eastAsia="Times New Roman" w:cs="Times New Roman"/>
          <w14:ligatures w14:val="none"/>
        </w:rPr>
      </w:pPr>
    </w:p>
    <w:p w14:paraId="3B1C1EE8">
      <w:pPr>
        <w:spacing w:before="100" w:beforeAutospacing="1" w:line="256" w:lineRule="auto"/>
        <w:rPr>
          <w:rFonts w:ascii="Times New Roman" w:hAnsi="Times New Roman" w:eastAsia="Times New Roman" w:cs="Times New Roman"/>
          <w14:ligatures w14:val="none"/>
        </w:rPr>
      </w:pPr>
    </w:p>
    <w:p w14:paraId="40DA8146">
      <w:pPr>
        <w:spacing w:before="100" w:beforeAutospacing="1" w:line="256" w:lineRule="auto"/>
        <w:rPr>
          <w:rFonts w:ascii="Times New Roman" w:hAnsi="Times New Roman" w:eastAsia="Times New Roman" w:cs="Times New Roman"/>
          <w14:ligatures w14:val="none"/>
        </w:rPr>
      </w:pPr>
    </w:p>
    <w:p w14:paraId="5D4F47BE"/>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DengXian Light">
    <w:altName w:val="SimSun"/>
    <w:panose1 w:val="00000000000000000000"/>
    <w:charset w:val="86"/>
    <w:family w:val="auto"/>
    <w:pitch w:val="default"/>
    <w:sig w:usb0="00000000" w:usb1="00000000" w:usb2="00000016" w:usb3="00000000" w:csb0="0004000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D271B5"/>
    <w:multiLevelType w:val="multilevel"/>
    <w:tmpl w:val="05D271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AC96DBE"/>
    <w:multiLevelType w:val="multilevel"/>
    <w:tmpl w:val="0AC96DB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FAB12C8"/>
    <w:multiLevelType w:val="multilevel"/>
    <w:tmpl w:val="1FAB12C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C17185E"/>
    <w:multiLevelType w:val="multilevel"/>
    <w:tmpl w:val="2C1718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CE15FDC"/>
    <w:multiLevelType w:val="multilevel"/>
    <w:tmpl w:val="2CE15FDC"/>
    <w:lvl w:ilvl="0" w:tentative="0">
      <w:start w:val="1"/>
      <w:numFmt w:val="bullet"/>
      <w:lvlText w:val=""/>
      <w:lvlJc w:val="left"/>
      <w:pPr>
        <w:ind w:left="720" w:hanging="360"/>
      </w:pPr>
      <w:rPr>
        <w:rFonts w:hint="default" w:ascii="Symbol" w:hAnsi="Symbol"/>
      </w:rPr>
    </w:lvl>
    <w:lvl w:ilvl="1" w:tentative="0">
      <w:start w:val="3"/>
      <w:numFmt w:val="bullet"/>
      <w:lvlText w:val="•"/>
      <w:lvlJc w:val="left"/>
      <w:pPr>
        <w:ind w:left="1800" w:hanging="720"/>
      </w:pPr>
      <w:rPr>
        <w:rFonts w:hint="default" w:ascii="Times New Roman" w:hAnsi="Times New Roman" w:eastAsia="Calibri" w:cs="Times New Roman"/>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3C239AA"/>
    <w:multiLevelType w:val="multilevel"/>
    <w:tmpl w:val="43C239A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5673D2C"/>
    <w:multiLevelType w:val="multilevel"/>
    <w:tmpl w:val="45673D2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F913397"/>
    <w:multiLevelType w:val="multilevel"/>
    <w:tmpl w:val="4F913397"/>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8">
    <w:nsid w:val="52AF53C7"/>
    <w:multiLevelType w:val="multilevel"/>
    <w:tmpl w:val="52AF53C7"/>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9">
    <w:nsid w:val="5CD40024"/>
    <w:multiLevelType w:val="multilevel"/>
    <w:tmpl w:val="5CD4002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D640AE7"/>
    <w:multiLevelType w:val="multilevel"/>
    <w:tmpl w:val="5D640AE7"/>
    <w:lvl w:ilvl="0" w:tentative="0">
      <w:start w:val="1"/>
      <w:numFmt w:val="decimal"/>
      <w:lvlText w:val="%1."/>
      <w:lvlJc w:val="left"/>
      <w:pPr>
        <w:ind w:left="360" w:hanging="360"/>
      </w:pPr>
      <w:rPr>
        <w:rFonts w:hint="default" w:ascii="Times New Roman" w:hAnsi="Times New Roman" w:cs="Times New Roman"/>
      </w:rPr>
    </w:lvl>
    <w:lvl w:ilvl="1" w:tentative="0">
      <w:start w:val="3"/>
      <w:numFmt w:val="decimal"/>
      <w:isLgl/>
      <w:lvlText w:val="%1.%2"/>
      <w:lvlJc w:val="left"/>
      <w:pPr>
        <w:ind w:left="420" w:hanging="420"/>
      </w:pPr>
      <w:rPr>
        <w:rFonts w:hint="default" w:ascii="Times New Roman" w:hAnsi="Times New Roman" w:cs="Times New Roman"/>
      </w:rPr>
    </w:lvl>
    <w:lvl w:ilvl="2" w:tentative="0">
      <w:start w:val="1"/>
      <w:numFmt w:val="decimal"/>
      <w:isLgl/>
      <w:lvlText w:val="%1.%2.%3"/>
      <w:lvlJc w:val="left"/>
      <w:pPr>
        <w:ind w:left="720" w:hanging="720"/>
      </w:pPr>
      <w:rPr>
        <w:rFonts w:hint="default" w:ascii="Times New Roman" w:hAnsi="Times New Roman" w:cs="Times New Roman"/>
      </w:rPr>
    </w:lvl>
    <w:lvl w:ilvl="3" w:tentative="0">
      <w:start w:val="1"/>
      <w:numFmt w:val="decimal"/>
      <w:isLgl/>
      <w:lvlText w:val="%1.%2.%3.%4"/>
      <w:lvlJc w:val="left"/>
      <w:pPr>
        <w:ind w:left="1080" w:hanging="1080"/>
      </w:pPr>
      <w:rPr>
        <w:rFonts w:hint="default" w:ascii="Times New Roman" w:hAnsi="Times New Roman" w:cs="Times New Roman"/>
      </w:rPr>
    </w:lvl>
    <w:lvl w:ilvl="4" w:tentative="0">
      <w:start w:val="1"/>
      <w:numFmt w:val="decimal"/>
      <w:isLgl/>
      <w:lvlText w:val="%1.%2.%3.%4.%5"/>
      <w:lvlJc w:val="left"/>
      <w:pPr>
        <w:ind w:left="1080" w:hanging="1080"/>
      </w:pPr>
      <w:rPr>
        <w:rFonts w:hint="default" w:ascii="Times New Roman" w:hAnsi="Times New Roman" w:cs="Times New Roman"/>
      </w:rPr>
    </w:lvl>
    <w:lvl w:ilvl="5" w:tentative="0">
      <w:start w:val="1"/>
      <w:numFmt w:val="decimal"/>
      <w:isLgl/>
      <w:lvlText w:val="%1.%2.%3.%4.%5.%6"/>
      <w:lvlJc w:val="left"/>
      <w:pPr>
        <w:ind w:left="1440" w:hanging="1440"/>
      </w:pPr>
      <w:rPr>
        <w:rFonts w:hint="default" w:ascii="Times New Roman" w:hAnsi="Times New Roman" w:cs="Times New Roman"/>
      </w:rPr>
    </w:lvl>
    <w:lvl w:ilvl="6" w:tentative="0">
      <w:start w:val="1"/>
      <w:numFmt w:val="decimal"/>
      <w:isLgl/>
      <w:lvlText w:val="%1.%2.%3.%4.%5.%6.%7"/>
      <w:lvlJc w:val="left"/>
      <w:pPr>
        <w:ind w:left="1440" w:hanging="1440"/>
      </w:pPr>
      <w:rPr>
        <w:rFonts w:hint="default" w:ascii="Times New Roman" w:hAnsi="Times New Roman" w:cs="Times New Roman"/>
      </w:rPr>
    </w:lvl>
    <w:lvl w:ilvl="7" w:tentative="0">
      <w:start w:val="1"/>
      <w:numFmt w:val="decimal"/>
      <w:isLgl/>
      <w:lvlText w:val="%1.%2.%3.%4.%5.%6.%7.%8"/>
      <w:lvlJc w:val="left"/>
      <w:pPr>
        <w:ind w:left="1800" w:hanging="1800"/>
      </w:pPr>
      <w:rPr>
        <w:rFonts w:hint="default" w:ascii="Times New Roman" w:hAnsi="Times New Roman" w:cs="Times New Roman"/>
      </w:rPr>
    </w:lvl>
    <w:lvl w:ilvl="8" w:tentative="0">
      <w:start w:val="1"/>
      <w:numFmt w:val="decimal"/>
      <w:isLgl/>
      <w:lvlText w:val="%1.%2.%3.%4.%5.%6.%7.%8.%9"/>
      <w:lvlJc w:val="left"/>
      <w:pPr>
        <w:ind w:left="2160" w:hanging="2160"/>
      </w:pPr>
      <w:rPr>
        <w:rFonts w:hint="default" w:ascii="Times New Roman" w:hAnsi="Times New Roman" w:cs="Times New Roman"/>
      </w:rPr>
    </w:lvl>
  </w:abstractNum>
  <w:abstractNum w:abstractNumId="11">
    <w:nsid w:val="6C8C7A60"/>
    <w:multiLevelType w:val="multilevel"/>
    <w:tmpl w:val="6C8C7A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7BF37722"/>
    <w:multiLevelType w:val="multilevel"/>
    <w:tmpl w:val="7BF3772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7F330F39"/>
    <w:multiLevelType w:val="multilevel"/>
    <w:tmpl w:val="7F330F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9"/>
  </w:num>
  <w:num w:numId="3">
    <w:abstractNumId w:val="12"/>
  </w:num>
  <w:num w:numId="4">
    <w:abstractNumId w:val="3"/>
  </w:num>
  <w:num w:numId="5">
    <w:abstractNumId w:val="11"/>
  </w:num>
  <w:num w:numId="6">
    <w:abstractNumId w:val="6"/>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0"/>
  </w:num>
  <w:num w:numId="10">
    <w:abstractNumId w:val="1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2"/>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E82"/>
    <w:rsid w:val="000026F3"/>
    <w:rsid w:val="00016F54"/>
    <w:rsid w:val="00032960"/>
    <w:rsid w:val="0005330B"/>
    <w:rsid w:val="000633F0"/>
    <w:rsid w:val="00093142"/>
    <w:rsid w:val="000A0C7B"/>
    <w:rsid w:val="000B2E82"/>
    <w:rsid w:val="000C0BCD"/>
    <w:rsid w:val="000D1D9E"/>
    <w:rsid w:val="00101382"/>
    <w:rsid w:val="00103A10"/>
    <w:rsid w:val="0010587A"/>
    <w:rsid w:val="00106B12"/>
    <w:rsid w:val="001115E5"/>
    <w:rsid w:val="00120A57"/>
    <w:rsid w:val="00133237"/>
    <w:rsid w:val="0015794B"/>
    <w:rsid w:val="001C7107"/>
    <w:rsid w:val="001E2977"/>
    <w:rsid w:val="001E6667"/>
    <w:rsid w:val="00201BD3"/>
    <w:rsid w:val="002055AD"/>
    <w:rsid w:val="002371DB"/>
    <w:rsid w:val="002668C1"/>
    <w:rsid w:val="002941C0"/>
    <w:rsid w:val="002973F5"/>
    <w:rsid w:val="002B136B"/>
    <w:rsid w:val="002B4A07"/>
    <w:rsid w:val="0030393F"/>
    <w:rsid w:val="003110CD"/>
    <w:rsid w:val="0031253B"/>
    <w:rsid w:val="00356950"/>
    <w:rsid w:val="00367C2C"/>
    <w:rsid w:val="003A0658"/>
    <w:rsid w:val="003C772C"/>
    <w:rsid w:val="003D16D2"/>
    <w:rsid w:val="003D6EEF"/>
    <w:rsid w:val="00400A60"/>
    <w:rsid w:val="004335EF"/>
    <w:rsid w:val="004338F4"/>
    <w:rsid w:val="00487BF5"/>
    <w:rsid w:val="00487D42"/>
    <w:rsid w:val="00493586"/>
    <w:rsid w:val="004B47B8"/>
    <w:rsid w:val="00502F27"/>
    <w:rsid w:val="00556858"/>
    <w:rsid w:val="00567815"/>
    <w:rsid w:val="00582278"/>
    <w:rsid w:val="005829B7"/>
    <w:rsid w:val="005A6A91"/>
    <w:rsid w:val="005A75A7"/>
    <w:rsid w:val="005B7998"/>
    <w:rsid w:val="006034BA"/>
    <w:rsid w:val="00612482"/>
    <w:rsid w:val="006142F7"/>
    <w:rsid w:val="0063621A"/>
    <w:rsid w:val="00647318"/>
    <w:rsid w:val="006648FE"/>
    <w:rsid w:val="00693A4E"/>
    <w:rsid w:val="006A7082"/>
    <w:rsid w:val="006B6754"/>
    <w:rsid w:val="006C6AF0"/>
    <w:rsid w:val="006D0511"/>
    <w:rsid w:val="006D4FD9"/>
    <w:rsid w:val="006F0525"/>
    <w:rsid w:val="00701115"/>
    <w:rsid w:val="00707F5A"/>
    <w:rsid w:val="00712AEE"/>
    <w:rsid w:val="007571DF"/>
    <w:rsid w:val="00767D81"/>
    <w:rsid w:val="007771F7"/>
    <w:rsid w:val="007A1521"/>
    <w:rsid w:val="007E7239"/>
    <w:rsid w:val="00834F34"/>
    <w:rsid w:val="008751AA"/>
    <w:rsid w:val="00897509"/>
    <w:rsid w:val="00897A0A"/>
    <w:rsid w:val="008A7089"/>
    <w:rsid w:val="008B59D8"/>
    <w:rsid w:val="008E76DB"/>
    <w:rsid w:val="008F794F"/>
    <w:rsid w:val="00902FDD"/>
    <w:rsid w:val="00934946"/>
    <w:rsid w:val="00950C5E"/>
    <w:rsid w:val="00965EC3"/>
    <w:rsid w:val="00976D12"/>
    <w:rsid w:val="009A30A8"/>
    <w:rsid w:val="009A3F26"/>
    <w:rsid w:val="009B711D"/>
    <w:rsid w:val="009E2903"/>
    <w:rsid w:val="00A320D7"/>
    <w:rsid w:val="00A875FC"/>
    <w:rsid w:val="00A97402"/>
    <w:rsid w:val="00AA0910"/>
    <w:rsid w:val="00AF5622"/>
    <w:rsid w:val="00B0173C"/>
    <w:rsid w:val="00B0270A"/>
    <w:rsid w:val="00B15C27"/>
    <w:rsid w:val="00B168E2"/>
    <w:rsid w:val="00B43942"/>
    <w:rsid w:val="00B4537F"/>
    <w:rsid w:val="00B5723C"/>
    <w:rsid w:val="00BA480A"/>
    <w:rsid w:val="00BB4997"/>
    <w:rsid w:val="00BC3E92"/>
    <w:rsid w:val="00BD27EB"/>
    <w:rsid w:val="00BE533B"/>
    <w:rsid w:val="00BE64DE"/>
    <w:rsid w:val="00BF49AF"/>
    <w:rsid w:val="00BF57BB"/>
    <w:rsid w:val="00C36047"/>
    <w:rsid w:val="00C723E4"/>
    <w:rsid w:val="00CA65CE"/>
    <w:rsid w:val="00CC00DF"/>
    <w:rsid w:val="00CC6B9F"/>
    <w:rsid w:val="00CD4696"/>
    <w:rsid w:val="00CE02CE"/>
    <w:rsid w:val="00CE08B8"/>
    <w:rsid w:val="00CE7855"/>
    <w:rsid w:val="00CF48C0"/>
    <w:rsid w:val="00D0609C"/>
    <w:rsid w:val="00D2129F"/>
    <w:rsid w:val="00D72C44"/>
    <w:rsid w:val="00D75EFD"/>
    <w:rsid w:val="00D916C6"/>
    <w:rsid w:val="00D966DC"/>
    <w:rsid w:val="00DA78CF"/>
    <w:rsid w:val="00DC44F9"/>
    <w:rsid w:val="00DE054E"/>
    <w:rsid w:val="00E31C98"/>
    <w:rsid w:val="00E34068"/>
    <w:rsid w:val="00E85DBB"/>
    <w:rsid w:val="00EA4634"/>
    <w:rsid w:val="00EB4C62"/>
    <w:rsid w:val="00EF09C9"/>
    <w:rsid w:val="00EF0D3A"/>
    <w:rsid w:val="00EF6901"/>
    <w:rsid w:val="00F1019F"/>
    <w:rsid w:val="00F33A39"/>
    <w:rsid w:val="00F366D5"/>
    <w:rsid w:val="00F40F3B"/>
    <w:rsid w:val="00F4379B"/>
    <w:rsid w:val="00F54DEB"/>
    <w:rsid w:val="00F6238A"/>
    <w:rsid w:val="00F71E83"/>
    <w:rsid w:val="00F841EC"/>
    <w:rsid w:val="00FA1580"/>
    <w:rsid w:val="00FA2935"/>
    <w:rsid w:val="00FC211D"/>
    <w:rsid w:val="00FC45C1"/>
    <w:rsid w:val="00FC55C4"/>
    <w:rsid w:val="00FC71B5"/>
    <w:rsid w:val="00FD0BE3"/>
    <w:rsid w:val="00FF687C"/>
    <w:rsid w:val="7B416E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2"/>
    <w:qFormat/>
    <w:uiPriority w:val="99"/>
    <w:pPr>
      <w:keepNext/>
      <w:keepLines/>
      <w:widowControl w:val="0"/>
      <w:spacing w:before="240" w:after="0" w:line="256" w:lineRule="auto"/>
      <w:outlineLvl w:val="0"/>
    </w:pPr>
    <w:rPr>
      <w:rFonts w:ascii="Calibri Light" w:hAnsi="Calibri Light" w:eastAsia="DengXian Light" w:cs="Times New Roman"/>
      <w:color w:val="2F5496"/>
      <w:sz w:val="32"/>
      <w:szCs w:val="32"/>
      <w14:ligatures w14:val="none"/>
    </w:rPr>
  </w:style>
  <w:style w:type="paragraph" w:styleId="3">
    <w:name w:val="heading 2"/>
    <w:basedOn w:val="1"/>
    <w:next w:val="1"/>
    <w:link w:val="13"/>
    <w:unhideWhenUsed/>
    <w:qFormat/>
    <w:uiPriority w:val="9"/>
    <w:pPr>
      <w:keepNext/>
      <w:keepLines/>
      <w:spacing w:before="40" w:beforeAutospacing="1" w:after="0" w:line="256" w:lineRule="auto"/>
      <w:outlineLvl w:val="1"/>
    </w:pPr>
    <w:rPr>
      <w:rFonts w:asciiTheme="majorHAnsi" w:hAnsiTheme="majorHAnsi" w:eastAsiaTheme="majorEastAsia" w:cstheme="majorBidi"/>
      <w:color w:val="2F5597" w:themeColor="accent1" w:themeShade="BF"/>
      <w:sz w:val="26"/>
      <w:szCs w:val="26"/>
      <w14:ligatures w14:val="none"/>
    </w:rPr>
  </w:style>
  <w:style w:type="paragraph" w:styleId="4">
    <w:name w:val="heading 3"/>
    <w:basedOn w:val="1"/>
    <w:next w:val="1"/>
    <w:link w:val="25"/>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6"/>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FollowedHyperlink"/>
    <w:basedOn w:val="6"/>
    <w:unhideWhenUsed/>
    <w:uiPriority w:val="99"/>
    <w:rPr>
      <w:color w:val="800080"/>
      <w:u w:val="single"/>
    </w:rPr>
  </w:style>
  <w:style w:type="character" w:styleId="9">
    <w:name w:val="Hyperlink"/>
    <w:basedOn w:val="6"/>
    <w:unhideWhenUsed/>
    <w:qFormat/>
    <w:uiPriority w:val="99"/>
    <w:rPr>
      <w:color w:val="0000FF"/>
      <w:u w:val="single"/>
    </w:rPr>
  </w:style>
  <w:style w:type="table" w:styleId="10">
    <w:name w:val="Table Grid"/>
    <w:basedOn w:val="7"/>
    <w:qFormat/>
    <w:uiPriority w:val="99"/>
    <w:pPr>
      <w:spacing w:after="0" w:line="240" w:lineRule="auto"/>
    </w:pPr>
    <w:rPr>
      <w:rFonts w:ascii="Calibri" w:hAnsi="Calibri" w:eastAsia="SimSun" w:cs="Times New Roma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autoRedefine/>
    <w:unhideWhenUsed/>
    <w:qFormat/>
    <w:uiPriority w:val="39"/>
    <w:pPr>
      <w:spacing w:before="100" w:beforeAutospacing="1" w:after="100" w:line="256" w:lineRule="auto"/>
    </w:pPr>
    <w:rPr>
      <w:rFonts w:ascii="Calibri" w:hAnsi="Calibri" w:eastAsia="Times New Roman" w:cs="Times New Roman"/>
      <w14:ligatures w14:val="none"/>
    </w:rPr>
  </w:style>
  <w:style w:type="character" w:customStyle="1" w:styleId="12">
    <w:name w:val="Heading 1 Char"/>
    <w:basedOn w:val="6"/>
    <w:link w:val="2"/>
    <w:qFormat/>
    <w:uiPriority w:val="99"/>
    <w:rPr>
      <w:rFonts w:ascii="Calibri Light" w:hAnsi="Calibri Light" w:eastAsia="DengXian Light" w:cs="Times New Roman"/>
      <w:color w:val="2F5496"/>
      <w:sz w:val="32"/>
      <w:szCs w:val="32"/>
      <w14:ligatures w14:val="none"/>
    </w:rPr>
  </w:style>
  <w:style w:type="character" w:customStyle="1" w:styleId="13">
    <w:name w:val="Heading 2 Char"/>
    <w:basedOn w:val="6"/>
    <w:link w:val="3"/>
    <w:qFormat/>
    <w:uiPriority w:val="9"/>
    <w:rPr>
      <w:rFonts w:asciiTheme="majorHAnsi" w:hAnsiTheme="majorHAnsi" w:eastAsiaTheme="majorEastAsia" w:cstheme="majorBidi"/>
      <w:color w:val="2F5597" w:themeColor="accent1" w:themeShade="BF"/>
      <w:sz w:val="26"/>
      <w:szCs w:val="26"/>
      <w14:ligatures w14:val="none"/>
    </w:rPr>
  </w:style>
  <w:style w:type="paragraph" w:customStyle="1" w:styleId="14">
    <w:name w:val="msonormal"/>
    <w:basedOn w:val="1"/>
    <w:uiPriority w:val="0"/>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15">
    <w:name w:val="List Paragraph"/>
    <w:basedOn w:val="1"/>
    <w:qFormat/>
    <w:uiPriority w:val="34"/>
    <w:pPr>
      <w:spacing w:before="100" w:beforeAutospacing="1" w:line="256" w:lineRule="auto"/>
      <w:ind w:left="720"/>
      <w:contextualSpacing/>
    </w:pPr>
    <w:rPr>
      <w:rFonts w:ascii="Calibri" w:hAnsi="Calibri" w:eastAsia="Times New Roman" w:cs="Times New Roman"/>
      <w14:ligatures w14:val="none"/>
    </w:rPr>
  </w:style>
  <w:style w:type="character" w:customStyle="1" w:styleId="16">
    <w:name w:val="15"/>
    <w:basedOn w:val="6"/>
    <w:uiPriority w:val="0"/>
    <w:rPr>
      <w:rFonts w:hint="default" w:ascii="Calibri" w:hAnsi="Calibri" w:cs="Calibri"/>
      <w:color w:val="0563C1"/>
      <w:u w:val="single"/>
    </w:rPr>
  </w:style>
  <w:style w:type="table" w:customStyle="1" w:styleId="17">
    <w:name w:val="_Style 93"/>
    <w:basedOn w:val="7"/>
    <w:uiPriority w:val="0"/>
    <w:pPr>
      <w:spacing w:after="0" w:line="240" w:lineRule="auto"/>
    </w:pPr>
    <w:rPr>
      <w:rFonts w:ascii="Calibri" w:hAnsi="Calibri" w:eastAsia="Times New Roman" w:cs="Calibri"/>
      <w:kern w:val="0"/>
      <w14:ligatures w14:val="none"/>
    </w:rPr>
    <w:tblPr/>
  </w:style>
  <w:style w:type="table" w:customStyle="1" w:styleId="18">
    <w:name w:val="_Style 92"/>
    <w:basedOn w:val="7"/>
    <w:qFormat/>
    <w:uiPriority w:val="0"/>
    <w:pPr>
      <w:spacing w:after="0" w:line="240" w:lineRule="auto"/>
    </w:pPr>
    <w:rPr>
      <w:rFonts w:ascii="Calibri" w:hAnsi="Calibri" w:eastAsia="Times New Roman" w:cs="Calibri"/>
      <w:kern w:val="0"/>
      <w14:ligatures w14:val="none"/>
    </w:rPr>
    <w:tblPr/>
  </w:style>
  <w:style w:type="table" w:customStyle="1" w:styleId="19">
    <w:name w:val="Table Grid1"/>
    <w:basedOn w:val="7"/>
    <w:uiPriority w:val="0"/>
    <w:pPr>
      <w:spacing w:after="0" w:line="240" w:lineRule="auto"/>
    </w:pPr>
    <w:rPr>
      <w:rFonts w:ascii="Calibri" w:hAnsi="Calibri" w:eastAsia="Times New Roman" w:cs="SimSu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
  </w:style>
  <w:style w:type="character" w:customStyle="1" w:styleId="20">
    <w:name w:val="Unresolved Mention"/>
    <w:basedOn w:val="6"/>
    <w:semiHidden/>
    <w:unhideWhenUsed/>
    <w:qFormat/>
    <w:uiPriority w:val="99"/>
    <w:rPr>
      <w:color w:val="605E5C"/>
      <w:shd w:val="clear" w:color="auto" w:fill="E1DFDD"/>
    </w:rPr>
  </w:style>
  <w:style w:type="paragraph" w:customStyle="1" w:styleId="21">
    <w:name w:val="Bibliography"/>
    <w:basedOn w:val="1"/>
    <w:next w:val="1"/>
    <w:unhideWhenUsed/>
    <w:uiPriority w:val="37"/>
    <w:pPr>
      <w:spacing w:before="100" w:beforeAutospacing="1" w:line="256" w:lineRule="auto"/>
    </w:pPr>
    <w:rPr>
      <w:rFonts w:ascii="Calibri" w:hAnsi="Calibri" w:eastAsia="Times New Roman" w:cs="Times New Roman"/>
      <w14:ligatures w14:val="none"/>
    </w:rPr>
  </w:style>
  <w:style w:type="paragraph" w:styleId="22">
    <w:name w:val="No Spacing"/>
    <w:qFormat/>
    <w:uiPriority w:val="1"/>
    <w:pPr>
      <w:spacing w:beforeAutospacing="1" w:after="0" w:line="240" w:lineRule="auto"/>
    </w:pPr>
    <w:rPr>
      <w:rFonts w:ascii="Calibri" w:hAnsi="Calibri" w:eastAsia="Times New Roman" w:cs="Times New Roman"/>
      <w:kern w:val="2"/>
      <w:sz w:val="22"/>
      <w:szCs w:val="22"/>
      <w:lang w:val="en-US" w:eastAsia="en-US" w:bidi="ar-SA"/>
      <w14:ligatures w14:val="none"/>
    </w:rPr>
  </w:style>
  <w:style w:type="character" w:customStyle="1" w:styleId="23">
    <w:name w:val="text-label"/>
    <w:basedOn w:val="6"/>
    <w:qFormat/>
    <w:uiPriority w:val="0"/>
  </w:style>
  <w:style w:type="paragraph" w:customStyle="1" w:styleId="24">
    <w:name w:val="TOC Heading"/>
    <w:basedOn w:val="2"/>
    <w:next w:val="1"/>
    <w:unhideWhenUsed/>
    <w:qFormat/>
    <w:uiPriority w:val="39"/>
    <w:pPr>
      <w:widowControl/>
      <w:spacing w:line="259" w:lineRule="auto"/>
      <w:outlineLvl w:val="9"/>
    </w:pPr>
    <w:rPr>
      <w:rFonts w:asciiTheme="majorHAnsi" w:hAnsiTheme="majorHAnsi" w:eastAsiaTheme="majorEastAsia" w:cstheme="majorBidi"/>
      <w:color w:val="2F5597" w:themeColor="accent1" w:themeShade="BF"/>
      <w:kern w:val="0"/>
    </w:rPr>
  </w:style>
  <w:style w:type="character" w:customStyle="1" w:styleId="25">
    <w:name w:val="Heading 3 Char"/>
    <w:basedOn w:val="6"/>
    <w:link w:val="4"/>
    <w:qFormat/>
    <w:uiPriority w:val="9"/>
    <w:rPr>
      <w:rFonts w:asciiTheme="majorHAnsi" w:hAnsiTheme="majorHAnsi" w:eastAsiaTheme="majorEastAsia" w:cstheme="majorBidi"/>
      <w:color w:val="203864" w:themeColor="accent1" w:themeShade="80"/>
      <w:sz w:val="24"/>
      <w:szCs w:val="24"/>
    </w:rPr>
  </w:style>
  <w:style w:type="character" w:customStyle="1" w:styleId="26">
    <w:name w:val="Heading 4 Char"/>
    <w:basedOn w:val="6"/>
    <w:link w:val="5"/>
    <w:qFormat/>
    <w:uiPriority w:val="9"/>
    <w:rPr>
      <w:rFonts w:asciiTheme="majorHAnsi" w:hAnsiTheme="majorHAnsi" w:eastAsiaTheme="majorEastAsia" w:cstheme="majorBidi"/>
      <w:i/>
      <w:iCs/>
      <w:color w:val="2F5597"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theme" Target="theme/theme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emf"/><Relationship Id="rId46" Type="http://schemas.openxmlformats.org/officeDocument/2006/relationships/package" Target="embeddings/Document1.docx"/><Relationship Id="rId45" Type="http://schemas.openxmlformats.org/officeDocument/2006/relationships/image" Target="media/image34.emf"/><Relationship Id="rId44" Type="http://schemas.openxmlformats.org/officeDocument/2006/relationships/oleObject" Target="embeddings/oleObject4.bin"/><Relationship Id="rId43" Type="http://schemas.openxmlformats.org/officeDocument/2006/relationships/image" Target="media/image33.emf"/><Relationship Id="rId42" Type="http://schemas.openxmlformats.org/officeDocument/2006/relationships/oleObject" Target="embeddings/oleObject3.bin"/><Relationship Id="rId41" Type="http://schemas.openxmlformats.org/officeDocument/2006/relationships/image" Target="media/image32.emf"/><Relationship Id="rId40" Type="http://schemas.openxmlformats.org/officeDocument/2006/relationships/oleObject" Target="embeddings/oleObject2.bin"/><Relationship Id="rId4" Type="http://schemas.openxmlformats.org/officeDocument/2006/relationships/endnotes" Target="endnotes.xml"/><Relationship Id="rId39" Type="http://schemas.openxmlformats.org/officeDocument/2006/relationships/image" Target="media/image31.emf"/><Relationship Id="rId38" Type="http://schemas.openxmlformats.org/officeDocument/2006/relationships/package" Target="embeddings/Workbook2.xlsx"/><Relationship Id="rId37" Type="http://schemas.openxmlformats.org/officeDocument/2006/relationships/image" Target="media/image30.emf"/><Relationship Id="rId36" Type="http://schemas.openxmlformats.org/officeDocument/2006/relationships/package" Target="embeddings/Workbook1.xlsx"/><Relationship Id="rId35" Type="http://schemas.openxmlformats.org/officeDocument/2006/relationships/image" Target="media/image29.png"/><Relationship Id="rId34" Type="http://schemas.openxmlformats.org/officeDocument/2006/relationships/image" Target="media/image28.jpeg"/><Relationship Id="rId33" Type="http://schemas.openxmlformats.org/officeDocument/2006/relationships/image" Target="media/image27.emf"/><Relationship Id="rId32" Type="http://schemas.openxmlformats.org/officeDocument/2006/relationships/oleObject" Target="embeddings/oleObject1.bin"/><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135</Pages>
  <Words>39801</Words>
  <Characters>226868</Characters>
  <Lines>1890</Lines>
  <Paragraphs>532</Paragraphs>
  <TotalTime>2031</TotalTime>
  <ScaleCrop>false</ScaleCrop>
  <LinksUpToDate>false</LinksUpToDate>
  <CharactersWithSpaces>266137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2025-12-20T03:25:00Z</dcterms:created>
  <dc:creator>Joseph Umar</dc:creator>
  <cp:lastModifiedBy>Usser</cp:lastModifiedBy>
  <dcterms:modified xsi:type="dcterms:W3CDTF">2025-12-24T20:21:51Z</dcterms:modified>
  <cp:revision>186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09055a1b-541e-47cf-bb33-a619747c6fe2</vt:lpwstr>
  </property>
  <property fmtid="{D5CDD505-2E9C-101B-9397-08002B2CF9AE}" pid="3" name="KSOProductBuildVer">
    <vt:lpwstr>1033-12.2.0.23196</vt:lpwstr>
  </property>
  <property fmtid="{D5CDD505-2E9C-101B-9397-08002B2CF9AE}" pid="4" name="ICV">
    <vt:lpwstr>5246D129334A4ECC96B8670151712D07_13</vt:lpwstr>
  </property>
</Properties>
</file>