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Modifica la definición de la columna que almacena el número de puertas de los coches, para que su valor por defecto sea 5.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343852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038725" cy="34956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Establece que la columna que almacena los teléfonos de los clientes debe, a partir de ahora, ser opcional, es decir, admitir NULL como valor.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96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Supuesta la existencia de una restricción de integridad sobre la columna que almacena el tipo de cliente, que limita su valor a ‘particular’ y ‘empresa’ (Nota: si no existe ya, debe crearse dicha restricción al principio de este ejercicio); altera dicha restricción de forma que un organismo público pueda registrarse como cliente, esto es, que la columna admita también el valor ‘org_publ’.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018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Altera la tabla que almacena las marcas para añadir la columna num_conces. A continuación rellena dicha columna con el número actual de concesionarios que tiene cada marca.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52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He conseguido extraer la información que iría en la columna num_conces, pero no he sabido usar el replace correctamente para implementarlo.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Elimina la columna num_conces de la tabla que almacena las marcas, de forma que dicha tabla quede tal y como estaba originalmente (en estructura, contenido y restricciones de integridad).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36099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