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18"/>
        </w:rPr>
        <w:t>ISY0101 · Ingeniería de Soluciones con Inteligencia Artificial</w:t>
      </w:r>
      <w:r>
        <w:rPr>
          <w:color w:val="7F7F7F"/>
          <w:sz w:val="18"/>
        </w:rPr>
        <w:t xml:space="preserve">   ·   Evaluación Final Transversal · 40%</w:t>
      </w:r>
    </w:p>
    <w:p>
      <w:pPr>
        <w:spacing w:after="40"/>
      </w:pPr>
      <w:r>
        <w:rPr>
          <w:b/>
          <w:color w:val="1F4E79"/>
          <w:sz w:val="40"/>
        </w:rPr>
        <w:t>Solución de IA para Banca Digital</w:t>
      </w:r>
    </w:p>
    <w:p>
      <w:pPr>
        <w:spacing w:after="120"/>
      </w:pPr>
      <w:r>
        <w:rPr>
          <w:color w:val="404040"/>
          <w:sz w:val="24"/>
        </w:rPr>
        <w:t>Agente conversacional “Banco Digital Chile” — Informe Final</w:t>
      </w:r>
    </w:p>
    <w:p>
      <w:r>
        <w:rPr>
          <w:color w:val="404040"/>
          <w:sz w:val="19"/>
        </w:rPr>
        <w:t>Autores: Roger Rosas · Rodrigo Santis · Edgardo Gutiérrez</w:t>
        <w:br/>
        <w:t>Fecha: Junio 2025</w:t>
      </w:r>
    </w:p>
    <w:p>
      <w:pPr>
        <w:pBdr>
          <w:bottom w:val="single" w:sz="12" w:space="1" w:color="1F4E79"/>
        </w:pBdr>
        <w:spacing w:after="120"/>
      </w:pPr>
    </w:p>
    <w:p>
      <w:pPr>
        <w:pStyle w:val="Heading1"/>
      </w:pPr>
      <w:r>
        <w:t>Resumen ejecutivo</w:t>
      </w:r>
    </w:p>
    <w:p>
      <w:pPr>
        <w:spacing w:after="120"/>
      </w:pPr>
      <w:r>
        <w:rPr>
          <w:b w:val="0"/>
          <w:sz w:val="21"/>
        </w:rPr>
        <w:t xml:space="preserve">Se presenta la versión final de un agente conversacional para </w:t>
      </w:r>
      <w:r>
        <w:rPr>
          <w:b/>
          <w:sz w:val="21"/>
        </w:rPr>
        <w:t>Banco Digital Chile</w:t>
      </w:r>
      <w:r>
        <w:rPr>
          <w:b w:val="0"/>
          <w:sz w:val="21"/>
        </w:rPr>
        <w:t xml:space="preserve">, que automatiza la atención de tareas bancarias —consulta de saldo, transferencias, simulación de créditos, registro de reclamos e información de productos— integrando un modelo de lenguaje (gpt-4o), un pipeline RAG sobre la base de productos y políticas, memoria de corto y largo plazo, planificación multi-etapa y orquestación multi-agente. La solución incorpora además una capa de observabilidad, trazabilidad y seguridad de nivel productivo. Sobre </w:t>
      </w:r>
      <w:r>
        <w:rPr>
          <w:b/>
          <w:sz w:val="21"/>
        </w:rPr>
        <w:t>688 interacciones monitoreadas</w:t>
      </w:r>
      <w:r>
        <w:rPr>
          <w:b w:val="0"/>
          <w:sz w:val="21"/>
        </w:rPr>
        <w:t>, el agente alcanza una precisión de 85.0% y una latencia media de 2608 ms, con hallazgos de mejora claramente priorizados.</w:t>
      </w:r>
    </w:p>
    <w:p>
      <w:pPr>
        <w:pStyle w:val="Heading1"/>
      </w:pPr>
      <w:r>
        <w:t>Contenido</w:t>
      </w:r>
    </w:p>
    <w:p>
      <w:pPr>
        <w:pStyle w:val="ListBullet"/>
        <w:spacing w:after="40"/>
      </w:pPr>
      <w:r>
        <w:rPr>
          <w:sz w:val="20"/>
        </w:rPr>
        <w:t>1. Análisis del caso organizacional</w:t>
      </w:r>
    </w:p>
    <w:p>
      <w:pPr>
        <w:pStyle w:val="ListBullet"/>
        <w:spacing w:after="40"/>
      </w:pPr>
      <w:r>
        <w:rPr>
          <w:sz w:val="20"/>
        </w:rPr>
        <w:t>2. Diseño de la solución basada en LLM y RAG</w:t>
      </w:r>
    </w:p>
    <w:p>
      <w:pPr>
        <w:pStyle w:val="ListBullet"/>
        <w:spacing w:after="40"/>
      </w:pPr>
      <w:r>
        <w:rPr>
          <w:sz w:val="20"/>
        </w:rPr>
        <w:t>3. Desarrollo del agente funcional</w:t>
      </w:r>
    </w:p>
    <w:p>
      <w:pPr>
        <w:pStyle w:val="ListBullet"/>
        <w:spacing w:after="40"/>
      </w:pPr>
      <w:r>
        <w:rPr>
          <w:sz w:val="20"/>
        </w:rPr>
        <w:t>4. Observabilidad, trazabilidad y seguridad</w:t>
      </w:r>
    </w:p>
    <w:p>
      <w:pPr>
        <w:pStyle w:val="ListBullet"/>
        <w:spacing w:after="40"/>
      </w:pPr>
      <w:r>
        <w:rPr>
          <w:sz w:val="20"/>
        </w:rPr>
        <w:t>5. Resultados consolidados</w:t>
      </w:r>
    </w:p>
    <w:p>
      <w:pPr>
        <w:pStyle w:val="ListBullet"/>
        <w:spacing w:after="40"/>
      </w:pPr>
      <w:r>
        <w:rPr>
          <w:sz w:val="20"/>
        </w:rPr>
        <w:t>6. Declaración de uso de IA</w:t>
      </w:r>
    </w:p>
    <w:p>
      <w:pPr>
        <w:pStyle w:val="ListBullet"/>
        <w:spacing w:after="40"/>
      </w:pPr>
      <w:r>
        <w:rPr>
          <w:sz w:val="20"/>
        </w:rPr>
        <w:t>7. Conclusiones y reflexiones individuales</w:t>
      </w:r>
    </w:p>
    <w:p>
      <w:pPr>
        <w:pStyle w:val="ListBullet"/>
        <w:spacing w:after="40"/>
      </w:pPr>
      <w:r>
        <w:rPr>
          <w:sz w:val="20"/>
        </w:rPr>
        <w:t>8. Referencias</w:t>
      </w:r>
    </w:p>
    <w:p>
      <w:r>
        <w:br w:type="page"/>
      </w:r>
    </w:p>
    <w:p>
      <w:pPr>
        <w:pStyle w:val="Heading1"/>
      </w:pPr>
      <w:r>
        <w:t>1. Análisis del caso organizacional</w:t>
      </w:r>
    </w:p>
    <w:p>
      <w:pPr>
        <w:pStyle w:val="Heading2"/>
      </w:pPr>
      <w:r>
        <w:t>1.1 Contexto y problema</w:t>
      </w:r>
    </w:p>
    <w:p>
      <w:pPr>
        <w:spacing w:after="120"/>
      </w:pPr>
      <w:r>
        <w:rPr>
          <w:i w:val="0"/>
          <w:sz w:val="21"/>
        </w:rPr>
        <w:t>Banco Digital Chile es una entidad financiera de operación 100% digital cuyo canal de atención recibe un alto volumen de consultas repetitivas (saldos, condiciones de productos, simulaciones de crédito) junto con operaciones sensibles (transferencias) y reclamos. La atención humana no escala a costos razonables y genera tiempos de espera elevados, mientras que un chatbot tradicional basado en reglas no comprende el lenguaje natural ni ejecuta acciones de extremo a extremo.</w:t>
      </w:r>
    </w:p>
    <w:p>
      <w:pPr>
        <w:pStyle w:val="Heading2"/>
      </w:pPr>
      <w:r>
        <w:t>1.2 Requerimientos y desafíos</w:t>
      </w:r>
    </w:p>
    <w:p>
      <w:pPr>
        <w:pStyle w:val="ListBullet"/>
        <w:spacing w:after="40"/>
      </w:pPr>
      <w:r>
        <w:rPr>
          <w:b/>
          <w:sz w:val="21"/>
        </w:rPr>
        <w:t xml:space="preserve">Funcionales: </w:t>
      </w:r>
      <w:r>
        <w:rPr>
          <w:b w:val="0"/>
          <w:sz w:val="21"/>
        </w:rPr>
        <w:t>resolver consultas y ejecutar operaciones (transferencias, reclamos, simulaciones) manteniendo el contexto de la conversación y del cliente.</w:t>
      </w:r>
    </w:p>
    <w:p>
      <w:pPr>
        <w:pStyle w:val="ListBullet"/>
        <w:spacing w:after="40"/>
      </w:pPr>
      <w:r>
        <w:rPr>
          <w:b/>
          <w:sz w:val="21"/>
        </w:rPr>
        <w:t xml:space="preserve">No funcionales: </w:t>
      </w:r>
      <w:r>
        <w:rPr>
          <w:b w:val="0"/>
          <w:sz w:val="21"/>
        </w:rPr>
        <w:t>baja latencia, trazabilidad de cada decisión, seguridad y cumplimiento normativo (Ley 19.628, CMF), y escalabilidad ante demanda variable.</w:t>
      </w:r>
    </w:p>
    <w:p>
      <w:pPr>
        <w:pStyle w:val="ListBullet"/>
        <w:spacing w:after="40"/>
      </w:pPr>
      <w:r>
        <w:rPr>
          <w:b/>
          <w:sz w:val="21"/>
        </w:rPr>
        <w:t xml:space="preserve">Desafíos: </w:t>
      </w:r>
      <w:r>
        <w:rPr>
          <w:b w:val="0"/>
          <w:sz w:val="21"/>
        </w:rPr>
        <w:t>ambigüedad del lenguaje de los clientes, control de alucinaciones, protección de datos personales y resiliencia ante fallos del proveedor del modelo.</w:t>
      </w:r>
    </w:p>
    <w:p>
      <w:pPr>
        <w:pStyle w:val="Heading1"/>
      </w:pPr>
      <w:r>
        <w:t>2. Diseño de la solución basada en LLM y RAG</w:t>
      </w:r>
    </w:p>
    <w:p>
      <w:pPr>
        <w:pStyle w:val="Heading2"/>
      </w:pPr>
      <w:r>
        <w:t>2.1 Formulación de prompts (IE1)</w:t>
      </w:r>
    </w:p>
    <w:p>
      <w:pPr>
        <w:spacing w:after="120"/>
      </w:pPr>
      <w:r>
        <w:rPr>
          <w:i w:val="0"/>
          <w:sz w:val="21"/>
        </w:rPr>
        <w:t>El agente usa un system prompt que fija rol, alcance y reglas de seguridad, combinado con few-shot implícito en las descripciones de herramientas y razonamiento chain-of-thought para tareas multi-etapa. Extracto del prompt de sistema:</w:t>
      </w:r>
    </w:p>
    <w:p>
      <w:pPr>
        <w:spacing w:after="0"/>
        <w:ind w:left="288"/>
      </w:pPr>
      <w:r>
        <w:rPr>
          <w:rFonts w:ascii="Consolas" w:hAnsi="Consolas"/>
          <w:color w:val="1A1A1A"/>
          <w:sz w:val="17"/>
        </w:rPr>
        <w:t>Eres un asistente bancario inteligente de Banco Digital Chile.</w:t>
      </w:r>
    </w:p>
    <w:p>
      <w:pPr>
        <w:spacing w:after="0"/>
        <w:ind w:left="288"/>
      </w:pPr>
      <w:r>
        <w:rPr>
          <w:rFonts w:ascii="Consolas" w:hAnsi="Consolas"/>
          <w:color w:val="1A1A1A"/>
          <w:sz w:val="17"/>
        </w:rPr>
        <w:t>Reglas:</w:t>
      </w:r>
    </w:p>
    <w:p>
      <w:pPr>
        <w:spacing w:after="0"/>
        <w:ind w:left="288"/>
      </w:pPr>
      <w:r>
        <w:rPr>
          <w:rFonts w:ascii="Consolas" w:hAnsi="Consolas"/>
          <w:color w:val="1A1A1A"/>
          <w:sz w:val="17"/>
        </w:rPr>
        <w:t>1. Para mostrar saldo/datos sensibles, solicita el RUT si no lo tienes.</w:t>
      </w:r>
    </w:p>
    <w:p>
      <w:pPr>
        <w:spacing w:after="0"/>
        <w:ind w:left="288"/>
      </w:pPr>
      <w:r>
        <w:rPr>
          <w:rFonts w:ascii="Consolas" w:hAnsi="Consolas"/>
          <w:color w:val="1A1A1A"/>
          <w:sz w:val="17"/>
        </w:rPr>
        <w:t>2. Para transferencias, confirma origen, destino y monto antes de ejecutar.</w:t>
      </w:r>
    </w:p>
    <w:p>
      <w:pPr>
        <w:spacing w:after="0"/>
        <w:ind w:left="288"/>
      </w:pPr>
      <w:r>
        <w:rPr>
          <w:rFonts w:ascii="Consolas" w:hAnsi="Consolas"/>
          <w:color w:val="1A1A1A"/>
          <w:sz w:val="17"/>
        </w:rPr>
        <w:t>3. Para reclamos, solicita una descripción clara del problema.</w:t>
      </w:r>
    </w:p>
    <w:p>
      <w:pPr>
        <w:spacing w:after="0"/>
        <w:ind w:left="288"/>
      </w:pPr>
      <w:r>
        <w:rPr>
          <w:rFonts w:ascii="Consolas" w:hAnsi="Consolas"/>
          <w:color w:val="1A1A1A"/>
          <w:sz w:val="17"/>
        </w:rPr>
        <w:t>4. Ante solicitudes complejas, planifica los pasos antes de actuar.</w:t>
      </w:r>
    </w:p>
    <w:p>
      <w:pPr>
        <w:spacing w:after="80"/>
      </w:pPr>
      <w:r>
        <w:rPr>
          <w:i w:val="0"/>
          <w:sz w:val="21"/>
        </w:rPr>
        <w:t>Las técnicas de prompting (zero-shot, few-shot y chain-of-thought) se desarrollaron y evaluaron en RA1/IL1.2, y aquí se aplican a la formulación de las instrucciones del agente y de las herramientas.</w:t>
      </w:r>
    </w:p>
    <w:p>
      <w:pPr>
        <w:pStyle w:val="Heading2"/>
      </w:pPr>
      <w:r>
        <w:t>2.2 Pipeline RAG (IE2)</w:t>
      </w:r>
    </w:p>
    <w:p>
      <w:pPr>
        <w:spacing w:after="120"/>
      </w:pPr>
      <w:r>
        <w:rPr>
          <w:i w:val="0"/>
          <w:sz w:val="21"/>
        </w:rPr>
        <w:t>La consulta de productos y políticas se resuelve mediante recuperación aumentada (RAG, módulo rag/rag_pipeline.py): el conocimiento se divide en fragmentos (chunking), se vectoriza con TF-IDF y se recupera por similitud coseno para enriquecer la respuesta del modelo. La base combina explícitamente dos tipos de fuente:</w:t>
      </w:r>
    </w:p>
    <w:p>
      <w:pPr>
        <w:pStyle w:val="ListBullet"/>
        <w:spacing w:after="40"/>
      </w:pPr>
      <w:r>
        <w:rPr>
          <w:b/>
          <w:sz w:val="21"/>
        </w:rPr>
        <w:t xml:space="preserve">Fuentes internas: </w:t>
      </w:r>
      <w:r>
        <w:rPr>
          <w:b w:val="0"/>
          <w:sz w:val="21"/>
        </w:rPr>
        <w:t>catálogo de productos (tasas, plazos, requisitos) y políticas operativas del banco (transferencias, reclamos).</w:t>
      </w:r>
    </w:p>
    <w:p>
      <w:pPr>
        <w:pStyle w:val="ListBullet"/>
        <w:spacing w:after="40"/>
      </w:pPr>
      <w:r>
        <w:rPr>
          <w:b/>
          <w:sz w:val="21"/>
        </w:rPr>
        <w:t xml:space="preserve">Fuentes externas: </w:t>
      </w:r>
      <w:r>
        <w:rPr>
          <w:b w:val="0"/>
          <w:sz w:val="21"/>
        </w:rPr>
        <w:t>marco normativo y de protección al consumidor financiero (CMF, SERNAC, Ley 19.628).</w:t>
      </w:r>
    </w:p>
    <w:p>
      <w:pPr>
        <w:spacing w:after="80"/>
      </w:pPr>
      <w:r>
        <w:rPr>
          <w:i w:val="0"/>
          <w:sz w:val="21"/>
        </w:rPr>
        <w:t>Ejemplo de recuperación para la consulta «¿Qué tasa tiene el crédito de consumo y qué información debe entregarme el banco?» (combina ambos orígenes: externa, interna):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5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63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Score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sz w:val="17"/>
              </w:rPr>
              <w:t>interna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sz w:val="17"/>
              </w:rPr>
              <w:t>Catálogo de productos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7"/>
              </w:rPr>
              <w:t>0.348</w:t>
            </w:r>
          </w:p>
        </w:tc>
      </w:tr>
      <w:tr>
        <w:tc>
          <w:tcPr>
            <w:tcW w:type="dxa" w:w="1584"/>
            <w:shd w:val="clear" w:color="auto" w:fill="D9E1F2"/>
          </w:tcPr>
          <w:p>
            <w:pPr>
              <w:jc w:val="left"/>
            </w:pPr>
            <w:r/>
            <w:r>
              <w:rPr>
                <w:sz w:val="17"/>
              </w:rPr>
              <w:t>interna</w:t>
            </w:r>
          </w:p>
        </w:tc>
        <w:tc>
          <w:tcPr>
            <w:tcW w:type="dxa" w:w="6336"/>
            <w:shd w:val="clear" w:color="auto" w:fill="D9E1F2"/>
          </w:tcPr>
          <w:p>
            <w:pPr>
              <w:jc w:val="center"/>
            </w:pPr>
            <w:r/>
            <w:r>
              <w:rPr>
                <w:sz w:val="17"/>
              </w:rPr>
              <w:t>Catálogo de productos</w:t>
            </w:r>
          </w:p>
        </w:tc>
        <w:tc>
          <w:tcPr>
            <w:tcW w:type="dxa" w:w="1296"/>
            <w:shd w:val="clear" w:color="auto" w:fill="D9E1F2"/>
          </w:tcPr>
          <w:p>
            <w:pPr>
              <w:jc w:val="center"/>
            </w:pPr>
            <w:r/>
            <w:r>
              <w:rPr>
                <w:sz w:val="17"/>
              </w:rPr>
              <w:t>0.107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sz w:val="17"/>
              </w:rPr>
              <w:t>externa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sz w:val="17"/>
              </w:rPr>
              <w:t>SERNAC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17"/>
              </w:rPr>
              <w:t>0.1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 w:val="0"/>
          <w:sz w:val="21"/>
        </w:rPr>
        <w:t>El backend léxico (TF-IDF) se eligió para garantizar reproducibilidad sin credenciales; en producción se reemplaza por embeddings densos manteniendo la misma interfaz. La base conceptual de chunking/embeddings/recuperación vectorial se desarrolló en RA1/IL1.3.</w:t>
      </w:r>
    </w:p>
    <w:p>
      <w:pPr>
        <w:pStyle w:val="Heading2"/>
      </w:pPr>
      <w:r>
        <w:t>2.3 Arquitectura de la solución (IE3)</w:t>
      </w:r>
    </w:p>
    <w:p>
      <w:pPr>
        <w:spacing w:after="120"/>
      </w:pPr>
      <w:r>
        <w:rPr>
          <w:i w:val="0"/>
          <w:sz w:val="21"/>
        </w:rPr>
        <w:t>La arquitectura integra el LLM, la recuperación de información y el control de contexto (memoria) bajo una capa de seguridad de entrada y una capa de observabilidad de salida. Cada solicitud del cliente atraviesa el saneamiento de seguridad, es procesada por el AgentExecutor (ciclo ReAct) que decide qué herramienta o sub-agente invocar, y queda instrumentada para su monitoreo.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4422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arquite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2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95959"/>
          <w:sz w:val="17"/>
        </w:rPr>
        <w:t>Figura 1. Arquitectura por capas de la solución, integrando RA1, RA2 y RA3.</w:t>
      </w:r>
    </w:p>
    <w:p>
      <w:pPr>
        <w:pStyle w:val="Heading2"/>
      </w:pPr>
      <w:r>
        <w:t>2.4 Justificación de decisiones de diseño (IE4)</w:t>
      </w:r>
    </w:p>
    <w:p>
      <w:pPr>
        <w:spacing w:after="120"/>
      </w:pPr>
      <w:r>
        <w:rPr>
          <w:i/>
          <w:color w:val="C0392B"/>
          <w:sz w:val="18"/>
        </w:rPr>
        <w:t>⚠ Sección de justificación técnica: el equipo debe revisar y redactar con sus propias palabras, según la política de uso de IA de la evaluación. Se entrega el siguiente andamiaje de apoyo.</w:t>
      </w:r>
    </w:p>
    <w:p>
      <w:pPr>
        <w:pStyle w:val="ListBullet"/>
        <w:spacing w:after="40"/>
      </w:pPr>
      <w:r>
        <w:rPr>
          <w:i/>
          <w:color w:val="595959"/>
          <w:sz w:val="19"/>
        </w:rPr>
        <w:t>¿Por qué LangChain para el agente principal? (ciclo ReAct, gestión de herramientas, tipos de memoria compatibles).</w:t>
      </w:r>
    </w:p>
    <w:p>
      <w:pPr>
        <w:pStyle w:val="ListBullet"/>
        <w:spacing w:after="40"/>
      </w:pPr>
      <w:r>
        <w:rPr>
          <w:i/>
          <w:color w:val="595959"/>
          <w:sz w:val="19"/>
        </w:rPr>
        <w:t>¿Por qué CrewAI para la orquestación? (roles especializados, delegación, replanificación jerárquica).</w:t>
      </w:r>
    </w:p>
    <w:p>
      <w:pPr>
        <w:pStyle w:val="ListBullet"/>
        <w:spacing w:after="40"/>
      </w:pPr>
      <w:r>
        <w:rPr>
          <w:i/>
          <w:color w:val="595959"/>
          <w:sz w:val="19"/>
        </w:rPr>
        <w:t>¿Por qué ventana k=5 en memoria de corto plazo y JSON en largo plazo? (equilibrio contexto/costo; simplicidad de despliegue).</w:t>
      </w:r>
    </w:p>
    <w:p>
      <w:pPr>
        <w:pStyle w:val="ListBullet"/>
        <w:spacing w:after="40"/>
      </w:pPr>
      <w:r>
        <w:rPr>
          <w:i/>
          <w:color w:val="595959"/>
          <w:sz w:val="19"/>
        </w:rPr>
        <w:t>¿Por qué gpt-4o vía GitHub Models? (capacidad, disponibilidad para el curso, costo).</w:t>
      </w:r>
    </w:p>
    <w:p>
      <w:pPr>
        <w:pStyle w:val="ListBullet"/>
        <w:spacing w:after="40"/>
      </w:pPr>
      <w:r>
        <w:rPr>
          <w:i/>
          <w:color w:val="595959"/>
          <w:sz w:val="19"/>
        </w:rPr>
        <w:t>Relación de cada decisión con los requerimientos organizacionales y las limitaciones del modelo (trazabilidad y privacidad).</w:t>
      </w:r>
    </w:p>
    <w:p>
      <w:r>
        <w:rPr>
          <w:i/>
          <w:color w:val="595959"/>
          <w:sz w:val="18"/>
        </w:rPr>
        <w:t>[ Espacio para redacción propia del equipo / estudiante ]</w:t>
      </w:r>
    </w:p>
    <w:p>
      <w:pPr>
        <w:pStyle w:val="Heading1"/>
      </w:pPr>
      <w:r>
        <w:t>3. Desarrollo del agente funcional</w:t>
      </w:r>
    </w:p>
    <w:p>
      <w:pPr>
        <w:pStyle w:val="Heading2"/>
      </w:pPr>
      <w:r>
        <w:t>3.1 Herramientas de consulta, escritura y razonamiento (IE5)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Herramienta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7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consultar_saldo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Consulta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sz w:val="18"/>
              </w:rPr>
              <w:t>Saldo, tipo de cuenta y productos por RUT</w:t>
            </w:r>
          </w:p>
        </w:tc>
      </w:tr>
      <w:tr>
        <w:tc>
          <w:tcPr>
            <w:tcW w:type="dxa" w:w="2880"/>
            <w:shd w:val="clear" w:color="auto" w:fill="D9E1F2"/>
          </w:tcPr>
          <w:p>
            <w:pPr>
              <w:jc w:val="left"/>
            </w:pPr>
            <w:r/>
            <w:r>
              <w:rPr>
                <w:b/>
                <w:sz w:val="18"/>
              </w:rPr>
              <w:t>realizar_transferencia</w:t>
            </w:r>
          </w:p>
        </w:tc>
        <w:tc>
          <w:tcPr>
            <w:tcW w:type="dxa" w:w="1872"/>
            <w:shd w:val="clear" w:color="auto" w:fill="D9E1F2"/>
          </w:tcPr>
          <w:p>
            <w:pPr>
              <w:jc w:val="center"/>
            </w:pPr>
            <w:r/>
            <w:r>
              <w:rPr>
                <w:sz w:val="18"/>
              </w:rPr>
              <w:t>Escritura</w:t>
            </w:r>
          </w:p>
        </w:tc>
        <w:tc>
          <w:tcPr>
            <w:tcW w:type="dxa" w:w="5760"/>
            <w:shd w:val="clear" w:color="auto" w:fill="D9E1F2"/>
          </w:tcPr>
          <w:p>
            <w:pPr>
              <w:jc w:val="center"/>
            </w:pPr>
            <w:r/>
            <w:r>
              <w:rPr>
                <w:sz w:val="18"/>
              </w:rPr>
              <w:t>Transferencia validando saldo suficiente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calcular_cuota_credito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Razonamiento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sz w:val="18"/>
              </w:rPr>
              <w:t>Amortización francesa (cuota, intereses)</w:t>
            </w:r>
          </w:p>
        </w:tc>
      </w:tr>
      <w:tr>
        <w:tc>
          <w:tcPr>
            <w:tcW w:type="dxa" w:w="2880"/>
            <w:shd w:val="clear" w:color="auto" w:fill="D9E1F2"/>
          </w:tcPr>
          <w:p>
            <w:pPr>
              <w:jc w:val="left"/>
            </w:pPr>
            <w:r/>
            <w:r>
              <w:rPr>
                <w:b/>
                <w:sz w:val="18"/>
              </w:rPr>
              <w:t>registrar_reclamo</w:t>
            </w:r>
          </w:p>
        </w:tc>
        <w:tc>
          <w:tcPr>
            <w:tcW w:type="dxa" w:w="1872"/>
            <w:shd w:val="clear" w:color="auto" w:fill="D9E1F2"/>
          </w:tcPr>
          <w:p>
            <w:pPr>
              <w:jc w:val="center"/>
            </w:pPr>
            <w:r/>
            <w:r>
              <w:rPr>
                <w:sz w:val="18"/>
              </w:rPr>
              <w:t>Escritura</w:t>
            </w:r>
          </w:p>
        </w:tc>
        <w:tc>
          <w:tcPr>
            <w:tcW w:type="dxa" w:w="5760"/>
            <w:shd w:val="clear" w:color="auto" w:fill="D9E1F2"/>
          </w:tcPr>
          <w:p>
            <w:pPr>
              <w:jc w:val="center"/>
            </w:pPr>
            <w:r/>
            <w:r>
              <w:rPr>
                <w:sz w:val="18"/>
              </w:rPr>
              <w:t>Ticket de reclamo persistido con SLA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18"/>
              </w:rPr>
              <w:t>buscar_producto_bancario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Consulta/RAG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sz w:val="18"/>
              </w:rPr>
              <w:t>Características y requisitos de productos</w:t>
            </w:r>
          </w:p>
        </w:tc>
      </w:tr>
    </w:tbl>
    <w:p>
      <w:pPr>
        <w:spacing w:after="40"/>
      </w:pPr>
    </w:p>
    <w:p>
      <w:pPr>
        <w:pStyle w:val="Heading2"/>
      </w:pPr>
      <w:r>
        <w:t>3.2 Memoria y recuperación de contexto (IE6)</w:t>
      </w:r>
    </w:p>
    <w:p>
      <w:pPr>
        <w:spacing w:after="120"/>
      </w:pPr>
      <w:r>
        <w:rPr>
          <w:i w:val="0"/>
          <w:sz w:val="21"/>
        </w:rPr>
        <w:t>Memoria de corto plazo con ConversationBufferWindowMemory (k=5) para sostener el hilo de la conversación activa, y memoria de largo plazo en JSON persistente por RUT que inyecta el historial del cliente (incidentes previos, última sesión) en el system prompt, asegurando continuidad entre sesiones.</w:t>
      </w:r>
    </w:p>
    <w:p>
      <w:pPr>
        <w:pStyle w:val="Heading2"/>
      </w:pPr>
      <w:r>
        <w:t>3.3 Planificación y toma de decisiones (IE7)</w:t>
      </w:r>
    </w:p>
    <w:p>
      <w:pPr>
        <w:spacing w:after="120"/>
      </w:pPr>
      <w:r>
        <w:rPr>
          <w:i w:val="0"/>
          <w:sz w:val="21"/>
        </w:rPr>
        <w:t>Para solicitudes multi-etapa se aplica el patrón Plan-and-Execute: el agente genera un plan explícito antes de actuar (p. ej., consultar saldo → simular crédito a 24 y 36 meses → comparar → presentar requisitos), reduciendo la pérdida de objetivo. Las solicitudes complejas se derivan a la orquestación multi-agente CrewAI, con procesos secuencial y jerárquico (el Gerente delega y replanifica dinámicamente).</w:t>
      </w:r>
    </w:p>
    <w:p>
      <w:pPr>
        <w:pStyle w:val="Heading2"/>
      </w:pPr>
      <w:r>
        <w:t>3.4 Orquestación y flujo de trabajo (IE8)</w:t>
      </w:r>
    </w:p>
    <w:p>
      <w:pPr>
        <w:spacing w:after="120"/>
      </w:pPr>
      <w:r>
        <w:rPr>
          <w:i w:val="0"/>
          <w:sz w:val="21"/>
        </w:rPr>
        <w:t>El equipo CrewAI lo componen cuatro roles: Gerente (coordina y sintetiza), Analista Financiero (calcula métricas de crédito), Asesor de Productos (recomienda) y Especialista en Operaciones (verifica viabilidad regulatoria). El Gerente consolida los aportes en una respuesta única para el cliente. El detalle de implementación y los escenarios de prueba están documentados en el repositorio (README_EP2).</w:t>
      </w:r>
    </w:p>
    <w:p>
      <w:pPr>
        <w:pStyle w:val="Heading1"/>
      </w:pPr>
      <w:r>
        <w:t>4. Observabilidad, trazabilidad y seguridad</w:t>
      </w:r>
    </w:p>
    <w:p>
      <w:pPr>
        <w:pStyle w:val="Heading2"/>
      </w:pPr>
      <w:r>
        <w:t>4.1 Métricas de observabilidad (IE9)</w:t>
      </w:r>
    </w:p>
    <w:p>
      <w:pPr>
        <w:spacing w:after="120"/>
      </w:pPr>
      <w:r>
        <w:rPr>
          <w:b w:val="0"/>
          <w:sz w:val="21"/>
        </w:rPr>
        <w:t xml:space="preserve">Cada interacción se instrumenta con un </w:t>
      </w:r>
      <w:r>
        <w:rPr>
          <w:b/>
          <w:sz w:val="21"/>
        </w:rPr>
        <w:t>tracer</w:t>
      </w:r>
      <w:r>
        <w:rPr>
          <w:b w:val="0"/>
          <w:sz w:val="21"/>
        </w:rPr>
        <w:t xml:space="preserve"> que emite trazas JSONL con latencia, tokens, herramienta usada, éxito y señales de seguridad. Resultados globales sobre </w:t>
      </w:r>
      <w:r>
        <w:rPr>
          <w:b/>
          <w:sz w:val="21"/>
        </w:rPr>
        <w:t>688 interacciones</w:t>
      </w:r>
      <w:r>
        <w:rPr>
          <w:b w:val="0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1FB"/>
          </w:tcPr>
          <w:p>
            <w:r/>
            <w:r>
              <w:rPr>
                <w:b/>
                <w:color w:val="1F4E79"/>
                <w:sz w:val="20"/>
              </w:rPr>
              <w:t>KPIs globales</w:t>
            </w:r>
          </w:p>
          <w:p>
            <w:r>
              <w:rPr>
                <w:sz w:val="19"/>
              </w:rPr>
              <w:t>Precisión (éxito): 85.0%   ·   Acierto de herramienta: 89.2%   ·   Consistencia: 85.2%   ·   Tasa de error: 6.9%</w:t>
              <w:br/>
              <w:t>Latencia media/p95/máx: 2608 / 8308 / 30076 ms   ·   Tokens: 525,677   ·   Costo estimado: US$2.40</w:t>
            </w:r>
          </w:p>
        </w:tc>
      </w:tr>
    </w:tbl>
    <w:p>
      <w:pPr>
        <w:spacing w:after="40"/>
      </w:pP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42549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ashboard_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4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95959"/>
          <w:sz w:val="17"/>
        </w:rPr>
        <w:t>Figura 2. Captura del dashboard de monitoreo integrado (KPIs + visualizaciones).</w:t>
      </w:r>
    </w:p>
    <w:p>
      <w:pPr>
        <w:pStyle w:val="Heading2"/>
      </w:pPr>
      <w:r>
        <w:t>4.2 Trazabilidad y propuesta de mejoras (IE10, IE12)</w:t>
      </w:r>
    </w:p>
    <w:p>
      <w:pPr>
        <w:pStyle w:val="ListBullet"/>
        <w:spacing w:after="40"/>
      </w:pPr>
      <w:r>
        <w:rPr>
          <w:b/>
          <w:sz w:val="21"/>
        </w:rPr>
        <w:t xml:space="preserve">Anomalía temporal: </w:t>
      </w:r>
      <w:r>
        <w:rPr>
          <w:b w:val="0"/>
          <w:sz w:val="21"/>
        </w:rPr>
        <w:t>incidente el 2025-06-11 (p95 17693 ms, z=3.17).</w:t>
      </w:r>
    </w:p>
    <w:p>
      <w:pPr>
        <w:pStyle w:val="ListBullet"/>
        <w:spacing w:after="40"/>
      </w:pPr>
      <w:r>
        <w:rPr>
          <w:b/>
          <w:sz w:val="21"/>
        </w:rPr>
        <w:t xml:space="preserve">Cuello de botella: </w:t>
      </w:r>
      <w:r>
        <w:rPr>
          <w:b w:val="0"/>
          <w:sz w:val="21"/>
        </w:rPr>
        <w:t>«multiagente_credito» con p95 de 20958 ms.</w:t>
      </w:r>
    </w:p>
    <w:p>
      <w:pPr>
        <w:pStyle w:val="ListBullet"/>
        <w:spacing w:after="40"/>
      </w:pPr>
      <w:r>
        <w:rPr>
          <w:b/>
          <w:sz w:val="21"/>
        </w:rPr>
        <w:t xml:space="preserve">Selección de herramienta: </w:t>
      </w:r>
      <w:r>
        <w:rPr>
          <w:b w:val="0"/>
          <w:sz w:val="21"/>
        </w:rPr>
        <w:t>éxito 95.4% con herramienta correcta vs. 0.0% cuando se equivoca.</w:t>
      </w:r>
    </w:p>
    <w:p>
      <w:pPr>
        <w:pStyle w:val="ListBullet"/>
        <w:spacing w:after="40"/>
      </w:pPr>
      <w:r>
        <w:rPr>
          <w:b/>
          <w:sz w:val="21"/>
        </w:rPr>
        <w:t xml:space="preserve">Ambigüedad: </w:t>
      </w:r>
      <w:r>
        <w:rPr>
          <w:b w:val="0"/>
          <w:sz w:val="21"/>
        </w:rPr>
        <w:t>brecha de 37 pp entre entradas claras y ambiguas.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11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rie_temporal_inciden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1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95959"/>
          <w:sz w:val="17"/>
        </w:rPr>
        <w:t>Figura 3. Evolución diaria; el incidente se detecta automáticamente (área sombreada).</w:t>
      </w:r>
    </w:p>
    <w:p>
      <w:pPr>
        <w:spacing w:after="40"/>
      </w:pPr>
      <w:r>
        <w:rPr>
          <w:i w:val="0"/>
          <w:sz w:val="21"/>
        </w:rPr>
        <w:t>Mejoras propuestas (priorizadas por impacto en sostenibilidad y escalabilidad):</w:t>
      </w:r>
    </w:p>
    <w:p>
      <w:pPr>
        <w:pStyle w:val="ListNumber"/>
        <w:spacing w:after="40"/>
      </w:pPr>
      <w:r>
        <w:rPr>
          <w:sz w:val="19"/>
        </w:rPr>
        <w:t>Desambiguación de intención (clarificación + few-shot de enrutamiento).</w:t>
      </w:r>
    </w:p>
    <w:p>
      <w:pPr>
        <w:pStyle w:val="ListNumber"/>
        <w:spacing w:after="40"/>
      </w:pPr>
      <w:r>
        <w:rPr>
          <w:sz w:val="19"/>
        </w:rPr>
        <w:t>Paralelizar especialistas y cachear productos para reducir latencia y tokens.</w:t>
      </w:r>
    </w:p>
    <w:p>
      <w:pPr>
        <w:pStyle w:val="ListNumber"/>
        <w:spacing w:after="40"/>
      </w:pPr>
      <w:r>
        <w:rPr>
          <w:sz w:val="19"/>
        </w:rPr>
        <w:t>Reintentos con backoff y modelo de respaldo para resiliencia ante incidentes.</w:t>
      </w:r>
    </w:p>
    <w:p>
      <w:pPr>
        <w:pStyle w:val="ListNumber"/>
        <w:spacing w:after="40"/>
      </w:pPr>
      <w:r>
        <w:rPr>
          <w:sz w:val="19"/>
        </w:rPr>
        <w:t>Alertas automáticas por umbrales sobre el dashboard (observabilidad proactiva).</w:t>
      </w:r>
    </w:p>
    <w:p>
      <w:pPr>
        <w:pStyle w:val="Heading2"/>
      </w:pPr>
      <w:r>
        <w:t>4.3 Seguridad y uso responsable (IE11)</w:t>
      </w:r>
    </w:p>
    <w:p>
      <w:pPr>
        <w:spacing w:after="120"/>
      </w:pPr>
      <w:r>
        <w:rPr>
          <w:i w:val="0"/>
          <w:sz w:val="21"/>
        </w:rPr>
        <w:t>La capa de seguridad aplica enmascaramiento de PII (Ley 19.628), defensa ante prompt-injection (OWASP LLM01), rate-limiting, auditoría con encadenamiento de hash y confirmación humana en operaciones críticas.</w:t>
      </w:r>
    </w:p>
    <w:p>
      <w:pPr>
        <w:spacing w:after="120"/>
      </w:pPr>
      <w:r>
        <w:rPr>
          <w:b/>
          <w:sz w:val="21"/>
        </w:rPr>
        <w:t>Se registraron 33 intentos de prompt-injection, bloqueados en 87.9%</w:t>
      </w:r>
      <w:r>
        <w:rPr>
          <w:b w:val="0"/>
          <w:sz w:val="21"/>
        </w:rPr>
        <w:t>; persisten 4 casos no bloqueados (riesgo residual a reforzar). Se enmascaró PII en 356 interacciones.</w:t>
      </w:r>
    </w:p>
    <w:p>
      <w:pPr>
        <w:pStyle w:val="Heading1"/>
      </w:pPr>
      <w:r>
        <w:t>5. Resultados consolidados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2736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86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Precisión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Tasa error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Latencia p95 (ms)</w:t>
            </w:r>
          </w:p>
        </w:tc>
        <w:tc>
          <w:tcPr>
            <w:tcW w:type="dxa" w:w="158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Tokens medio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b/>
                <w:sz w:val="18"/>
              </w:rPr>
              <w:t>Multi-agente crédito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64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85.9%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12.5%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20958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8"/>
              </w:rPr>
              <w:t>3036</w:t>
            </w:r>
          </w:p>
        </w:tc>
      </w:tr>
      <w:tr>
        <w:tc>
          <w:tcPr>
            <w:tcW w:type="dxa" w:w="2736"/>
            <w:shd w:val="clear" w:color="auto" w:fill="D9E1F2"/>
          </w:tcPr>
          <w:p>
            <w:pPr>
              <w:jc w:val="left"/>
            </w:pPr>
            <w:r/>
            <w:r>
              <w:rPr>
                <w:b/>
                <w:sz w:val="18"/>
              </w:rPr>
              <w:t>Simulación crédito</w:t>
            </w:r>
          </w:p>
        </w:tc>
        <w:tc>
          <w:tcPr>
            <w:tcW w:type="dxa" w:w="864"/>
            <w:shd w:val="clear" w:color="auto" w:fill="D9E1F2"/>
          </w:tcPr>
          <w:p>
            <w:pPr>
              <w:jc w:val="center"/>
            </w:pPr>
            <w:r/>
            <w:r>
              <w:rPr>
                <w:sz w:val="18"/>
              </w:rPr>
              <w:t>98</w:t>
            </w:r>
          </w:p>
        </w:tc>
        <w:tc>
          <w:tcPr>
            <w:tcW w:type="dxa" w:w="1440"/>
            <w:shd w:val="clear" w:color="auto" w:fill="D9E1F2"/>
          </w:tcPr>
          <w:p>
            <w:pPr>
              <w:jc w:val="center"/>
            </w:pPr>
            <w:r/>
            <w:r>
              <w:rPr>
                <w:sz w:val="18"/>
              </w:rPr>
              <w:t>91.8%</w:t>
            </w:r>
          </w:p>
        </w:tc>
        <w:tc>
          <w:tcPr>
            <w:tcW w:type="dxa" w:w="1440"/>
            <w:shd w:val="clear" w:color="auto" w:fill="D9E1F2"/>
          </w:tcPr>
          <w:p>
            <w:pPr>
              <w:jc w:val="center"/>
            </w:pPr>
            <w:r/>
            <w:r>
              <w:rPr>
                <w:sz w:val="18"/>
              </w:rPr>
              <w:t>3.1%</w:t>
            </w:r>
          </w:p>
        </w:tc>
        <w:tc>
          <w:tcPr>
            <w:tcW w:type="dxa" w:w="2160"/>
            <w:shd w:val="clear" w:color="auto" w:fill="D9E1F2"/>
          </w:tcPr>
          <w:p>
            <w:pPr>
              <w:jc w:val="center"/>
            </w:pPr>
            <w:r/>
            <w:r>
              <w:rPr>
                <w:sz w:val="18"/>
              </w:rPr>
              <w:t>6343</w:t>
            </w:r>
          </w:p>
        </w:tc>
        <w:tc>
          <w:tcPr>
            <w:tcW w:type="dxa" w:w="1584"/>
            <w:shd w:val="clear" w:color="auto" w:fill="D9E1F2"/>
          </w:tcPr>
          <w:p>
            <w:pPr>
              <w:jc w:val="center"/>
            </w:pPr>
            <w:r/>
            <w:r>
              <w:rPr>
                <w:sz w:val="18"/>
              </w:rPr>
              <w:t>868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b/>
                <w:sz w:val="18"/>
              </w:rPr>
              <w:t>Transferencia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96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84.4%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12.5%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5588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8"/>
              </w:rPr>
              <w:t>565</w:t>
            </w:r>
          </w:p>
        </w:tc>
      </w:tr>
      <w:tr>
        <w:tc>
          <w:tcPr>
            <w:tcW w:type="dxa" w:w="2736"/>
            <w:shd w:val="clear" w:color="auto" w:fill="D9E1F2"/>
          </w:tcPr>
          <w:p>
            <w:pPr>
              <w:jc w:val="left"/>
            </w:pPr>
            <w:r/>
            <w:r>
              <w:rPr>
                <w:b/>
                <w:sz w:val="18"/>
              </w:rPr>
              <w:t>Registro reclamo</w:t>
            </w:r>
          </w:p>
        </w:tc>
        <w:tc>
          <w:tcPr>
            <w:tcW w:type="dxa" w:w="864"/>
            <w:shd w:val="clear" w:color="auto" w:fill="D9E1F2"/>
          </w:tcPr>
          <w:p>
            <w:pPr>
              <w:jc w:val="center"/>
            </w:pPr>
            <w:r/>
            <w:r>
              <w:rPr>
                <w:sz w:val="18"/>
              </w:rPr>
              <w:t>101</w:t>
            </w:r>
          </w:p>
        </w:tc>
        <w:tc>
          <w:tcPr>
            <w:tcW w:type="dxa" w:w="1440"/>
            <w:shd w:val="clear" w:color="auto" w:fill="D9E1F2"/>
          </w:tcPr>
          <w:p>
            <w:pPr>
              <w:jc w:val="center"/>
            </w:pPr>
            <w:r/>
            <w:r>
              <w:rPr>
                <w:sz w:val="18"/>
              </w:rPr>
              <w:t>87.1%</w:t>
            </w:r>
          </w:p>
        </w:tc>
        <w:tc>
          <w:tcPr>
            <w:tcW w:type="dxa" w:w="1440"/>
            <w:shd w:val="clear" w:color="auto" w:fill="D9E1F2"/>
          </w:tcPr>
          <w:p>
            <w:pPr>
              <w:jc w:val="center"/>
            </w:pPr>
            <w:r/>
            <w:r>
              <w:rPr>
                <w:sz w:val="18"/>
              </w:rPr>
              <w:t>5.9%</w:t>
            </w:r>
          </w:p>
        </w:tc>
        <w:tc>
          <w:tcPr>
            <w:tcW w:type="dxa" w:w="2160"/>
            <w:shd w:val="clear" w:color="auto" w:fill="D9E1F2"/>
          </w:tcPr>
          <w:p>
            <w:pPr>
              <w:jc w:val="center"/>
            </w:pPr>
            <w:r/>
            <w:r>
              <w:rPr>
                <w:sz w:val="18"/>
              </w:rPr>
              <w:t>3730</w:t>
            </w:r>
          </w:p>
        </w:tc>
        <w:tc>
          <w:tcPr>
            <w:tcW w:type="dxa" w:w="1584"/>
            <w:shd w:val="clear" w:color="auto" w:fill="D9E1F2"/>
          </w:tcPr>
          <w:p>
            <w:pPr>
              <w:jc w:val="center"/>
            </w:pPr>
            <w:r/>
            <w:r>
              <w:rPr>
                <w:sz w:val="18"/>
              </w:rPr>
              <w:t>541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b/>
                <w:sz w:val="18"/>
              </w:rPr>
              <w:t>Consulta ambigua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54.0%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12.0%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2950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8"/>
              </w:rPr>
              <w:t>490</w:t>
            </w:r>
          </w:p>
        </w:tc>
      </w:tr>
      <w:tr>
        <w:tc>
          <w:tcPr>
            <w:tcW w:type="dxa" w:w="2736"/>
            <w:shd w:val="clear" w:color="auto" w:fill="D9E1F2"/>
          </w:tcPr>
          <w:p>
            <w:pPr>
              <w:jc w:val="left"/>
            </w:pPr>
            <w:r/>
            <w:r>
              <w:rPr>
                <w:b/>
                <w:sz w:val="18"/>
              </w:rPr>
              <w:t>Info. de producto</w:t>
            </w:r>
          </w:p>
        </w:tc>
        <w:tc>
          <w:tcPr>
            <w:tcW w:type="dxa" w:w="864"/>
            <w:shd w:val="clear" w:color="auto" w:fill="D9E1F2"/>
          </w:tcPr>
          <w:p>
            <w:pPr>
              <w:jc w:val="center"/>
            </w:pPr>
            <w:r/>
            <w:r>
              <w:rPr>
                <w:sz w:val="18"/>
              </w:rPr>
              <w:t>101</w:t>
            </w:r>
          </w:p>
        </w:tc>
        <w:tc>
          <w:tcPr>
            <w:tcW w:type="dxa" w:w="1440"/>
            <w:shd w:val="clear" w:color="auto" w:fill="D9E1F2"/>
          </w:tcPr>
          <w:p>
            <w:pPr>
              <w:jc w:val="center"/>
            </w:pPr>
            <w:r/>
            <w:r>
              <w:rPr>
                <w:sz w:val="18"/>
              </w:rPr>
              <w:t>95.0%</w:t>
            </w:r>
          </w:p>
        </w:tc>
        <w:tc>
          <w:tcPr>
            <w:tcW w:type="dxa" w:w="1440"/>
            <w:shd w:val="clear" w:color="auto" w:fill="D9E1F2"/>
          </w:tcPr>
          <w:p>
            <w:pPr>
              <w:jc w:val="center"/>
            </w:pPr>
            <w:r/>
            <w:r>
              <w:rPr>
                <w:sz w:val="18"/>
              </w:rPr>
              <w:t>3.0%</w:t>
            </w:r>
          </w:p>
        </w:tc>
        <w:tc>
          <w:tcPr>
            <w:tcW w:type="dxa" w:w="2160"/>
            <w:shd w:val="clear" w:color="auto" w:fill="D9E1F2"/>
          </w:tcPr>
          <w:p>
            <w:pPr>
              <w:jc w:val="center"/>
            </w:pPr>
            <w:r/>
            <w:r>
              <w:rPr>
                <w:sz w:val="18"/>
              </w:rPr>
              <w:t>2930</w:t>
            </w:r>
          </w:p>
        </w:tc>
        <w:tc>
          <w:tcPr>
            <w:tcW w:type="dxa" w:w="1584"/>
            <w:shd w:val="clear" w:color="auto" w:fill="D9E1F2"/>
          </w:tcPr>
          <w:p>
            <w:pPr>
              <w:jc w:val="center"/>
            </w:pPr>
            <w:r/>
            <w:r>
              <w:rPr>
                <w:sz w:val="18"/>
              </w:rPr>
              <w:t>465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b/>
                <w:sz w:val="18"/>
              </w:rPr>
              <w:t>Consulta de saldo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18"/>
              </w:rPr>
              <w:t>95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97.9%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1.1%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1854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18"/>
              </w:rPr>
              <w:t>369</w:t>
            </w:r>
          </w:p>
        </w:tc>
      </w:tr>
      <w:tr>
        <w:tc>
          <w:tcPr>
            <w:tcW w:type="dxa" w:w="2736"/>
            <w:shd w:val="clear" w:color="auto" w:fill="D9E1F2"/>
          </w:tcPr>
          <w:p>
            <w:pPr>
              <w:jc w:val="left"/>
            </w:pPr>
            <w:r/>
            <w:r>
              <w:rPr>
                <w:b/>
                <w:sz w:val="18"/>
              </w:rPr>
              <w:t>Intento injection</w:t>
            </w:r>
          </w:p>
        </w:tc>
        <w:tc>
          <w:tcPr>
            <w:tcW w:type="dxa" w:w="864"/>
            <w:shd w:val="clear" w:color="auto" w:fill="D9E1F2"/>
          </w:tcPr>
          <w:p>
            <w:pPr>
              <w:jc w:val="center"/>
            </w:pPr>
            <w:r/>
            <w:r>
              <w:rPr>
                <w:sz w:val="18"/>
              </w:rPr>
              <w:t>33</w:t>
            </w:r>
          </w:p>
        </w:tc>
        <w:tc>
          <w:tcPr>
            <w:tcW w:type="dxa" w:w="1440"/>
            <w:shd w:val="clear" w:color="auto" w:fill="D9E1F2"/>
          </w:tcPr>
          <w:p>
            <w:pPr>
              <w:jc w:val="center"/>
            </w:pPr>
            <w:r/>
            <w:r>
              <w:rPr>
                <w:sz w:val="18"/>
              </w:rPr>
              <w:t>87.9%</w:t>
            </w:r>
          </w:p>
        </w:tc>
        <w:tc>
          <w:tcPr>
            <w:tcW w:type="dxa" w:w="1440"/>
            <w:shd w:val="clear" w:color="auto" w:fill="D9E1F2"/>
          </w:tcPr>
          <w:p>
            <w:pPr>
              <w:jc w:val="center"/>
            </w:pPr>
            <w:r/>
            <w:r>
              <w:rPr>
                <w:sz w:val="18"/>
              </w:rPr>
              <w:t>12.1%</w:t>
            </w:r>
          </w:p>
        </w:tc>
        <w:tc>
          <w:tcPr>
            <w:tcW w:type="dxa" w:w="2160"/>
            <w:shd w:val="clear" w:color="auto" w:fill="D9E1F2"/>
          </w:tcPr>
          <w:p>
            <w:pPr>
              <w:jc w:val="center"/>
            </w:pPr>
            <w:r/>
            <w:r>
              <w:rPr>
                <w:sz w:val="18"/>
              </w:rPr>
              <w:t>206</w:t>
            </w:r>
          </w:p>
        </w:tc>
        <w:tc>
          <w:tcPr>
            <w:tcW w:type="dxa" w:w="1584"/>
            <w:shd w:val="clear" w:color="auto" w:fill="D9E1F2"/>
          </w:tcPr>
          <w:p>
            <w:pPr>
              <w:jc w:val="center"/>
            </w:pPr>
            <w:r/>
            <w:r>
              <w:rPr>
                <w:sz w:val="18"/>
              </w:rPr>
              <w:t>195</w:t>
            </w:r>
          </w:p>
        </w:tc>
      </w:tr>
    </w:tbl>
    <w:p>
      <w:pPr>
        <w:spacing w:after="40"/>
      </w:pPr>
    </w:p>
    <w:p>
      <w:pPr>
        <w:pStyle w:val="Heading1"/>
      </w:pPr>
      <w:r>
        <w:t>6. Declaración de uso de inteligencia artificial</w:t>
      </w:r>
    </w:p>
    <w:p>
      <w:pPr>
        <w:spacing w:after="120"/>
      </w:pPr>
      <w:r>
        <w:rPr>
          <w:i w:val="0"/>
          <w:sz w:val="21"/>
        </w:rPr>
        <w:t>En conformidad con la política de la evaluación y la guía de Biblioteca Duoc UC (bibliotecas.duoc.cl/ia), se declara el uso de IA como apoyo en las siguientes tareas:</w:t>
      </w:r>
    </w:p>
    <w:p>
      <w:pPr>
        <w:pStyle w:val="ListBullet"/>
        <w:spacing w:after="40"/>
      </w:pPr>
      <w:r>
        <w:rPr>
          <w:sz w:val="21"/>
        </w:rPr>
        <w:t>Asistencia en redacción y estructura del informe y de la documentación del código.</w:t>
      </w:r>
    </w:p>
    <w:p>
      <w:pPr>
        <w:pStyle w:val="ListBullet"/>
        <w:spacing w:after="40"/>
      </w:pPr>
      <w:r>
        <w:rPr>
          <w:sz w:val="21"/>
        </w:rPr>
        <w:t>Apoyo en la generación de diagramas y en la organización de tablas de resultados.</w:t>
      </w:r>
    </w:p>
    <w:p>
      <w:pPr>
        <w:pStyle w:val="ListBullet"/>
        <w:spacing w:after="40"/>
      </w:pPr>
      <w:r>
        <w:rPr>
          <w:sz w:val="21"/>
        </w:rPr>
        <w:t>Generación de la instrumentación y del dataset de telemetría sintética (revisado por el equipo).</w:t>
      </w:r>
    </w:p>
    <w:p>
      <w:pPr>
        <w:spacing w:after="120"/>
      </w:pPr>
      <w:r>
        <w:rPr>
          <w:i/>
          <w:color w:val="C0392B"/>
          <w:sz w:val="18"/>
        </w:rPr>
        <w:t>⚠ Las conclusiones, las justificaciones técnicas y las reflexiones individuales fueron redactadas por los integrantes sin apoyo de IA. Todo contenido generado con IA fue revisado y validado por el equipo.</w:t>
      </w:r>
    </w:p>
    <w:p>
      <w:pPr>
        <w:pStyle w:val="Heading1"/>
      </w:pPr>
      <w:r>
        <w:t>7. Conclusiones y reflexiones individuales</w:t>
      </w:r>
    </w:p>
    <w:p>
      <w:pPr>
        <w:spacing w:after="120"/>
      </w:pPr>
      <w:r>
        <w:rPr>
          <w:i/>
          <w:color w:val="C0392B"/>
          <w:sz w:val="18"/>
        </w:rPr>
        <w:t>⚠ Esta sección NO debe redactarse con IA. Complétela el equipo y cada integrante.</w:t>
      </w:r>
    </w:p>
    <w:p>
      <w:pPr>
        <w:pStyle w:val="Heading2"/>
      </w:pPr>
      <w:r>
        <w:t>7.1 Conclusiones del equipo</w:t>
      </w:r>
    </w:p>
    <w:p>
      <w:pPr>
        <w:pStyle w:val="ListBullet"/>
        <w:spacing w:after="40"/>
      </w:pPr>
      <w:r>
        <w:rPr>
          <w:i/>
          <w:color w:val="595959"/>
          <w:sz w:val="19"/>
        </w:rPr>
        <w:t>Grado de cumplimiento de los requerimientos del caso organizacional.</w:t>
      </w:r>
    </w:p>
    <w:p>
      <w:pPr>
        <w:pStyle w:val="ListBullet"/>
        <w:spacing w:after="40"/>
      </w:pPr>
      <w:r>
        <w:rPr>
          <w:i/>
          <w:color w:val="595959"/>
          <w:sz w:val="19"/>
        </w:rPr>
        <w:t>Principales aprendizajes técnicos de integrar LLM + RAG + agentes + observabilidad.</w:t>
      </w:r>
    </w:p>
    <w:p>
      <w:pPr>
        <w:pStyle w:val="ListBullet"/>
        <w:spacing w:after="40"/>
      </w:pPr>
      <w:r>
        <w:rPr>
          <w:i/>
          <w:color w:val="595959"/>
          <w:sz w:val="19"/>
        </w:rPr>
        <w:t>Limitaciones encontradas y trabajo futuro.</w:t>
      </w:r>
    </w:p>
    <w:p>
      <w:r>
        <w:rPr>
          <w:i/>
          <w:color w:val="595959"/>
          <w:sz w:val="18"/>
        </w:rPr>
        <w:t>[ Espacio para redacción propia del equipo / estudiante ]</w:t>
      </w:r>
    </w:p>
    <w:p>
      <w:pPr>
        <w:pStyle w:val="Heading2"/>
      </w:pPr>
      <w:r>
        <w:t>7.2 Reflexión individual — Roger Rosas</w:t>
      </w:r>
    </w:p>
    <w:p>
      <w:pPr>
        <w:pStyle w:val="ListBullet"/>
        <w:spacing w:after="40"/>
      </w:pPr>
      <w:r>
        <w:rPr>
          <w:i/>
          <w:color w:val="595959"/>
          <w:sz w:val="19"/>
        </w:rPr>
        <w:t>Mi contribución específica al proyecto.</w:t>
      </w:r>
    </w:p>
    <w:p>
      <w:pPr>
        <w:pStyle w:val="ListBullet"/>
        <w:spacing w:after="40"/>
      </w:pPr>
      <w:r>
        <w:rPr>
          <w:i/>
          <w:color w:val="595959"/>
          <w:sz w:val="19"/>
        </w:rPr>
        <w:t>Lo que aprendí y cómo lo aplicaría en un contexto real.</w:t>
      </w:r>
    </w:p>
    <w:p>
      <w:pPr>
        <w:pStyle w:val="ListBullet"/>
        <w:spacing w:after="40"/>
      </w:pPr>
      <w:r>
        <w:rPr>
          <w:i/>
          <w:color w:val="595959"/>
          <w:sz w:val="19"/>
        </w:rPr>
        <w:t>Un dilema ético o de seguridad que identifiqué y cómo lo abordaría.</w:t>
      </w:r>
    </w:p>
    <w:p>
      <w:r>
        <w:rPr>
          <w:i/>
          <w:color w:val="595959"/>
          <w:sz w:val="18"/>
        </w:rPr>
        <w:t>[ Espacio para redacción propia del equipo / estudiante ]</w:t>
      </w:r>
    </w:p>
    <w:p>
      <w:pPr>
        <w:pStyle w:val="Heading2"/>
      </w:pPr>
      <w:r>
        <w:t>7.2 Reflexión individual — Rodrigo Santis</w:t>
      </w:r>
    </w:p>
    <w:p>
      <w:pPr>
        <w:pStyle w:val="ListBullet"/>
        <w:spacing w:after="40"/>
      </w:pPr>
      <w:r>
        <w:rPr>
          <w:i/>
          <w:color w:val="595959"/>
          <w:sz w:val="19"/>
        </w:rPr>
        <w:t>Mi contribución específica al proyecto.</w:t>
      </w:r>
    </w:p>
    <w:p>
      <w:pPr>
        <w:pStyle w:val="ListBullet"/>
        <w:spacing w:after="40"/>
      </w:pPr>
      <w:r>
        <w:rPr>
          <w:i/>
          <w:color w:val="595959"/>
          <w:sz w:val="19"/>
        </w:rPr>
        <w:t>Lo que aprendí y cómo lo aplicaría en un contexto real.</w:t>
      </w:r>
    </w:p>
    <w:p>
      <w:pPr>
        <w:pStyle w:val="ListBullet"/>
        <w:spacing w:after="40"/>
      </w:pPr>
      <w:r>
        <w:rPr>
          <w:i/>
          <w:color w:val="595959"/>
          <w:sz w:val="19"/>
        </w:rPr>
        <w:t>Un dilema ético o de seguridad que identifiqué y cómo lo abordaría.</w:t>
      </w:r>
    </w:p>
    <w:p>
      <w:r>
        <w:rPr>
          <w:i/>
          <w:color w:val="595959"/>
          <w:sz w:val="18"/>
        </w:rPr>
        <w:t>[ Espacio para redacción propia del equipo / estudiante ]</w:t>
      </w:r>
    </w:p>
    <w:p>
      <w:pPr>
        <w:pStyle w:val="Heading2"/>
      </w:pPr>
      <w:r>
        <w:t>7.2 Reflexión individual — Edgardo Gutiérrez</w:t>
      </w:r>
    </w:p>
    <w:p>
      <w:pPr>
        <w:pStyle w:val="ListBullet"/>
        <w:spacing w:after="40"/>
      </w:pPr>
      <w:r>
        <w:rPr>
          <w:i/>
          <w:color w:val="595959"/>
          <w:sz w:val="19"/>
        </w:rPr>
        <w:t>Mi contribución específica al proyecto.</w:t>
      </w:r>
    </w:p>
    <w:p>
      <w:pPr>
        <w:pStyle w:val="ListBullet"/>
        <w:spacing w:after="40"/>
      </w:pPr>
      <w:r>
        <w:rPr>
          <w:i/>
          <w:color w:val="595959"/>
          <w:sz w:val="19"/>
        </w:rPr>
        <w:t>Lo que aprendí y cómo lo aplicaría en un contexto real.</w:t>
      </w:r>
    </w:p>
    <w:p>
      <w:pPr>
        <w:pStyle w:val="ListBullet"/>
        <w:spacing w:after="40"/>
      </w:pPr>
      <w:r>
        <w:rPr>
          <w:i/>
          <w:color w:val="595959"/>
          <w:sz w:val="19"/>
        </w:rPr>
        <w:t>Un dilema ético o de seguridad que identifiqué y cómo lo abordaría.</w:t>
      </w:r>
    </w:p>
    <w:p>
      <w:r>
        <w:rPr>
          <w:i/>
          <w:color w:val="595959"/>
          <w:sz w:val="18"/>
        </w:rPr>
        <w:t>[ Espacio para redacción propia del equipo / estudiante ]</w:t>
      </w:r>
    </w:p>
    <w:p>
      <w:pPr>
        <w:pStyle w:val="Heading1"/>
      </w:pPr>
      <w:r>
        <w:t>8. Referencias</w:t>
      </w:r>
    </w:p>
    <w:p>
      <w:pPr>
        <w:spacing w:after="60"/>
        <w:ind w:left="432" w:hanging="432"/>
      </w:pPr>
      <w:r>
        <w:rPr>
          <w:sz w:val="18"/>
        </w:rPr>
        <w:t>Biblioteca Duoc UC. (2024). Guía para el uso de inteligencia artificial. https://bibliotecas.duoc.cl/ia</w:t>
      </w:r>
    </w:p>
    <w:p>
      <w:pPr>
        <w:spacing w:after="60"/>
        <w:ind w:left="432" w:hanging="432"/>
      </w:pPr>
      <w:r>
        <w:rPr>
          <w:sz w:val="18"/>
        </w:rPr>
        <w:t>Chase, H. (2023). LangChain: Building applications with LLMs through composability. https://www.langchain.com/</w:t>
      </w:r>
    </w:p>
    <w:p>
      <w:pPr>
        <w:spacing w:after="60"/>
        <w:ind w:left="432" w:hanging="432"/>
      </w:pPr>
      <w:r>
        <w:rPr>
          <w:sz w:val="18"/>
        </w:rPr>
        <w:t>Comisión para el Mercado Financiero. (2020). RAN Cap. 20-7: Gestión de la ciberseguridad. CMF Chile.</w:t>
      </w:r>
    </w:p>
    <w:p>
      <w:pPr>
        <w:spacing w:after="60"/>
        <w:ind w:left="432" w:hanging="432"/>
      </w:pPr>
      <w:r>
        <w:rPr>
          <w:sz w:val="18"/>
        </w:rPr>
        <w:t>Lewis, P., et al. (2020). Retrieval-augmented generation for knowledge-intensive NLP tasks. arXiv:2005.11401.</w:t>
      </w:r>
    </w:p>
    <w:p>
      <w:pPr>
        <w:spacing w:after="60"/>
        <w:ind w:left="432" w:hanging="432"/>
      </w:pPr>
      <w:r>
        <w:rPr>
          <w:sz w:val="18"/>
        </w:rPr>
        <w:t>Ley N°19.628. Sobre protección de la vida privada. Biblioteca del Congreso Nacional de Chile.</w:t>
      </w:r>
    </w:p>
    <w:p>
      <w:pPr>
        <w:spacing w:after="60"/>
        <w:ind w:left="432" w:hanging="432"/>
      </w:pPr>
      <w:r>
        <w:rPr>
          <w:sz w:val="18"/>
        </w:rPr>
        <w:t>Moura, J. (2024). CrewAI: Orchestrating role-playing autonomous AI agents. https://docs.crewai.com/</w:t>
      </w:r>
    </w:p>
    <w:p>
      <w:pPr>
        <w:spacing w:after="60"/>
        <w:ind w:left="432" w:hanging="432"/>
      </w:pPr>
      <w:r>
        <w:rPr>
          <w:sz w:val="18"/>
        </w:rPr>
        <w:t>OWASP Foundation. (2023). OWASP Top 10 for Large Language Model Applications.</w:t>
      </w:r>
    </w:p>
    <w:p>
      <w:pPr>
        <w:spacing w:after="60"/>
        <w:ind w:left="432" w:hanging="432"/>
      </w:pPr>
      <w:r>
        <w:rPr>
          <w:sz w:val="18"/>
        </w:rPr>
        <w:t>Yao, S., et al. (2022). ReAct: Synergizing reasoning and acting in language models. arXiv:2210.03629.</w:t>
      </w:r>
    </w:p>
    <w:p>
      <w:pPr>
        <w:spacing w:after="120"/>
      </w:pPr>
      <w:r>
        <w:rPr>
          <w:i/>
          <w:sz w:val="18"/>
        </w:rPr>
        <w:t>Repositorio (código, pipeline RAG, notebook ejecutable, README, dashboard y evidencia de 22 pruebas automatizadas): github.com/rogrosas/Ingenier-a-de-Soluciones-con-Inteligencia-Artificial.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92" w:val="right"/>
      </w:tabs>
      <w:jc w:val="left"/>
    </w:pPr>
    <w:r/>
    <w:r>
      <w:rPr>
        <w:color w:val="7F7F7F"/>
        <w:sz w:val="16"/>
      </w:rPr>
      <w:t>EFT · Banco Digital Chile · ISY0101</w:t>
      <w:tab/>
      <w:tab/>
    </w:r>
    <w:r>
      <w:rPr>
        <w:color w:val="7F7F7F"/>
        <w:sz w:val="16"/>
      </w:rPr>
      <w:t xml:space="preserve">Página </w:t>
    </w:r>
    <w:r>
      <w:rPr>
        <w:color w:val="7F7F7F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