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ISY0101 · Ingeniería de Soluciones con IA</w:t>
      </w:r>
      <w:r>
        <w:rPr>
          <w:color w:val="7F7F7F"/>
          <w:sz w:val="18"/>
        </w:rPr>
        <w:t xml:space="preserve">   ·   Evaluación Parcial N°3 · 35%</w:t>
      </w:r>
    </w:p>
    <w:p>
      <w:pPr>
        <w:spacing w:after="40"/>
      </w:pPr>
      <w:r>
        <w:rPr>
          <w:b/>
          <w:color w:val="1F4E79"/>
          <w:sz w:val="40"/>
        </w:rPr>
        <w:t>Implementación de Observabilidad</w:t>
      </w:r>
    </w:p>
    <w:p>
      <w:pPr>
        <w:spacing w:after="120"/>
      </w:pPr>
      <w:r>
        <w:rPr>
          <w:color w:val="404040"/>
          <w:sz w:val="24"/>
        </w:rPr>
        <w:t>Agente conversacional “Banco Digital Chile”</w:t>
      </w:r>
    </w:p>
    <w:p>
      <w:r>
        <w:rPr>
          <w:color w:val="404040"/>
          <w:sz w:val="19"/>
        </w:rPr>
        <w:t>Autores: Roger Rosas · Rodrigo Santis · Edgardo Gutiérrez</w:t>
        <w:br/>
        <w:t>Fecha: Junio 2025</w:t>
      </w:r>
    </w:p>
    <w:p>
      <w:pPr>
        <w:pBdr>
          <w:bottom w:val="single" w:sz="12" w:space="1" w:color="1F4E79"/>
        </w:pBdr>
        <w:spacing w:after="120"/>
      </w:pPr>
    </w:p>
    <w:p>
      <w:pPr>
        <w:pStyle w:val="Heading1"/>
      </w:pPr>
      <w:r>
        <w:t>1. Contexto y alcance</w:t>
      </w:r>
    </w:p>
    <w:p>
      <w:pPr>
        <w:spacing w:after="120"/>
      </w:pPr>
      <w:r>
        <w:rPr>
          <w:i w:val="0"/>
          <w:sz w:val="21"/>
        </w:rPr>
        <w:t>Este informe documenta la tercera fase del proyecto: la incorporación de observabilidad, trazabilidad y seguridad al agente bancario desarrollado en las evaluaciones previas. El agente —construido con LangChain (ciclo ReAct) y CrewAI para orquestación multi-agente— resuelve tareas de banca digital (consulta de saldo, transferencias, simulación de créditos, reclamos e información de productos) mediante cinco herramientas, memoria de corto y largo plazo y planificación multi-etapa.</w:t>
      </w:r>
    </w:p>
    <w:p>
      <w:pPr>
        <w:spacing w:after="120"/>
      </w:pPr>
      <w:r>
        <w:rPr>
          <w:b w:val="0"/>
          <w:sz w:val="21"/>
        </w:rPr>
        <w:t xml:space="preserve">Para medir su comportamiento en producción se instrumentó cada interacción con un </w:t>
      </w:r>
      <w:r>
        <w:rPr>
          <w:b/>
          <w:sz w:val="21"/>
        </w:rPr>
        <w:t>tracer</w:t>
      </w:r>
      <w:r>
        <w:rPr>
          <w:b w:val="0"/>
          <w:sz w:val="21"/>
        </w:rPr>
        <w:t xml:space="preserve"> que emite trazas estructuradas en formato JSONL (</w:t>
      </w:r>
      <w:r>
        <w:rPr>
          <w:b/>
          <w:sz w:val="21"/>
        </w:rPr>
        <w:t>logs/agent_traces.jsonl</w:t>
      </w:r>
      <w:r>
        <w:rPr>
          <w:b w:val="0"/>
          <w:sz w:val="21"/>
        </w:rPr>
        <w:t>) más un log legible (</w:t>
      </w:r>
      <w:r>
        <w:rPr>
          <w:b/>
          <w:sz w:val="21"/>
        </w:rPr>
        <w:t>logs/agent.log</w:t>
      </w:r>
      <w:r>
        <w:rPr>
          <w:b w:val="0"/>
          <w:sz w:val="21"/>
        </w:rPr>
        <w:t>). Sobre esa telemetría —</w:t>
      </w:r>
      <w:r>
        <w:rPr>
          <w:b/>
          <w:sz w:val="21"/>
        </w:rPr>
        <w:t>688 interacciones simuladas de forma reproducible durante 14 días de operación</w:t>
      </w:r>
      <w:r>
        <w:rPr>
          <w:b w:val="0"/>
          <w:sz w:val="21"/>
        </w:rPr>
        <w:t>— se calculan las métricas, se analizan los registros y se construye el dashboard de monitoreo.</w:t>
      </w:r>
    </w:p>
    <w:p>
      <w:pPr>
        <w:pStyle w:val="Heading1"/>
      </w:pPr>
      <w:r>
        <w:t>2. Implementación de métricas de observabilidad</w:t>
      </w:r>
    </w:p>
    <w:p>
      <w:pPr>
        <w:spacing w:after="120"/>
      </w:pPr>
      <w:r>
        <w:rPr>
          <w:i w:val="0"/>
          <w:sz w:val="21"/>
        </w:rPr>
        <w:t>Se implementaron cinco métricas relevantes, agrupadas en las dos dimensiones exigidas: calidad de las respuestas y eficiencia operacional.</w:t>
      </w:r>
    </w:p>
    <w:p>
      <w:pPr>
        <w:pStyle w:val="ListBullet"/>
        <w:spacing w:after="40"/>
      </w:pPr>
      <w:r>
        <w:rPr>
          <w:b/>
          <w:sz w:val="21"/>
        </w:rPr>
        <w:t xml:space="preserve">Precisión: </w:t>
      </w:r>
      <w:r>
        <w:rPr>
          <w:b w:val="0"/>
          <w:sz w:val="21"/>
        </w:rPr>
        <w:t>tasa de éxito de la tarea y acierto en la selección de herramienta respecto a una verdad de referencia (ground truth).</w:t>
      </w:r>
    </w:p>
    <w:p>
      <w:pPr>
        <w:pStyle w:val="ListBullet"/>
        <w:spacing w:after="40"/>
      </w:pPr>
      <w:r>
        <w:rPr>
          <w:b/>
          <w:sz w:val="21"/>
        </w:rPr>
        <w:t xml:space="preserve">Consistencia: </w:t>
      </w:r>
      <w:r>
        <w:rPr>
          <w:b w:val="0"/>
          <w:sz w:val="21"/>
        </w:rPr>
        <w:t>estabilidad de la decisión ante entradas equivalentes (mismo escenario y variante ejecutados múltiples veces).</w:t>
      </w:r>
    </w:p>
    <w:p>
      <w:pPr>
        <w:pStyle w:val="ListBullet"/>
        <w:spacing w:after="40"/>
      </w:pPr>
      <w:r>
        <w:rPr>
          <w:b/>
          <w:sz w:val="21"/>
        </w:rPr>
        <w:t xml:space="preserve">Frecuencia de errores: </w:t>
      </w:r>
      <w:r>
        <w:rPr>
          <w:b w:val="0"/>
          <w:sz w:val="21"/>
        </w:rPr>
        <w:t>proporción y tipo de fallos (timeout, rate-limit, parsing, validación, E/S).</w:t>
      </w:r>
    </w:p>
    <w:p>
      <w:pPr>
        <w:pStyle w:val="ListBullet"/>
        <w:spacing w:after="40"/>
      </w:pPr>
      <w:r>
        <w:rPr>
          <w:b/>
          <w:sz w:val="21"/>
        </w:rPr>
        <w:t xml:space="preserve">Latencia: </w:t>
      </w:r>
      <w:r>
        <w:rPr>
          <w:b w:val="0"/>
          <w:sz w:val="21"/>
        </w:rPr>
        <w:t>tiempo de respuesta extremo a extremo (media, p50, p95, máx).</w:t>
      </w:r>
    </w:p>
    <w:p>
      <w:pPr>
        <w:pStyle w:val="ListBullet"/>
        <w:spacing w:after="40"/>
      </w:pPr>
      <w:r>
        <w:rPr>
          <w:b/>
          <w:sz w:val="21"/>
        </w:rPr>
        <w:t xml:space="preserve">Uso de recursos: </w:t>
      </w:r>
      <w:r>
        <w:rPr>
          <w:b w:val="0"/>
          <w:sz w:val="21"/>
        </w:rPr>
        <w:t>tokens consumidos, costo estimado y número de pasos por tarea.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B"/>
          </w:tcPr>
          <w:p>
            <w:r/>
            <w:r>
              <w:rPr>
                <w:b/>
                <w:color w:val="1F4E79"/>
                <w:sz w:val="20"/>
              </w:rPr>
              <w:t>KPIs globales del agente (14 días · 688 interacciones)</w:t>
            </w:r>
          </w:p>
          <w:p>
            <w:r>
              <w:rPr>
                <w:sz w:val="19"/>
              </w:rPr>
              <w:t>Precisión (éxito): 85.0%   ·   Acierto de herramienta: 89.2%   ·   Consistencia: 85.2%   ·   Tasa de error: 6.9%</w:t>
              <w:br/>
              <w:t>Latencia media/p95/máx: 2608 / 8308 / 30076 ms   ·   Tokens: 525,677   ·   Costo estimado: US$2.40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21"/>
        </w:rPr>
        <w:t>El desglose por escenario revela un comportamiento heterogéneo: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4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7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Precisión</w:t>
            </w:r>
          </w:p>
        </w:tc>
        <w:tc>
          <w:tcPr>
            <w:tcW w:type="dxa" w:w="13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Acierto herr.</w:t>
            </w:r>
          </w:p>
        </w:tc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Tasa error</w:t>
            </w:r>
          </w:p>
        </w:tc>
        <w:tc>
          <w:tcPr>
            <w:tcW w:type="dxa" w:w="18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Latencia p95 (ms)</w:t>
            </w:r>
          </w:p>
        </w:tc>
        <w:tc>
          <w:tcPr>
            <w:tcW w:type="dxa" w:w="13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Tokens medio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/>
                <w:sz w:val="17"/>
              </w:rPr>
              <w:t>Multi-agente crédito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85.9%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95.3%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12.5%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7"/>
              </w:rPr>
              <w:t>20958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3036</w:t>
            </w:r>
          </w:p>
        </w:tc>
      </w:tr>
      <w:tr>
        <w:tc>
          <w:tcPr>
            <w:tcW w:type="dxa" w:w="2448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7"/>
              </w:rPr>
              <w:t>Simulación crédito</w:t>
            </w:r>
          </w:p>
        </w:tc>
        <w:tc>
          <w:tcPr>
            <w:tcW w:type="dxa" w:w="72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91.8%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93.9%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3.1%</w:t>
            </w:r>
          </w:p>
        </w:tc>
        <w:tc>
          <w:tcPr>
            <w:tcW w:type="dxa" w:w="180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6343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868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/>
                <w:sz w:val="17"/>
              </w:rPr>
              <w:t>Transferencia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84.4%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94.8%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12.5%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7"/>
              </w:rPr>
              <w:t>5588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565</w:t>
            </w:r>
          </w:p>
        </w:tc>
      </w:tr>
      <w:tr>
        <w:tc>
          <w:tcPr>
            <w:tcW w:type="dxa" w:w="2448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7"/>
              </w:rPr>
              <w:t>Registro reclamo</w:t>
            </w:r>
          </w:p>
        </w:tc>
        <w:tc>
          <w:tcPr>
            <w:tcW w:type="dxa" w:w="72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101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87.1%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88.1%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5.9%</w:t>
            </w:r>
          </w:p>
        </w:tc>
        <w:tc>
          <w:tcPr>
            <w:tcW w:type="dxa" w:w="180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3730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541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/>
                <w:sz w:val="17"/>
              </w:rPr>
              <w:t>Consulta ambigua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54.0%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58.0%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12.0%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7"/>
              </w:rPr>
              <w:t>2950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490</w:t>
            </w:r>
          </w:p>
        </w:tc>
      </w:tr>
      <w:tr>
        <w:tc>
          <w:tcPr>
            <w:tcW w:type="dxa" w:w="2448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7"/>
              </w:rPr>
              <w:t>Info. de producto</w:t>
            </w:r>
          </w:p>
        </w:tc>
        <w:tc>
          <w:tcPr>
            <w:tcW w:type="dxa" w:w="72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101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95.0%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98.0%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3.0%</w:t>
            </w:r>
          </w:p>
        </w:tc>
        <w:tc>
          <w:tcPr>
            <w:tcW w:type="dxa" w:w="180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2930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465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/>
                <w:sz w:val="17"/>
              </w:rPr>
              <w:t>Consulta de saldo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97.9%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98.9%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1.1%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sz w:val="17"/>
              </w:rPr>
              <w:t>1854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sz w:val="17"/>
              </w:rPr>
              <w:t>369</w:t>
            </w:r>
          </w:p>
        </w:tc>
      </w:tr>
      <w:tr>
        <w:tc>
          <w:tcPr>
            <w:tcW w:type="dxa" w:w="2448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7"/>
              </w:rPr>
              <w:t>Intento injection</w:t>
            </w:r>
          </w:p>
        </w:tc>
        <w:tc>
          <w:tcPr>
            <w:tcW w:type="dxa" w:w="72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87.9%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100.0%</w:t>
            </w:r>
          </w:p>
        </w:tc>
        <w:tc>
          <w:tcPr>
            <w:tcW w:type="dxa" w:w="1224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12.1%</w:t>
            </w:r>
          </w:p>
        </w:tc>
        <w:tc>
          <w:tcPr>
            <w:tcW w:type="dxa" w:w="1800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1368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195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94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tencia_por_esce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1. Latencia p95 vs. media por escenario. La orquestación multi-agente concentra la latencia del sistema.</w:t>
      </w:r>
    </w:p>
    <w:p>
      <w:pPr>
        <w:pStyle w:val="Heading1"/>
      </w:pPr>
      <w:r>
        <w:t>3. Análisis de registros y trazabilidad</w:t>
      </w:r>
    </w:p>
    <w:p>
      <w:pPr>
        <w:spacing w:after="120"/>
      </w:pPr>
      <w:r>
        <w:rPr>
          <w:b w:val="0"/>
          <w:sz w:val="21"/>
        </w:rPr>
        <w:t xml:space="preserve">El procesamiento de los logs (módulo </w:t>
      </w:r>
      <w:r>
        <w:rPr>
          <w:b/>
          <w:sz w:val="21"/>
        </w:rPr>
        <w:t>analyze_traces</w:t>
      </w:r>
      <w:r>
        <w:rPr>
          <w:b w:val="0"/>
          <w:sz w:val="21"/>
        </w:rPr>
        <w:t>) examina cada evento para localizar puntos de falla, cuellos de botella y anomalías. Los hallazgos principales son:</w:t>
      </w:r>
    </w:p>
    <w:p>
      <w:pPr>
        <w:pStyle w:val="ListBullet"/>
        <w:spacing w:after="40"/>
      </w:pPr>
      <w:r>
        <w:rPr>
          <w:b/>
          <w:sz w:val="21"/>
        </w:rPr>
        <w:t xml:space="preserve">Anomalía temporal: </w:t>
      </w:r>
      <w:r>
        <w:rPr>
          <w:b w:val="0"/>
          <w:sz w:val="21"/>
        </w:rPr>
        <w:t>el 2025-06-11 se detectó un incidente (latencia p95 17693 ms, z=3.17; error 24.1%, z=3.22), compatible con una degradación del proveedor del modelo.</w:t>
      </w:r>
    </w:p>
    <w:p>
      <w:pPr>
        <w:pStyle w:val="ListBullet"/>
        <w:spacing w:after="40"/>
      </w:pPr>
      <w:r>
        <w:rPr>
          <w:b/>
          <w:sz w:val="21"/>
        </w:rPr>
        <w:t xml:space="preserve">Punto de falla dominante: </w:t>
      </w:r>
      <w:r>
        <w:rPr>
          <w:b w:val="0"/>
          <w:sz w:val="21"/>
        </w:rPr>
        <w:t>el escenario «Consulta ambigua» por decision incorrecta concentra el 33% de los fallos.</w:t>
      </w:r>
    </w:p>
    <w:p>
      <w:pPr>
        <w:pStyle w:val="ListBullet"/>
        <w:spacing w:after="40"/>
      </w:pPr>
      <w:r>
        <w:rPr>
          <w:b/>
          <w:sz w:val="21"/>
        </w:rPr>
        <w:t xml:space="preserve">Cuello de botella: </w:t>
      </w:r>
      <w:r>
        <w:rPr>
          <w:b w:val="0"/>
          <w:sz w:val="21"/>
        </w:rPr>
        <w:t>«Multi-agente crédito» con p95 de 20958 ms, por las múltiples llamadas LLM encadenadas de la orquestación.</w:t>
      </w:r>
    </w:p>
    <w:p>
      <w:pPr>
        <w:pStyle w:val="ListBullet"/>
        <w:spacing w:after="40"/>
      </w:pPr>
      <w:r>
        <w:rPr>
          <w:b/>
          <w:sz w:val="21"/>
        </w:rPr>
        <w:t xml:space="preserve">Predictor de éxito: </w:t>
      </w:r>
      <w:r>
        <w:rPr>
          <w:b w:val="0"/>
          <w:sz w:val="21"/>
        </w:rPr>
        <w:t>cuando el agente elige la herramienta correcta el éxito es 95.4%; cuando se equivoca, 0.0%. La selección de herramienta es el factor decisivo.</w:t>
      </w:r>
    </w:p>
    <w:p>
      <w:pPr>
        <w:pStyle w:val="ListBullet"/>
        <w:spacing w:after="40"/>
      </w:pPr>
      <w:r>
        <w:rPr>
          <w:b/>
          <w:sz w:val="21"/>
        </w:rPr>
        <w:t xml:space="preserve">Efecto de la ambigüedad: </w:t>
      </w:r>
      <w:r>
        <w:rPr>
          <w:b w:val="0"/>
          <w:sz w:val="21"/>
        </w:rPr>
        <w:t>ante entradas claras la precisión es 90.6%, pero cae a 54.0% con entradas ambiguas (brecha de 37 pp).</w:t>
      </w:r>
    </w:p>
    <w:p>
      <w:pPr>
        <w:pStyle w:val="ListBullet"/>
        <w:spacing w:after="40"/>
      </w:pPr>
      <w:r>
        <w:rPr>
          <w:b/>
          <w:sz w:val="21"/>
        </w:rPr>
        <w:t xml:space="preserve">Correlación recursos–latencia: </w:t>
      </w:r>
      <w:r>
        <w:rPr>
          <w:b w:val="0"/>
          <w:sz w:val="21"/>
        </w:rPr>
        <w:t>r = 0.686 entre tokens y latencia.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97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ie_temporal_incid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2. Evolución diaria de latencia p95 y tasa de error; el área sombreada marca el incidente detectado automáticamente.</w:t>
      </w:r>
    </w:p>
    <w:p>
      <w:pPr>
        <w:spacing w:after="80"/>
      </w:pPr>
      <w:r>
        <w:rPr>
          <w:i w:val="0"/>
          <w:sz w:val="21"/>
        </w:rPr>
        <w:t>Distribución de errores registrados: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de error</w:t>
            </w:r>
          </w:p>
        </w:tc>
        <w:tc>
          <w:tcPr>
            <w:tcW w:type="dxa" w:w="201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Ocurrencias</w:t>
            </w:r>
          </w:p>
        </w:tc>
        <w:tc>
          <w:tcPr>
            <w:tcW w:type="dxa" w:w="201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sz w:val="18"/>
              </w:rPr>
              <w:t>timeout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2.03%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jc w:val="left"/>
            </w:pPr>
            <w:r/>
            <w:r>
              <w:rPr>
                <w:sz w:val="18"/>
              </w:rPr>
              <w:t>parsing error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1.89%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sz w:val="18"/>
              </w:rPr>
              <w:t>rate limit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1.45%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jc w:val="left"/>
            </w:pPr>
            <w:r/>
            <w:r>
              <w:rPr>
                <w:sz w:val="18"/>
              </w:rPr>
              <w:t>validation error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0.73%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sz w:val="18"/>
              </w:rPr>
              <w:t>security bypass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8"/>
              </w:rPr>
              <w:t>0.58%</w:t>
            </w:r>
          </w:p>
        </w:tc>
      </w:tr>
      <w:tr>
        <w:tc>
          <w:tcPr>
            <w:tcW w:type="dxa" w:w="3744"/>
            <w:shd w:val="clear" w:color="auto" w:fill="D9E1F2"/>
          </w:tcPr>
          <w:p>
            <w:pPr>
              <w:jc w:val="left"/>
            </w:pPr>
            <w:r/>
            <w:r>
              <w:rPr>
                <w:sz w:val="18"/>
              </w:rPr>
              <w:t>tool error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016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0.44%</w:t>
            </w:r>
          </w:p>
        </w:tc>
      </w:tr>
    </w:tbl>
    <w:p>
      <w:pPr>
        <w:spacing w:after="40"/>
      </w:pPr>
    </w:p>
    <w:p>
      <w:pPr>
        <w:pStyle w:val="Heading1"/>
      </w:pPr>
      <w:r>
        <w:t>4. Dashboard de monitoreo</w:t>
      </w:r>
    </w:p>
    <w:p>
      <w:pPr>
        <w:spacing w:after="120"/>
      </w:pPr>
      <w:r>
        <w:rPr>
          <w:b w:val="0"/>
          <w:sz w:val="21"/>
        </w:rPr>
        <w:t xml:space="preserve">Se construyó el dashboard en </w:t>
      </w:r>
      <w:r>
        <w:rPr>
          <w:b/>
          <w:sz w:val="21"/>
        </w:rPr>
        <w:t>Power BI</w:t>
      </w:r>
      <w:r>
        <w:rPr>
          <w:b w:val="0"/>
          <w:sz w:val="21"/>
        </w:rPr>
        <w:t xml:space="preserve">, alimentado por la tabla de hechos </w:t>
      </w:r>
      <w:r>
        <w:rPr>
          <w:b/>
          <w:sz w:val="21"/>
        </w:rPr>
        <w:t>dashboard/powerbi_dataset.csv</w:t>
      </w:r>
      <w:r>
        <w:rPr>
          <w:b w:val="0"/>
          <w:sz w:val="21"/>
        </w:rPr>
        <w:t xml:space="preserve"> (una fila por interacción) con medidas DAX para precisión, latencia p95, tasa de error, tokens y tasa de bloqueo de seguridad (guía en </w:t>
      </w:r>
      <w:r>
        <w:rPr>
          <w:b/>
          <w:sz w:val="21"/>
        </w:rPr>
        <w:t>dashboard/GUIA_POWERBI.md</w:t>
      </w:r>
      <w:r>
        <w:rPr>
          <w:b w:val="0"/>
          <w:sz w:val="21"/>
        </w:rPr>
        <w:t xml:space="preserve">). Como vista rápida reproducible se incluye además el libro </w:t>
      </w:r>
      <w:r>
        <w:rPr>
          <w:b/>
          <w:sz w:val="21"/>
        </w:rPr>
        <w:t>dashboard/dashboard_banco.xlsx</w:t>
      </w:r>
      <w:r>
        <w:rPr>
          <w:b w:val="0"/>
          <w:sz w:val="21"/>
        </w:rPr>
        <w:t xml:space="preserve"> con KPIs y gráficos nativos. El tablero integra: tarjetas de KPI, precisión y latencia por escenario, evolución temporal con marca de incidente, distribución de errores, uso de recursos y panel de seguridad, con segmentadores por escenario y fecha.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22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3. Captura del dashboard de monitoreo integrado (KPIs + visualizaciones).</w:t>
      </w:r>
    </w:p>
    <w:p>
      <w:pPr>
        <w:pStyle w:val="Heading1"/>
      </w:pPr>
      <w:r>
        <w:t>5. Seguridad y uso responsable</w:t>
      </w:r>
    </w:p>
    <w:p>
      <w:pPr>
        <w:spacing w:after="120"/>
      </w:pPr>
      <w:r>
        <w:rPr>
          <w:i w:val="0"/>
          <w:sz w:val="21"/>
        </w:rPr>
        <w:t>Se integró una capa transversal de seguridad (security/guardrails.py) alineada con la Ley 19.628 sobre datos personales, la normativa de ciberseguridad de la CMF y el OWASP Top 10 for LLM Applications:</w:t>
      </w:r>
    </w:p>
    <w:p>
      <w:pPr>
        <w:pStyle w:val="ListBullet"/>
        <w:spacing w:after="40"/>
      </w:pPr>
      <w:r>
        <w:rPr>
          <w:b/>
          <w:sz w:val="21"/>
        </w:rPr>
        <w:t xml:space="preserve">Privacidad por diseño: </w:t>
      </w:r>
      <w:r>
        <w:rPr>
          <w:b w:val="0"/>
          <w:sz w:val="21"/>
        </w:rPr>
        <w:t>enmascaramiento de PII (RUT, tarjeta, correo, teléfono) antes de logs y prompts; los RUT conservan solo 3 dígitos para trazar sin exponer el dato.</w:t>
      </w:r>
    </w:p>
    <w:p>
      <w:pPr>
        <w:pStyle w:val="ListBullet"/>
        <w:spacing w:after="40"/>
      </w:pPr>
      <w:r>
        <w:rPr>
          <w:b/>
          <w:sz w:val="21"/>
        </w:rPr>
        <w:t xml:space="preserve">Defensa ante prompt-injection: </w:t>
      </w:r>
      <w:r>
        <w:rPr>
          <w:b w:val="0"/>
          <w:sz w:val="21"/>
        </w:rPr>
        <w:t>detección por patrones de intentos de ignorar instrucciones, revelar el system prompt u operar sin confirmación (OWASP LLM01).</w:t>
      </w:r>
    </w:p>
    <w:p>
      <w:pPr>
        <w:pStyle w:val="ListBullet"/>
        <w:spacing w:after="40"/>
      </w:pPr>
      <w:r>
        <w:rPr>
          <w:b/>
          <w:sz w:val="21"/>
        </w:rPr>
        <w:t xml:space="preserve">Rate limiting y validación de entrada: </w:t>
      </w:r>
      <w:r>
        <w:rPr>
          <w:b w:val="0"/>
          <w:sz w:val="21"/>
        </w:rPr>
        <w:t>control de abuso y saneamiento.</w:t>
      </w:r>
    </w:p>
    <w:p>
      <w:pPr>
        <w:pStyle w:val="ListBullet"/>
        <w:spacing w:after="40"/>
      </w:pPr>
      <w:r>
        <w:rPr>
          <w:b/>
          <w:sz w:val="21"/>
        </w:rPr>
        <w:t xml:space="preserve">Auditoría con integridad: </w:t>
      </w:r>
      <w:r>
        <w:rPr>
          <w:b w:val="0"/>
          <w:sz w:val="21"/>
        </w:rPr>
        <w:t>bitácora con encadenamiento de hash (no-repudio).</w:t>
      </w:r>
    </w:p>
    <w:p>
      <w:pPr>
        <w:pStyle w:val="ListBullet"/>
        <w:spacing w:after="40"/>
      </w:pPr>
      <w:r>
        <w:rPr>
          <w:b/>
          <w:sz w:val="21"/>
        </w:rPr>
        <w:t xml:space="preserve">Confirmación humana: </w:t>
      </w:r>
      <w:r>
        <w:rPr>
          <w:b w:val="0"/>
          <w:sz w:val="21"/>
        </w:rPr>
        <w:t>toda transferencia requiere validación explícita.</w:t>
      </w:r>
    </w:p>
    <w:p>
      <w:pPr>
        <w:spacing w:after="120"/>
      </w:pPr>
      <w:r>
        <w:rPr>
          <w:b w:val="0"/>
          <w:sz w:val="21"/>
        </w:rPr>
        <w:t xml:space="preserve">Sobre la telemetría se registraron </w:t>
      </w:r>
      <w:r>
        <w:rPr>
          <w:b/>
          <w:sz w:val="21"/>
        </w:rPr>
        <w:t>33 intentos de prompt-injection, de los cuales se bloqueó el 87.9%</w:t>
      </w:r>
      <w:r>
        <w:rPr>
          <w:b w:val="0"/>
          <w:sz w:val="21"/>
        </w:rPr>
        <w:t>. Persisten 4 casos no bloqueados (riesgo residual) y se enmascaró PII en 356 interacciones (ver panel de seguridad en la Figura 3).</w:t>
      </w:r>
    </w:p>
    <w:p>
      <w:pPr>
        <w:pStyle w:val="Heading1"/>
      </w:pPr>
      <w:r>
        <w:t>6. Recomendaciones de optimización</w:t>
      </w:r>
    </w:p>
    <w:p>
      <w:pPr>
        <w:spacing w:after="120"/>
      </w:pPr>
      <w:r>
        <w:rPr>
          <w:i w:val="0"/>
          <w:sz w:val="21"/>
        </w:rPr>
        <w:t>Cada recomendación se fundamenta en las métricas y la trazabilidad anteriores, priorizadas por impacto en sostenibilidad y escalabilidad:</w:t>
      </w:r>
    </w:p>
    <w:p>
      <w:pPr>
        <w:pStyle w:val="ListNumber"/>
        <w:spacing w:after="40"/>
      </w:pPr>
      <w:r>
        <w:rPr>
          <w:b/>
          <w:sz w:val="21"/>
        </w:rPr>
        <w:t xml:space="preserve">Desambiguación de intención (precisión). </w:t>
      </w:r>
      <w:r>
        <w:rPr>
          <w:b w:val="0"/>
          <w:sz w:val="21"/>
        </w:rPr>
        <w:t>La brecha de 37 pp en entradas ambiguas justifica añadir una capa de clarificación (repreguntar) y few-shot de enrutamiento. Es la mejora de mayor impacto en la precisión global.</w:t>
      </w:r>
    </w:p>
    <w:p>
      <w:pPr>
        <w:pStyle w:val="ListNumber"/>
        <w:spacing w:after="40"/>
      </w:pPr>
      <w:r>
        <w:rPr>
          <w:b/>
          <w:sz w:val="21"/>
        </w:rPr>
        <w:t xml:space="preserve">Optimización del cuello de botella multi-agente (latencia/recursos). </w:t>
      </w:r>
      <w:r>
        <w:rPr>
          <w:b w:val="0"/>
          <w:sz w:val="21"/>
        </w:rPr>
        <w:t>Ejecutar en paralelo a los especialistas independientes, cachear respuestas de productos y usar un modelo más liviano para sub-tareas reduce la latencia p95 y el consumo de tokens (escalabilidad y costo).</w:t>
      </w:r>
    </w:p>
    <w:p>
      <w:pPr>
        <w:pStyle w:val="ListNumber"/>
        <w:spacing w:after="40"/>
      </w:pPr>
      <w:r>
        <w:rPr>
          <w:b/>
          <w:sz w:val="21"/>
        </w:rPr>
        <w:t xml:space="preserve">Resiliencia ante incidentes (disponibilidad). </w:t>
      </w:r>
      <w:r>
        <w:rPr>
          <w:b w:val="0"/>
          <w:sz w:val="21"/>
        </w:rPr>
        <w:t>Implementar reintentos con backoff, timeouts y un modelo de respaldo (fallback) mitiga episodios como el incidente detectado y reduce timeouts y rate-limits.</w:t>
      </w:r>
    </w:p>
    <w:p>
      <w:pPr>
        <w:pStyle w:val="ListNumber"/>
        <w:spacing w:after="40"/>
      </w:pPr>
      <w:r>
        <w:rPr>
          <w:b/>
          <w:sz w:val="21"/>
        </w:rPr>
        <w:t xml:space="preserve">Refuerzo del guardrail de seguridad. </w:t>
      </w:r>
      <w:r>
        <w:rPr>
          <w:b w:val="0"/>
          <w:sz w:val="21"/>
        </w:rPr>
        <w:t>Los 4 bypasses exigen complementar la heurística con un clasificador LLM dedicado y canary tokens para acercar el bloqueo al 100%.</w:t>
      </w:r>
    </w:p>
    <w:p>
      <w:pPr>
        <w:pStyle w:val="ListNumber"/>
        <w:spacing w:after="40"/>
      </w:pPr>
      <w:r>
        <w:rPr>
          <w:b/>
          <w:sz w:val="21"/>
        </w:rPr>
        <w:t xml:space="preserve">Monitoreo continuo con alertas. </w:t>
      </w:r>
      <w:r>
        <w:rPr>
          <w:b w:val="0"/>
          <w:sz w:val="21"/>
        </w:rPr>
        <w:t>Definir umbrales (p95 &gt; p95 histórico + 2σ, error &gt; 10%) que disparen alertas automáticas sobre el dashboard, habilitando observabilidad proactiva.</w:t>
      </w:r>
    </w:p>
    <w:p>
      <w:pPr>
        <w:pStyle w:val="Heading1"/>
      </w:pPr>
      <w:r>
        <w:t>7. Referencias</w:t>
      </w:r>
    </w:p>
    <w:p>
      <w:pPr>
        <w:spacing w:after="60"/>
        <w:ind w:left="432" w:hanging="432"/>
      </w:pPr>
      <w:r>
        <w:rPr>
          <w:sz w:val="17"/>
        </w:rPr>
        <w:t>Biblioteca Duoc UC. (2024). Guía para el uso de inteligencia artificial. https://bibliotecas.duoc.cl/ia</w:t>
      </w:r>
    </w:p>
    <w:p>
      <w:pPr>
        <w:spacing w:after="60"/>
        <w:ind w:left="432" w:hanging="432"/>
      </w:pPr>
      <w:r>
        <w:rPr>
          <w:sz w:val="17"/>
        </w:rPr>
        <w:t>Comisión para el Mercado Financiero. (2020). Recopilación Actualizada de Normas, Cap. 20-7: Gestión de la ciberseguridad. CMF Chile.</w:t>
      </w:r>
    </w:p>
    <w:p>
      <w:pPr>
        <w:spacing w:after="60"/>
        <w:ind w:left="432" w:hanging="432"/>
      </w:pPr>
      <w:r>
        <w:rPr>
          <w:sz w:val="17"/>
        </w:rPr>
        <w:t>Ley N°19.628. Sobre protección de la vida privada. Biblioteca del Congreso Nacional de Chile.</w:t>
      </w:r>
    </w:p>
    <w:p>
      <w:pPr>
        <w:spacing w:after="60"/>
        <w:ind w:left="432" w:hanging="432"/>
      </w:pPr>
      <w:r>
        <w:rPr>
          <w:sz w:val="17"/>
        </w:rPr>
        <w:t>OWASP Foundation. (2023). OWASP Top 10 for Large Language Model Applications. https://owasp.org/www-project-top-10-for-large-language-model-applications/</w:t>
      </w:r>
    </w:p>
    <w:p>
      <w:pPr>
        <w:spacing w:after="60"/>
        <w:ind w:left="432" w:hanging="432"/>
      </w:pPr>
      <w:r>
        <w:rPr>
          <w:sz w:val="17"/>
        </w:rPr>
        <w:t>Yao, S., et al. (2022). ReAct: Synergizing reasoning and acting in language models. arXiv:2210.03629.</w:t>
      </w:r>
    </w:p>
    <w:p>
      <w:pPr>
        <w:spacing w:after="120"/>
      </w:pPr>
      <w:r>
        <w:rPr>
          <w:i/>
          <w:sz w:val="17"/>
        </w:rPr>
        <w:t>Repositorio con código fuente, README de ejecución, telemetría, dashboard, bocetos de diseño (diagrama de arquitectura) y evidencia de pruebas de software (22 pruebas automatizadas con pytest, reports/evidencia_pruebas.txt): github.com/rogrosas/Ingenier-a-de-Soluciones-con-Inteligencia-Artificial. Toda la telemetría es reproducible con «python run_observability.py».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  <w:jc w:val="left"/>
    </w:pPr>
    <w:r/>
    <w:r>
      <w:rPr>
        <w:color w:val="7F7F7F"/>
        <w:sz w:val="16"/>
      </w:rPr>
      <w:t>EP3 · Observabilidad · Banco Digital Chile · ISY0101</w:t>
      <w:tab/>
      <w:tab/>
    </w:r>
    <w:r>
      <w:rPr>
        <w:color w:val="7F7F7F"/>
        <w:sz w:val="16"/>
      </w:rPr>
      <w:t xml:space="preserve">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