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E79"/>
          <w:sz w:val="18"/>
        </w:rPr>
        <w:t>ISY0101 · Ingeniería de Soluciones con IA</w:t>
      </w:r>
      <w:r>
        <w:rPr>
          <w:color w:val="7F7F7F"/>
          <w:sz w:val="18"/>
        </w:rPr>
        <w:t xml:space="preserve">   ·   Acompaña a EFT_Presentacion_Defensa.pptx</w:t>
      </w:r>
    </w:p>
    <w:p>
      <w:pPr>
        <w:spacing w:after="40"/>
      </w:pPr>
      <w:r>
        <w:rPr>
          <w:b/>
          <w:color w:val="1F4E79"/>
          <w:sz w:val="40"/>
        </w:rPr>
        <w:t>Guion de la Presentación</w:t>
      </w:r>
    </w:p>
    <w:p>
      <w:pPr>
        <w:spacing w:after="120"/>
      </w:pPr>
      <w:r>
        <w:rPr>
          <w:color w:val="404040"/>
          <w:sz w:val="24"/>
        </w:rPr>
        <w:t>Defensa EFT · Agente “Banco Digital Chile” · 10 minutos</w:t>
      </w:r>
    </w:p>
    <w:p>
      <w:r>
        <w:rPr>
          <w:color w:val="404040"/>
          <w:sz w:val="19"/>
        </w:rPr>
        <w:t>Autores: Roger Rosas · Rodrigo Santis · Edgardo Gutiérrez</w:t>
        <w:br/>
        <w:t>Fecha: Junio 2025</w:t>
      </w:r>
    </w:p>
    <w:p>
      <w:pPr>
        <w:pBdr>
          <w:bottom w:val="single" w:sz="12" w:space="1" w:color="1F4E79"/>
        </w:pBdr>
        <w:spacing w:after="120"/>
      </w:pPr>
    </w:p>
    <w:p>
      <w:pPr>
        <w:spacing w:after="120"/>
      </w:pPr>
      <w:r>
        <w:rPr>
          <w:i w:val="0"/>
          <w:sz w:val="21"/>
        </w:rPr>
        <w:t>Este guion mapea 1:1 con las 11 diapositivas. La defensa simula una reunión ejecutiva: el/la docente representa a la dirección. Habla con seguridad, mira a la audiencia y apóyate en evidencia. Practica al menos una vez de principio a fin.</w:t>
      </w:r>
    </w:p>
    <w:p>
      <w:pPr>
        <w:spacing w:after="120"/>
      </w:pPr>
      <w:r>
        <w:rPr>
          <w:i/>
          <w:color w:val="C0392B"/>
          <w:sz w:val="18"/>
        </w:rPr>
        <w:t>⚠ El texto «qué decir» es una GUÍA para que la adaptes a tu voz. Las justificaciones de diseño y las reflexiones deben ser propias (la pauta prohíbe leer respuestas generadas por IA en esas partes).</w:t>
      </w:r>
    </w:p>
    <w:p>
      <w:pPr>
        <w:pStyle w:val="Heading1"/>
      </w:pPr>
      <w:r>
        <w:t>Distribución del tiempo (≈10 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576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032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Diapositiva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16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Foco rúbrica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4032"/>
          </w:tcPr>
          <w:p>
            <w:pPr>
              <w:jc w:val="center"/>
            </w:pPr>
            <w:r/>
            <w:r>
              <w:rPr>
                <w:sz w:val="19"/>
              </w:rPr>
              <w:t>Portada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9"/>
              </w:rPr>
              <w:t>0:20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sz w:val="19"/>
              </w:rPr>
              <w:t>Apertura</w:t>
            </w:r>
          </w:p>
        </w:tc>
      </w:tr>
      <w:tr>
        <w:tc>
          <w:tcPr>
            <w:tcW w:type="dxa" w:w="576"/>
            <w:shd w:val="clear" w:color="auto" w:fill="D9E1F2"/>
          </w:tcPr>
          <w:p>
            <w:pPr>
              <w:jc w:val="left"/>
            </w:pPr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4032"/>
            <w:shd w:val="clear" w:color="auto" w:fill="D9E1F2"/>
          </w:tcPr>
          <w:p>
            <w:pPr>
              <w:jc w:val="center"/>
            </w:pPr>
            <w:r/>
            <w:r>
              <w:rPr>
                <w:sz w:val="19"/>
              </w:rPr>
              <w:t>El caso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sz w:val="19"/>
              </w:rPr>
              <w:t>0:45</w:t>
            </w:r>
          </w:p>
        </w:tc>
        <w:tc>
          <w:tcPr>
            <w:tcW w:type="dxa" w:w="3168"/>
            <w:shd w:val="clear" w:color="auto" w:fill="D9E1F2"/>
          </w:tcPr>
          <w:p>
            <w:pPr>
              <w:jc w:val="center"/>
            </w:pPr>
            <w:r/>
            <w:r>
              <w:rPr>
                <w:sz w:val="19"/>
              </w:rPr>
              <w:t>IE1, IE4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4032"/>
          </w:tcPr>
          <w:p>
            <w:pPr>
              <w:jc w:val="center"/>
            </w:pPr>
            <w:r/>
            <w:r>
              <w:rPr>
                <w:sz w:val="19"/>
              </w:rPr>
              <w:t>La solución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9"/>
              </w:rPr>
              <w:t>0:45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sz w:val="19"/>
              </w:rPr>
              <w:t>IE4, IE8</w:t>
            </w:r>
          </w:p>
        </w:tc>
      </w:tr>
      <w:tr>
        <w:tc>
          <w:tcPr>
            <w:tcW w:type="dxa" w:w="576"/>
            <w:shd w:val="clear" w:color="auto" w:fill="D9E1F2"/>
          </w:tcPr>
          <w:p>
            <w:pPr>
              <w:jc w:val="left"/>
            </w:pPr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4032"/>
            <w:shd w:val="clear" w:color="auto" w:fill="D9E1F2"/>
          </w:tcPr>
          <w:p>
            <w:pPr>
              <w:jc w:val="center"/>
            </w:pPr>
            <w:r/>
            <w:r>
              <w:rPr>
                <w:sz w:val="19"/>
              </w:rPr>
              <w:t>Arquitectura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sz w:val="19"/>
              </w:rPr>
              <w:t>0:50</w:t>
            </w:r>
          </w:p>
        </w:tc>
        <w:tc>
          <w:tcPr>
            <w:tcW w:type="dxa" w:w="3168"/>
            <w:shd w:val="clear" w:color="auto" w:fill="D9E1F2"/>
          </w:tcPr>
          <w:p>
            <w:pPr>
              <w:jc w:val="center"/>
            </w:pPr>
            <w:r/>
            <w:r>
              <w:rPr>
                <w:sz w:val="19"/>
              </w:rPr>
              <w:t>IE3, IE8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4032"/>
          </w:tcPr>
          <w:p>
            <w:pPr>
              <w:jc w:val="center"/>
            </w:pPr>
            <w:r/>
            <w:r>
              <w:rPr>
                <w:sz w:val="19"/>
              </w:rPr>
              <w:t>Agente + demo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9"/>
              </w:rPr>
              <w:t>2:00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sz w:val="19"/>
              </w:rPr>
              <w:t>IE5, IE6, IE7</w:t>
            </w:r>
          </w:p>
        </w:tc>
      </w:tr>
      <w:tr>
        <w:tc>
          <w:tcPr>
            <w:tcW w:type="dxa" w:w="576"/>
            <w:shd w:val="clear" w:color="auto" w:fill="D9E1F2"/>
          </w:tcPr>
          <w:p>
            <w:pPr>
              <w:jc w:val="left"/>
            </w:pPr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4032"/>
            <w:shd w:val="clear" w:color="auto" w:fill="D9E1F2"/>
          </w:tcPr>
          <w:p>
            <w:pPr>
              <w:jc w:val="center"/>
            </w:pPr>
            <w:r/>
            <w:r>
              <w:rPr>
                <w:sz w:val="19"/>
              </w:rPr>
              <w:t>LLM + RAG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sz w:val="19"/>
              </w:rPr>
              <w:t>0:50</w:t>
            </w:r>
          </w:p>
        </w:tc>
        <w:tc>
          <w:tcPr>
            <w:tcW w:type="dxa" w:w="3168"/>
            <w:shd w:val="clear" w:color="auto" w:fill="D9E1F2"/>
          </w:tcPr>
          <w:p>
            <w:pPr>
              <w:jc w:val="center"/>
            </w:pPr>
            <w:r/>
            <w:r>
              <w:rPr>
                <w:sz w:val="19"/>
              </w:rPr>
              <w:t>IE1, IE2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4032"/>
          </w:tcPr>
          <w:p>
            <w:pPr>
              <w:jc w:val="center"/>
            </w:pPr>
            <w:r/>
            <w:r>
              <w:rPr>
                <w:sz w:val="19"/>
              </w:rPr>
              <w:t>Observabilidad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9"/>
              </w:rPr>
              <w:t>1:15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sz w:val="19"/>
              </w:rPr>
              <w:t>IE9</w:t>
            </w:r>
          </w:p>
        </w:tc>
      </w:tr>
      <w:tr>
        <w:tc>
          <w:tcPr>
            <w:tcW w:type="dxa" w:w="576"/>
            <w:shd w:val="clear" w:color="auto" w:fill="D9E1F2"/>
          </w:tcPr>
          <w:p>
            <w:pPr>
              <w:jc w:val="left"/>
            </w:pPr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4032"/>
            <w:shd w:val="clear" w:color="auto" w:fill="D9E1F2"/>
          </w:tcPr>
          <w:p>
            <w:pPr>
              <w:jc w:val="center"/>
            </w:pPr>
            <w:r/>
            <w:r>
              <w:rPr>
                <w:sz w:val="19"/>
              </w:rPr>
              <w:t>Trazabilidad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sz w:val="19"/>
              </w:rPr>
              <w:t>1:00</w:t>
            </w:r>
          </w:p>
        </w:tc>
        <w:tc>
          <w:tcPr>
            <w:tcW w:type="dxa" w:w="3168"/>
            <w:shd w:val="clear" w:color="auto" w:fill="D9E1F2"/>
          </w:tcPr>
          <w:p>
            <w:pPr>
              <w:jc w:val="center"/>
            </w:pPr>
            <w:r/>
            <w:r>
              <w:rPr>
                <w:sz w:val="19"/>
              </w:rPr>
              <w:t>IE10, IE12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4032"/>
          </w:tcPr>
          <w:p>
            <w:pPr>
              <w:jc w:val="center"/>
            </w:pPr>
            <w:r/>
            <w:r>
              <w:rPr>
                <w:sz w:val="19"/>
              </w:rPr>
              <w:t>Seguridad y ética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9"/>
              </w:rPr>
              <w:t>0:55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sz w:val="19"/>
              </w:rPr>
              <w:t>IE11</w:t>
            </w:r>
          </w:p>
        </w:tc>
      </w:tr>
      <w:tr>
        <w:tc>
          <w:tcPr>
            <w:tcW w:type="dxa" w:w="576"/>
            <w:shd w:val="clear" w:color="auto" w:fill="D9E1F2"/>
          </w:tcPr>
          <w:p>
            <w:pPr>
              <w:jc w:val="left"/>
            </w:pPr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4032"/>
            <w:shd w:val="clear" w:color="auto" w:fill="D9E1F2"/>
          </w:tcPr>
          <w:p>
            <w:pPr>
              <w:jc w:val="center"/>
            </w:pPr>
            <w:r/>
            <w:r>
              <w:rPr>
                <w:sz w:val="19"/>
              </w:rPr>
              <w:t>Mejoras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sz w:val="19"/>
              </w:rPr>
              <w:t>0:45</w:t>
            </w:r>
          </w:p>
        </w:tc>
        <w:tc>
          <w:tcPr>
            <w:tcW w:type="dxa" w:w="3168"/>
            <w:shd w:val="clear" w:color="auto" w:fill="D9E1F2"/>
          </w:tcPr>
          <w:p>
            <w:pPr>
              <w:jc w:val="center"/>
            </w:pPr>
            <w:r/>
            <w:r>
              <w:rPr>
                <w:sz w:val="19"/>
              </w:rPr>
              <w:t>IE12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b/>
                <w:sz w:val="19"/>
              </w:rPr>
              <w:t>11</w:t>
            </w:r>
          </w:p>
        </w:tc>
        <w:tc>
          <w:tcPr>
            <w:tcW w:type="dxa" w:w="4032"/>
          </w:tcPr>
          <w:p>
            <w:pPr>
              <w:jc w:val="center"/>
            </w:pPr>
            <w:r/>
            <w:r>
              <w:rPr>
                <w:sz w:val="19"/>
              </w:rPr>
              <w:t>Cierre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9"/>
              </w:rPr>
              <w:t>0:15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sz w:val="19"/>
              </w:rPr>
              <w:t>IE13–IE15</w:t>
            </w:r>
          </w:p>
        </w:tc>
      </w:tr>
    </w:tbl>
    <w:p>
      <w:pPr>
        <w:spacing w:after="40"/>
      </w:pPr>
    </w:p>
    <w:p>
      <w:pPr>
        <w:pStyle w:val="Heading1"/>
      </w:pPr>
      <w:r>
        <w:t>Guion diapositiva por diapositiva</w:t>
      </w:r>
    </w:p>
    <w:p>
      <w:pPr>
        <w:pStyle w:val="Heading2"/>
      </w:pPr>
      <w:r>
        <w:t>Diapositiva 1 — Portada   ·   0:20</w:t>
      </w:r>
    </w:p>
    <w:p>
      <w:pPr>
        <w:spacing w:after="60"/>
      </w:pPr>
      <w:r>
        <w:rPr>
          <w:b/>
          <w:color w:val="1F4E79"/>
          <w:sz w:val="20"/>
        </w:rPr>
        <w:t xml:space="preserve">Qué mostrar: </w:t>
      </w:r>
      <w:r>
        <w:rPr>
          <w:sz w:val="20"/>
        </w:rPr>
        <w:t>Título del proyecto y tu nombre.</w:t>
      </w:r>
    </w:p>
    <w:p>
      <w:pPr>
        <w:spacing w:after="60"/>
      </w:pPr>
      <w:r>
        <w:rPr>
          <w:b/>
          <w:color w:val="1F4E79"/>
          <w:sz w:val="20"/>
        </w:rPr>
        <w:t xml:space="preserve">Qué decir: </w:t>
      </w:r>
      <w:r>
        <w:rPr>
          <w:i/>
          <w:sz w:val="20"/>
        </w:rPr>
        <w:t>“Buenos días. Soy [tu nombre], del equipo que diseñó un agente de inteligencia artificial para Banco Digital Chile. En los próximos diez minutos les mostraré el caso, la solución, una demostración y los resultados de su monitoreo.”</w:t>
      </w:r>
    </w:p>
    <w:p>
      <w:pPr>
        <w:spacing w:after="160"/>
      </w:pPr>
      <w:r>
        <w:rPr>
          <w:b/>
          <w:color w:val="595959"/>
          <w:sz w:val="18"/>
        </w:rPr>
        <w:t xml:space="preserve">Transición: </w:t>
      </w:r>
      <w:r>
        <w:rPr>
          <w:color w:val="595959"/>
          <w:sz w:val="18"/>
        </w:rPr>
        <w:t>Avanza al caso.</w:t>
      </w:r>
    </w:p>
    <w:p>
      <w:pPr>
        <w:pStyle w:val="Heading2"/>
      </w:pPr>
      <w:r>
        <w:t>Diapositiva 2 — El caso organizacional   ·   0:45</w:t>
      </w:r>
    </w:p>
    <w:p>
      <w:pPr>
        <w:spacing w:after="60"/>
      </w:pPr>
      <w:r>
        <w:rPr>
          <w:b/>
          <w:color w:val="1F4E79"/>
          <w:sz w:val="20"/>
        </w:rPr>
        <w:t xml:space="preserve">Qué mostrar: </w:t>
      </w:r>
      <w:r>
        <w:rPr>
          <w:sz w:val="20"/>
        </w:rPr>
        <w:t>Viñetas del problema y el recuadro del desafío.</w:t>
      </w:r>
    </w:p>
    <w:p>
      <w:pPr>
        <w:spacing w:after="60"/>
      </w:pPr>
      <w:r>
        <w:rPr>
          <w:b/>
          <w:color w:val="1F4E79"/>
          <w:sz w:val="20"/>
        </w:rPr>
        <w:t xml:space="preserve">Qué decir: </w:t>
      </w:r>
      <w:r>
        <w:rPr>
          <w:i/>
          <w:sz w:val="20"/>
        </w:rPr>
        <w:t>“El banco opera de forma 100% digital y recibe un alto volumen de consultas repetitivas y operaciones sensibles. La atención humana no escala y un chatbot de reglas no entiende lenguaje natural ni ejecuta acciones. El desafío era automatizar la atención de extremo a extremo, sin perder seguridad ni trazabilidad.”</w:t>
      </w:r>
    </w:p>
    <w:p>
      <w:pPr>
        <w:spacing w:after="160"/>
      </w:pPr>
      <w:r>
        <w:rPr>
          <w:b/>
          <w:color w:val="595959"/>
          <w:sz w:val="18"/>
        </w:rPr>
        <w:t xml:space="preserve">Transición: </w:t>
      </w:r>
      <w:r>
        <w:rPr>
          <w:color w:val="595959"/>
          <w:sz w:val="18"/>
        </w:rPr>
        <w:t>“Frente a esto, propusimos lo siguiente.”</w:t>
      </w:r>
    </w:p>
    <w:p>
      <w:pPr>
        <w:pStyle w:val="Heading2"/>
      </w:pPr>
      <w:r>
        <w:t>Diapositiva 3 — La solución propuesta   ·   0:45</w:t>
      </w:r>
    </w:p>
    <w:p>
      <w:pPr>
        <w:spacing w:after="60"/>
      </w:pPr>
      <w:r>
        <w:rPr>
          <w:b/>
          <w:color w:val="1F4E79"/>
          <w:sz w:val="20"/>
        </w:rPr>
        <w:t xml:space="preserve">Qué mostrar: </w:t>
      </w:r>
      <w:r>
        <w:rPr>
          <w:sz w:val="20"/>
        </w:rPr>
        <w:t>Las cinco tarjetas de capacidades.</w:t>
      </w:r>
    </w:p>
    <w:p>
      <w:pPr>
        <w:spacing w:after="60"/>
      </w:pPr>
      <w:r>
        <w:rPr>
          <w:b/>
          <w:color w:val="1F4E79"/>
          <w:sz w:val="20"/>
        </w:rPr>
        <w:t xml:space="preserve">Qué decir: </w:t>
      </w:r>
      <w:r>
        <w:rPr>
          <w:i/>
          <w:sz w:val="20"/>
        </w:rPr>
        <w:t>“Construimos un agente conversacional que no solo responde: consulta saldos y productos, ejecuta transferencias y reclamos, razona simulaciones de crédito, recuerda al cliente entre sesiones y coordina especialistas. Es decir, resuelve la tarea completa.”</w:t>
      </w:r>
    </w:p>
    <w:p>
      <w:pPr>
        <w:spacing w:after="160"/>
      </w:pPr>
      <w:r>
        <w:rPr>
          <w:b/>
          <w:color w:val="595959"/>
          <w:sz w:val="18"/>
        </w:rPr>
        <w:t xml:space="preserve">Transición: </w:t>
      </w:r>
      <w:r>
        <w:rPr>
          <w:color w:val="595959"/>
          <w:sz w:val="18"/>
        </w:rPr>
        <w:t>“¿Cómo se organiza por dentro? Esta es la arquitectura.”</w:t>
      </w:r>
    </w:p>
    <w:p>
      <w:pPr>
        <w:pStyle w:val="Heading2"/>
      </w:pPr>
      <w:r>
        <w:t>Diapositiva 4 — Arquitectura de la solución   ·   0:50</w:t>
      </w:r>
    </w:p>
    <w:p>
      <w:pPr>
        <w:spacing w:after="60"/>
      </w:pPr>
      <w:r>
        <w:rPr>
          <w:b/>
          <w:color w:val="1F4E79"/>
          <w:sz w:val="20"/>
        </w:rPr>
        <w:t xml:space="preserve">Qué mostrar: </w:t>
      </w:r>
      <w:r>
        <w:rPr>
          <w:sz w:val="20"/>
        </w:rPr>
        <w:t>El diagrama de capas.</w:t>
      </w:r>
    </w:p>
    <w:p>
      <w:pPr>
        <w:spacing w:after="60"/>
      </w:pPr>
      <w:r>
        <w:rPr>
          <w:b/>
          <w:color w:val="1F4E79"/>
          <w:sz w:val="20"/>
        </w:rPr>
        <w:t xml:space="preserve">Qué decir: </w:t>
      </w:r>
      <w:r>
        <w:rPr>
          <w:i/>
          <w:sz w:val="20"/>
        </w:rPr>
        <w:t>“La solución tiene cuatro capas. Toda entrada pasa primero por una capa de seguridad; luego el agente principal, con LangChain y el ciclo ReAct, decide qué herramienta o sub-agente usar, apoyándose en RAG y en la memoria; y cada paso queda instrumentado por la capa de observabilidad. Integra así RA1, RA2 y RA3.”</w:t>
      </w:r>
    </w:p>
    <w:p>
      <w:pPr>
        <w:spacing w:after="160"/>
      </w:pPr>
      <w:r>
        <w:rPr>
          <w:b/>
          <w:color w:val="595959"/>
          <w:sz w:val="18"/>
        </w:rPr>
        <w:t xml:space="preserve">Transición: </w:t>
      </w:r>
      <w:r>
        <w:rPr>
          <w:color w:val="595959"/>
          <w:sz w:val="18"/>
        </w:rPr>
        <w:t>“Veámoslo funcionando.”</w:t>
      </w:r>
    </w:p>
    <w:p>
      <w:pPr>
        <w:pStyle w:val="Heading2"/>
      </w:pPr>
      <w:r>
        <w:t>Diapositiva 5 — Agente funcional y demostración   ·   2:00</w:t>
      </w:r>
    </w:p>
    <w:p>
      <w:pPr>
        <w:spacing w:after="60"/>
      </w:pPr>
      <w:r>
        <w:rPr>
          <w:b/>
          <w:color w:val="1F4E79"/>
          <w:sz w:val="20"/>
        </w:rPr>
        <w:t xml:space="preserve">Qué mostrar: </w:t>
      </w:r>
      <w:r>
        <w:rPr>
          <w:sz w:val="20"/>
        </w:rPr>
        <w:t>Las 3 columnas; luego ejecuta la demo real (o el notebook).</w:t>
      </w:r>
    </w:p>
    <w:p>
      <w:pPr>
        <w:spacing w:after="60"/>
      </w:pPr>
      <w:r>
        <w:rPr>
          <w:b/>
          <w:color w:val="1F4E79"/>
          <w:sz w:val="20"/>
        </w:rPr>
        <w:t xml:space="preserve">Qué decir: </w:t>
      </w:r>
      <w:r>
        <w:rPr>
          <w:i/>
          <w:sz w:val="20"/>
        </w:rPr>
        <w:t>“El agente integra cinco herramientas, memoria de corto plazo (ventana de 5 turnos) y de largo plazo en disco, y planificación Plan-and-Execute con orquestación CrewAI de cuatro roles. Lo muestro en vivo: primero consulto un saldo con RUT —noten que recuerda el dato—, luego pido una simulación de crédito en varias etapas, y finalmente abro el dashboard de métricas.”</w:t>
      </w:r>
    </w:p>
    <w:p>
      <w:pPr>
        <w:spacing w:after="160"/>
      </w:pPr>
      <w:r>
        <w:rPr>
          <w:b/>
          <w:color w:val="595959"/>
          <w:sz w:val="18"/>
        </w:rPr>
        <w:t xml:space="preserve">Transición: </w:t>
      </w:r>
      <w:r>
        <w:rPr>
          <w:color w:val="595959"/>
          <w:sz w:val="18"/>
        </w:rPr>
        <w:t>“Antes de los resultados, dos palabras sobre el diseño con LLM y RAG.”</w:t>
      </w:r>
    </w:p>
    <w:p>
      <w:pPr>
        <w:pStyle w:val="Heading2"/>
      </w:pPr>
      <w:r>
        <w:t>Diapositiva 6 — Diseño LLM + RAG   ·   0:50</w:t>
      </w:r>
    </w:p>
    <w:p>
      <w:pPr>
        <w:spacing w:after="60"/>
      </w:pPr>
      <w:r>
        <w:rPr>
          <w:b/>
          <w:color w:val="1F4E79"/>
          <w:sz w:val="20"/>
        </w:rPr>
        <w:t xml:space="preserve">Qué mostrar: </w:t>
      </w:r>
      <w:r>
        <w:rPr>
          <w:sz w:val="20"/>
        </w:rPr>
        <w:t>Viñetas y el recuadro de recuperación combinada.</w:t>
      </w:r>
    </w:p>
    <w:p>
      <w:pPr>
        <w:spacing w:after="60"/>
      </w:pPr>
      <w:r>
        <w:rPr>
          <w:b/>
          <w:color w:val="1F4E79"/>
          <w:sz w:val="20"/>
        </w:rPr>
        <w:t xml:space="preserve">Qué decir: </w:t>
      </w:r>
      <w:r>
        <w:rPr>
          <w:i/>
          <w:sz w:val="20"/>
        </w:rPr>
        <w:t>“El comportamiento se controla con prompts —rol, reglas, few-shot y chain-of-thought— y las respuestas sobre productos se fundamentan con RAG. Lo relevante es que combinamos fuentes internas, como el catálogo del banco, con fuentes externas como la normativa de la CMF; en el ejemplo, una sola consulta recupera ambos orígenes.”</w:t>
      </w:r>
    </w:p>
    <w:p>
      <w:pPr>
        <w:spacing w:after="160"/>
      </w:pPr>
      <w:r>
        <w:rPr>
          <w:b/>
          <w:color w:val="595959"/>
          <w:sz w:val="18"/>
        </w:rPr>
        <w:t xml:space="preserve">Transición: </w:t>
      </w:r>
      <w:r>
        <w:rPr>
          <w:color w:val="595959"/>
          <w:sz w:val="18"/>
        </w:rPr>
        <w:t>“¿Y cómo se comporta el agente en producción? Lo medimos.”</w:t>
      </w:r>
    </w:p>
    <w:p>
      <w:pPr>
        <w:pStyle w:val="Heading2"/>
      </w:pPr>
      <w:r>
        <w:t>Diapositiva 7 — Observabilidad — resultados   ·   1:15</w:t>
      </w:r>
    </w:p>
    <w:p>
      <w:pPr>
        <w:spacing w:after="60"/>
      </w:pPr>
      <w:r>
        <w:rPr>
          <w:b/>
          <w:color w:val="1F4E79"/>
          <w:sz w:val="20"/>
        </w:rPr>
        <w:t xml:space="preserve">Qué mostrar: </w:t>
      </w:r>
      <w:r>
        <w:rPr>
          <w:sz w:val="20"/>
        </w:rPr>
        <w:t>Las tarjetas de KPI y los gráficos de precisión y latencia.</w:t>
      </w:r>
    </w:p>
    <w:p>
      <w:pPr>
        <w:spacing w:after="60"/>
      </w:pPr>
      <w:r>
        <w:rPr>
          <w:b/>
          <w:color w:val="1F4E79"/>
          <w:sz w:val="20"/>
        </w:rPr>
        <w:t xml:space="preserve">Qué decir: </w:t>
      </w:r>
      <w:r>
        <w:rPr>
          <w:i/>
          <w:sz w:val="20"/>
        </w:rPr>
        <w:t>“Instrumentamos cada interacción. Sobre 688 interacciones monitoreadas, el agente logra 85% de precisión, 6,9% de error y una latencia p95 de 8,3 segundos, y bloquea el 88% de los intentos de manipulación. Por escenario se ve que las consultas claras superan el 90% y que el multi-agente domina la latencia.”</w:t>
      </w:r>
    </w:p>
    <w:p>
      <w:pPr>
        <w:spacing w:after="160"/>
      </w:pPr>
      <w:r>
        <w:rPr>
          <w:b/>
          <w:color w:val="595959"/>
          <w:sz w:val="18"/>
        </w:rPr>
        <w:t xml:space="preserve">Transición: </w:t>
      </w:r>
      <w:r>
        <w:rPr>
          <w:color w:val="595959"/>
          <w:sz w:val="18"/>
        </w:rPr>
        <w:t>“Esos números además nos revelaron problemas concretos.”</w:t>
      </w:r>
    </w:p>
    <w:p>
      <w:pPr>
        <w:pStyle w:val="Heading2"/>
      </w:pPr>
      <w:r>
        <w:t>Diapositiva 8 — Trazabilidad — hallazgos clave   ·   1:00</w:t>
      </w:r>
    </w:p>
    <w:p>
      <w:pPr>
        <w:spacing w:after="60"/>
      </w:pPr>
      <w:r>
        <w:rPr>
          <w:b/>
          <w:color w:val="1F4E79"/>
          <w:sz w:val="20"/>
        </w:rPr>
        <w:t xml:space="preserve">Qué mostrar: </w:t>
      </w:r>
      <w:r>
        <w:rPr>
          <w:sz w:val="20"/>
        </w:rPr>
        <w:t>El gráfico temporal con el incidente y las viñetas.</w:t>
      </w:r>
    </w:p>
    <w:p>
      <w:pPr>
        <w:spacing w:after="60"/>
      </w:pPr>
      <w:r>
        <w:rPr>
          <w:b/>
          <w:color w:val="1F4E79"/>
          <w:sz w:val="20"/>
        </w:rPr>
        <w:t xml:space="preserve">Qué decir: </w:t>
      </w:r>
      <w:r>
        <w:rPr>
          <w:i/>
          <w:sz w:val="20"/>
        </w:rPr>
        <w:t>“El análisis de trazabilidad detectó automáticamente un incidente el 11 de junio, con latencia y error tres desviaciones sobre lo normal. Identificó el cuello de botella en la orquestación multi-agente y, sobre todo, que el principal predictor de éxito es elegir bien la herramienta: las entradas ambiguas hunden la precisión 37 puntos.”</w:t>
      </w:r>
    </w:p>
    <w:p>
      <w:pPr>
        <w:spacing w:after="160"/>
      </w:pPr>
      <w:r>
        <w:rPr>
          <w:b/>
          <w:color w:val="595959"/>
          <w:sz w:val="18"/>
        </w:rPr>
        <w:t xml:space="preserve">Transición: </w:t>
      </w:r>
      <w:r>
        <w:rPr>
          <w:color w:val="595959"/>
          <w:sz w:val="18"/>
        </w:rPr>
        <w:t>“Todo esto bajo una capa de seguridad y uso responsable.”</w:t>
      </w:r>
    </w:p>
    <w:p>
      <w:pPr>
        <w:pStyle w:val="Heading2"/>
      </w:pPr>
      <w:r>
        <w:t>Diapositiva 9 — Seguridad y uso responsable   ·   0:55</w:t>
      </w:r>
    </w:p>
    <w:p>
      <w:pPr>
        <w:spacing w:after="60"/>
      </w:pPr>
      <w:r>
        <w:rPr>
          <w:b/>
          <w:color w:val="1F4E79"/>
          <w:sz w:val="20"/>
        </w:rPr>
        <w:t xml:space="preserve">Qué mostrar: </w:t>
      </w:r>
      <w:r>
        <w:rPr>
          <w:sz w:val="20"/>
        </w:rPr>
        <w:t>Los cinco controles y el recuadro normativo.</w:t>
      </w:r>
    </w:p>
    <w:p>
      <w:pPr>
        <w:spacing w:after="60"/>
      </w:pPr>
      <w:r>
        <w:rPr>
          <w:b/>
          <w:color w:val="1F4E79"/>
          <w:sz w:val="20"/>
        </w:rPr>
        <w:t xml:space="preserve">Qué decir: </w:t>
      </w:r>
      <w:r>
        <w:rPr>
          <w:i/>
          <w:sz w:val="20"/>
        </w:rPr>
        <w:t>“La seguridad es transversal: enmascaramos datos personales antes de cualquier registro, bloqueamos intentos de prompt-injection, limitamos la tasa de uso, auditamos con integridad y exigimos confirmación humana en cada transferencia. Todo alineado con la Ley 19.628, la CMF y OWASP. [Añade aquí tu reflexión ética propia.]”</w:t>
      </w:r>
    </w:p>
    <w:p>
      <w:pPr>
        <w:spacing w:after="160"/>
      </w:pPr>
      <w:r>
        <w:rPr>
          <w:b/>
          <w:color w:val="595959"/>
          <w:sz w:val="18"/>
        </w:rPr>
        <w:t xml:space="preserve">Transición: </w:t>
      </w:r>
      <w:r>
        <w:rPr>
          <w:color w:val="595959"/>
          <w:sz w:val="18"/>
        </w:rPr>
        <w:t>“Con esta evidencia, propusimos mejoras priorizadas.”</w:t>
      </w:r>
    </w:p>
    <w:p>
      <w:pPr>
        <w:pStyle w:val="Heading2"/>
      </w:pPr>
      <w:r>
        <w:t>Diapositiva 10 — Mejoras propuestas   ·   0:45</w:t>
      </w:r>
    </w:p>
    <w:p>
      <w:pPr>
        <w:spacing w:after="60"/>
      </w:pPr>
      <w:r>
        <w:rPr>
          <w:b/>
          <w:color w:val="1F4E79"/>
          <w:sz w:val="20"/>
        </w:rPr>
        <w:t xml:space="preserve">Qué mostrar: </w:t>
      </w:r>
      <w:r>
        <w:rPr>
          <w:sz w:val="20"/>
        </w:rPr>
        <w:t>Las cinco mejoras numeradas.</w:t>
      </w:r>
    </w:p>
    <w:p>
      <w:pPr>
        <w:spacing w:after="60"/>
      </w:pPr>
      <w:r>
        <w:rPr>
          <w:b/>
          <w:color w:val="1F4E79"/>
          <w:sz w:val="20"/>
        </w:rPr>
        <w:t xml:space="preserve">Qué decir: </w:t>
      </w:r>
      <w:r>
        <w:rPr>
          <w:i/>
          <w:sz w:val="20"/>
        </w:rPr>
        <w:t>“Cada mejora responde a un hallazgo: desambiguar la intención para subir la precisión; paralelizar el multi-agente para bajar latencia y costo; añadir resiliencia ante incidentes; reforzar el guardrail de seguridad; y activar alertas proactivas. Priorizamos la desambiguación por su impacto.”</w:t>
      </w:r>
    </w:p>
    <w:p>
      <w:pPr>
        <w:spacing w:after="160"/>
      </w:pPr>
      <w:r>
        <w:rPr>
          <w:b/>
          <w:color w:val="595959"/>
          <w:sz w:val="18"/>
        </w:rPr>
        <w:t xml:space="preserve">Transición: </w:t>
      </w:r>
      <w:r>
        <w:rPr>
          <w:color w:val="595959"/>
          <w:sz w:val="18"/>
        </w:rPr>
        <w:t>“Para cerrar.”</w:t>
      </w:r>
    </w:p>
    <w:p>
      <w:pPr>
        <w:pStyle w:val="Heading2"/>
      </w:pPr>
      <w:r>
        <w:t>Diapositiva 11 — Cierre   ·   0:15</w:t>
      </w:r>
    </w:p>
    <w:p>
      <w:pPr>
        <w:spacing w:after="60"/>
      </w:pPr>
      <w:r>
        <w:rPr>
          <w:b/>
          <w:color w:val="1F4E79"/>
          <w:sz w:val="20"/>
        </w:rPr>
        <w:t xml:space="preserve">Qué mostrar: </w:t>
      </w:r>
      <w:r>
        <w:rPr>
          <w:sz w:val="20"/>
        </w:rPr>
        <w:t>Diapositiva de cierre.</w:t>
      </w:r>
    </w:p>
    <w:p>
      <w:pPr>
        <w:spacing w:after="60"/>
      </w:pPr>
      <w:r>
        <w:rPr>
          <w:b/>
          <w:color w:val="1F4E79"/>
          <w:sz w:val="20"/>
        </w:rPr>
        <w:t xml:space="preserve">Qué decir: </w:t>
      </w:r>
      <w:r>
        <w:rPr>
          <w:i/>
          <w:sz w:val="20"/>
        </w:rPr>
        <w:t>“En síntesis, entregamos una solución medible, segura y escalable, que integra LLM, RAG, agentes y observabilidad de extremo a extremo. Quedo atento a sus preguntas. Muchas gracias.”</w:t>
      </w:r>
    </w:p>
    <w:p>
      <w:pPr>
        <w:pStyle w:val="Heading1"/>
      </w:pPr>
      <w:r>
        <w:t>Preguntas frecuentes (prepara respuestas propias)</w:t>
      </w:r>
    </w:p>
    <w:p>
      <w:pPr>
        <w:pStyle w:val="ListBullet"/>
        <w:spacing w:after="40"/>
      </w:pPr>
      <w:r>
        <w:rPr>
          <w:b/>
          <w:sz w:val="20"/>
        </w:rPr>
        <w:t xml:space="preserve">¿Cómo medirías si una mejora funcionó? </w:t>
      </w:r>
      <w:r>
        <w:rPr>
          <w:b w:val="0"/>
          <w:sz w:val="20"/>
        </w:rPr>
        <w:t>Comparando las métricas antes/después sobre el mismo set de escenarios.</w:t>
      </w:r>
    </w:p>
    <w:p>
      <w:pPr>
        <w:pStyle w:val="ListBullet"/>
        <w:spacing w:after="40"/>
      </w:pPr>
      <w:r>
        <w:rPr>
          <w:b/>
          <w:sz w:val="20"/>
        </w:rPr>
        <w:t xml:space="preserve">¿Qué pasa si el modelo se cae? </w:t>
      </w:r>
      <w:r>
        <w:rPr>
          <w:b w:val="0"/>
          <w:sz w:val="20"/>
        </w:rPr>
        <w:t>Timeouts, reintentos con backoff y un modelo de respaldo (fallback).</w:t>
      </w:r>
    </w:p>
    <w:p>
      <w:pPr>
        <w:pStyle w:val="ListBullet"/>
        <w:spacing w:after="40"/>
      </w:pPr>
      <w:r>
        <w:rPr>
          <w:b/>
          <w:sz w:val="20"/>
        </w:rPr>
        <w:t xml:space="preserve">¿Cómo evitas filtrar datos personales? </w:t>
      </w:r>
      <w:r>
        <w:rPr>
          <w:b w:val="0"/>
          <w:sz w:val="20"/>
        </w:rPr>
        <w:t>Enmascaramiento de PII antes de logs/prompts y auditoría con hash.</w:t>
      </w:r>
    </w:p>
    <w:p>
      <w:pPr>
        <w:pStyle w:val="ListBullet"/>
        <w:spacing w:after="40"/>
      </w:pPr>
      <w:r>
        <w:rPr>
          <w:b/>
          <w:sz w:val="20"/>
        </w:rPr>
        <w:t xml:space="preserve">¿Por qué LangChain y CrewAI? </w:t>
      </w:r>
      <w:r>
        <w:rPr>
          <w:b w:val="0"/>
          <w:sz w:val="20"/>
        </w:rPr>
        <w:t>LangChain por el ciclo ReAct y la gestión de memoria/herramientas; CrewAI por roles especializados y replanificación jerárquica.</w:t>
      </w:r>
    </w:p>
    <w:p>
      <w:pPr>
        <w:pStyle w:val="ListBullet"/>
        <w:spacing w:after="40"/>
      </w:pPr>
      <w:r>
        <w:rPr>
          <w:b/>
          <w:sz w:val="20"/>
        </w:rPr>
        <w:t xml:space="preserve">¿Cómo escalas a 10× el tráfico? </w:t>
      </w:r>
      <w:r>
        <w:rPr>
          <w:b w:val="0"/>
          <w:sz w:val="20"/>
        </w:rPr>
        <w:t>Cache de productos, paralelización de especialistas, colas y autoescalado por demanda.</w:t>
      </w:r>
    </w:p>
    <w:p>
      <w:pPr>
        <w:pStyle w:val="ListBullet"/>
        <w:spacing w:after="40"/>
      </w:pPr>
      <w:r>
        <w:rPr>
          <w:b/>
          <w:sz w:val="20"/>
        </w:rPr>
        <w:t xml:space="preserve">¿Cuál fue el mayor desafío? </w:t>
      </w:r>
      <w:r>
        <w:rPr>
          <w:b w:val="0"/>
          <w:sz w:val="20"/>
        </w:rPr>
        <w:t>[Responde con tu experiencia real del proyecto.]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EAF1FB"/>
          </w:tcPr>
          <w:p>
            <w:r/>
            <w:r>
              <w:rPr>
                <w:b/>
                <w:color w:val="1F4E79"/>
                <w:sz w:val="20"/>
              </w:rPr>
              <w:t>Recordatorios finales</w:t>
            </w:r>
          </w:p>
          <w:p>
            <w:r>
              <w:rPr>
                <w:sz w:val="19"/>
              </w:rPr>
              <w:t>• Practica la demo de principio a fin y ten un plan B (notebook) por si falla la API.</w:t>
              <w:br/>
              <w:t>• Habla con lenguaje técnico y respalda con cifras (IE13–IE15).</w:t>
              <w:br/>
              <w:t>• La claridad y la autocrítica puntúan más que la perfección técnica.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92" w:val="right"/>
      </w:tabs>
      <w:jc w:val="left"/>
    </w:pPr>
    <w:r/>
    <w:r>
      <w:rPr>
        <w:color w:val="7F7F7F"/>
        <w:sz w:val="16"/>
      </w:rPr>
      <w:t>Guion de Defensa · Banco Digital Chile · ISY0101</w:t>
      <w:tab/>
      <w:tab/>
    </w:r>
    <w:r>
      <w:rPr>
        <w:color w:val="7F7F7F"/>
        <w:sz w:val="16"/>
      </w:rPr>
      <w:t xml:space="preserve">Página </w:t>
    </w:r>
    <w:r>
      <w:rPr>
        <w:color w:val="7F7F7F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