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7F7F7F"/>
          <w:sz w:val="18"/>
          <w:szCs w:val="18"/>
        </w:rPr>
        <w:t xml:space="preserve">EASY OFFICE · LÍNEA DE DOCUMENTOS XP</w:t>
      </w:r>
    </w:p>
    <w:p>
      <w:pPr>
        <w:spacing w:after="60" w:before="60"/>
      </w:pPr>
      <w:r>
        <w:rPr>
          <w:b/>
          <w:bCs/>
          <w:color w:val="1F3864"/>
          <w:sz w:val="44"/>
          <w:szCs w:val="44"/>
        </w:rPr>
        <w:t xml:space="preserve">Visión y alcance</w:t>
      </w:r>
    </w:p>
    <w:p>
      <w:pPr>
        <w:pBdr>
          <w:bottom w:val="single" w:color="1F3864" w:sz="12" w:space="6"/>
        </w:pBdr>
        <w:spacing w:after="200"/>
      </w:pPr>
      <w:r>
        <w:rPr>
          <w:i/>
          <w:iCs/>
          <w:color w:val="595959"/>
          <w:sz w:val="22"/>
          <w:szCs w:val="22"/>
        </w:rPr>
        <w:t xml:space="preserve">Qué problema resolvemos, para quién y hasta dónde llega el proyecto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8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CRM y E-commerce Easy Office (Proyecto APT · Capstone)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Documento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Visión y alcance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1.1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28-10-2026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Easy Office (Cliente) · redacta Roger Rosas (Coach)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Se actualiza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 inicio y cuando cambie el alcance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47"/>
        <w:gridCol w:w="7313"/>
      </w:tblGrid>
      <w:tr>
        <w:trPr>
          <w:tblHeader/>
        </w:trPr>
        <w:tc>
          <w:tcPr>
            <w:tcW w:type="dxa" w:w="204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1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Nombre del producto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Plataforma Easy Office: CRM interno + sitio con E-commerce + portal de clientes (Mi cuenta).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Problema que resuelve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Easy Office gestiona clientes, contratos y vencimientos en Excel con macros y combina correspondencia para emitir contratos. Hay digitación duplicada, errores, poca trazabilidad, renovaciones que se escapan y los clientes no pueden contratar ni revisar sus servicios en línea.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Usuarios principales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Dueños y administradores; ejecutivos; recepción; clientes (empresas y personas) y público que visita el sitio.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Objetivo general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Centralizar y proteger la información en una base de datos SQL, digitalizar la contratación y la generación de documentos e integrarlo con el sitio, reduciendo la intervención manual y mejorando la trazabilidad.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Nivel de madurez objetivo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TRL 4 (tecnología validada en laboratorio): los componentes del sistema funcionan integrados y se validan con pruebas en un ambiente controlado, con datos ficticios y servicios externos simulados o de integración. Fecha de entrega: 20-11-2026.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Objetivos medibles </w:t>
            </w:r>
            <w:r>
              <w:rPr>
                <w:b w:val="false"/>
                <w:bCs w:val="false"/>
                <w:i/>
                <w:iCs/>
                <w:color w:val="808080"/>
                <w:sz w:val="19"/>
                <w:szCs w:val="19"/>
              </w:rPr>
              <w:t xml:space="preserve">(por validar)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1) El flujo piloto Domicilio Tributario se completa de punta a punta sin volver a digitar datos del cliente. 2) El 100 % de las altas, cambios y eliminaciones queda en la auditoría. 3) Todo contrato activo tiene alertas a 60/30/15/7 días. 4) Un contrato Word se genera en menos de 1 minuto desde el CRM. 5) Un ejecutivo nuevo registra un cliente sin ayuda técnica.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Funciones incluidas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Ver sección 2.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Fuera de alcance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Ver sección 3.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Ley 19.628 y Ley 21.719 (datos personales), Ley 19.799 (firma electrónica); API de firma sujeta a lo que entregue el proveedor; equipo de 3 personas; entrega final el 20-11-2026; sin presupuesto para servicios pagados durante el proyecto (se usan ambientes de integración gratuitos).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Criterio general de éxito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TRL 4 alcanzado: el flujo piloto se ejecuta de punta a punta en laboratorio (CP-30), los casos de prueba de las historias entregadas están ejecutados con evidencia y npm test pasa. Los criterios de éxito de la especificación (§13) que dependen de un ambiente real se validan después.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Responsable del producto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Easy Office (Cliente XP): prioriza el backlog y acepta las historias. Interlocutor diario del equipo: Roger Rosas (Coach).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Alcance del producto</w:t>
      </w:r>
    </w:p>
    <w:p>
      <w:pPr>
        <w:spacing w:after="120"/>
      </w:pPr>
      <w:r>
        <w:t xml:space="preserve">Alcance completo pedido por Easy Office. Lo que entra en la entrega TRL 4 del 20-11-2026 está en el backlog (02.1): versiones v0.4 y v0.5.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69"/>
        <w:gridCol w:w="7091"/>
      </w:tblGrid>
      <w:tr>
        <w:trPr>
          <w:tblHeader/>
        </w:trPr>
        <w:tc>
          <w:tcPr>
            <w:tcW w:type="dxa" w:w="2269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7091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Incluye</w:t>
            </w:r>
          </w:p>
        </w:tc>
      </w:tr>
      <w:tr>
        <w:tc>
          <w:tcPr>
            <w:tcW w:type="dxa" w:w="2269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CRM</w:t>
            </w:r>
          </w:p>
        </w:tc>
        <w:tc>
          <w:tcPr>
            <w:tcW w:type="dxa" w:w="70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Base de datos centralizada; usuarios y permisos por rol; auditoría inalterable; formulario de ingreso con validaciones; búsqueda y ficha del cliente; contratos y servicios; vencimientos y alertas configurables; dashboard.</w:t>
            </w:r>
          </w:p>
        </w:tc>
      </w:tr>
      <w:tr>
        <w:tc>
          <w:tcPr>
            <w:tcW w:type="dxa" w:w="2269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E-commerce</w:t>
            </w:r>
          </w:p>
        </w:tc>
        <w:tc>
          <w:tcPr>
            <w:tcW w:type="dxa" w:w="709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Páginas de servicio, catálogo de planes, formularios por servicio, pago en línea (ambiente de integración de la pasarela o simulador), registro automático en el CRM.</w:t>
            </w:r>
          </w:p>
        </w:tc>
      </w:tr>
      <w:tr>
        <w:tc>
          <w:tcPr>
            <w:tcW w:type="dxa" w:w="2269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Documentos</w:t>
            </w:r>
          </w:p>
        </w:tc>
        <w:tc>
          <w:tcPr>
            <w:tcW w:type="dxa" w:w="70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Plantillas Word, generación automática, versiones, revisión humana, borrador con marca de agua y aceptación del cliente, tickets, documentos iniciales (declaraciones juradas) cuando Easy Office entregue los formatos.</w:t>
            </w:r>
          </w:p>
        </w:tc>
      </w:tr>
      <w:tr>
        <w:tc>
          <w:tcPr>
            <w:tcW w:type="dxa" w:w="2269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Firma electrónica</w:t>
            </w:r>
          </w:p>
        </w:tc>
        <w:tc>
          <w:tcPr>
            <w:tcW w:type="dxa" w:w="709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Para TRL 4: flujo de firma validado con un simulador (TT-05). Integración real con la plataforma de Easy Office después, si su API lo permite.</w:t>
            </w:r>
          </w:p>
        </w:tc>
      </w:tr>
      <w:tr>
        <w:tc>
          <w:tcPr>
            <w:tcW w:type="dxa" w:w="2269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Portal del cliente</w:t>
            </w:r>
          </w:p>
        </w:tc>
        <w:tc>
          <w:tcPr>
            <w:tcW w:type="dxa" w:w="70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Ingreso seguro, servicios, documentos, pagos y tickets.</w:t>
            </w:r>
          </w:p>
        </w:tc>
      </w:tr>
      <w:tr>
        <w:tc>
          <w:tcPr>
            <w:tcW w:type="dxa" w:w="2269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Operación</w:t>
            </w:r>
          </w:p>
        </w:tc>
        <w:tc>
          <w:tcPr>
            <w:tcW w:type="dxa" w:w="709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Para TRL 4: instalación reproducible desde cero, procedimiento de respaldo y guía de despliegue. El ambiente publicado y la migración de la planilla quedan para después.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Fuera de alcance </w:t>
      </w:r>
      <w:r>
        <w:rPr>
          <w:b w:val="false"/>
          <w:bCs w:val="false"/>
          <w:i/>
          <w:iCs/>
          <w:color w:val="808080"/>
        </w:rPr>
        <w:t xml:space="preserve">(por validar)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Emisión de boleta o factura electrónica (HU-28): queda preparada en el modelo, no se integra.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Notificaciones por WhatsApp, lectura OCR de correspondencia y aplicación móvil.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Cobro recurrente con tarjeta guardada.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Puesta en producción, publicación en internet (hosting, HTTPS) y uso con clientes reales: corresponden a niveles TRL superiores (ambiente relevante u operativo).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Migración de la planilla Excel con datos reales de clientes.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Integración con la API real de la plataforma de firma: para TRL 4 se usa un simulador (TT-05).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Segundo factor, ficha 360°, bitácora de gestiones, exportación, verificación pública y correspondencia: planificadas para después del 20-11-2026.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Sucursales o empresas emisoras adicionales más allá de las configurables en los catálogos.</w:t>
      </w:r>
    </w:p>
    <w:p>
      <w:pPr>
        <w:pStyle w:val="Heading1"/>
      </w:pPr>
      <w:r>
        <w:t xml:space="preserve">4. Flujo objetivo (servicio piloto: Domicilio Tributario)</w:t>
      </w:r>
    </w:p>
    <w:p>
      <w:pPr>
        <w:spacing w:after="120"/>
      </w:pPr>
      <w:r>
        <w:rPr>
          <w:b/>
          <w:bCs/>
        </w:rPr>
        <w:t xml:space="preserve">Cliente → E-commerce → Pago → Generación automática → Firma → CRM → Seguimiento → Recordatorios</w:t>
      </w:r>
      <w:r>
        <w:t xml:space="preserve"> (especificación, sección 12).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505"/>
        <w:gridCol w:w="2202"/>
        <w:gridCol w:w="1653"/>
      </w:tblGrid>
      <w:tr>
        <w:trPr>
          <w:tblHeader/>
        </w:trPr>
        <w:tc>
          <w:tcPr>
            <w:tcW w:type="dxa" w:w="5505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220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 v0.3.0</w:t>
            </w:r>
          </w:p>
        </w:tc>
        <w:tc>
          <w:tcPr>
            <w:tcW w:type="dxa" w:w="165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Historia</w:t>
            </w:r>
          </w:p>
        </w:tc>
      </w:tr>
      <w:tr>
        <w:tc>
          <w:tcPr>
            <w:tcW w:type="dxa" w:w="5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1. El cliente elige el plan y entrega solo los datos que pide</w:t>
            </w:r>
          </w:p>
        </w:tc>
        <w:tc>
          <w:tcPr>
            <w:tcW w:type="dxa" w:w="22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1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HU-25</w:t>
            </w:r>
          </w:p>
        </w:tc>
      </w:tr>
      <w:tr>
        <w:tc>
          <w:tcPr>
            <w:tcW w:type="dxa" w:w="55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2. Paga en línea y el sistema verifica el pago</w:t>
            </w:r>
          </w:p>
        </w:tc>
        <w:tc>
          <w:tcPr>
            <w:tcW w:type="dxa" w:w="220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Demostración → integración o simulador (HU-27)</w:t>
            </w:r>
          </w:p>
        </w:tc>
        <w:tc>
          <w:tcPr>
            <w:tcW w:type="dxa" w:w="165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HU-27</w:t>
            </w:r>
          </w:p>
        </w:tc>
      </w:tr>
      <w:tr>
        <w:tc>
          <w:tcPr>
            <w:tcW w:type="dxa" w:w="5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3. Se crea o actualiza el cliente y se registra el contrato con inicio y vencimiento</w:t>
            </w:r>
          </w:p>
        </w:tc>
        <w:tc>
          <w:tcPr>
            <w:tcW w:type="dxa" w:w="22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1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HU-26</w:t>
            </w:r>
          </w:p>
        </w:tc>
      </w:tr>
      <w:tr>
        <w:tc>
          <w:tcPr>
            <w:tcW w:type="dxa" w:w="55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4. Se genera el contrato desde la plantilla</w:t>
            </w:r>
          </w:p>
        </w:tc>
        <w:tc>
          <w:tcPr>
            <w:tcW w:type="dxa" w:w="220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165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HU-15, HU-19</w:t>
            </w:r>
          </w:p>
        </w:tc>
      </w:tr>
      <w:tr>
        <w:tc>
          <w:tcPr>
            <w:tcW w:type="dxa" w:w="5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5. El cliente revisa el borrador y lo acepta u objeta</w:t>
            </w:r>
          </w:p>
        </w:tc>
        <w:tc>
          <w:tcPr>
            <w:tcW w:type="dxa" w:w="22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1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HU-20, HU-21</w:t>
            </w:r>
          </w:p>
        </w:tc>
      </w:tr>
      <w:tr>
        <w:tc>
          <w:tcPr>
            <w:tcW w:type="dxa" w:w="55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6. Firma electrónica y recepción del resultado</w:t>
            </w:r>
          </w:p>
        </w:tc>
        <w:tc>
          <w:tcPr>
            <w:tcW w:type="dxa" w:w="220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Simulador en laboratorio (TT-05); real después</w:t>
            </w:r>
          </w:p>
        </w:tc>
        <w:tc>
          <w:tcPr>
            <w:tcW w:type="dxa" w:w="165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TT-05, HU-18</w:t>
            </w:r>
          </w:p>
        </w:tc>
      </w:tr>
      <w:tr>
        <w:tc>
          <w:tcPr>
            <w:tcW w:type="dxa" w:w="5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7. El documento firmado queda asociado al cliente</w:t>
            </w:r>
          </w:p>
        </w:tc>
        <w:tc>
          <w:tcPr>
            <w:tcW w:type="dxa" w:w="22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 el simulador (TT-05)</w:t>
            </w:r>
          </w:p>
        </w:tc>
        <w:tc>
          <w:tcPr>
            <w:tcW w:type="dxa" w:w="1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TT-05</w:t>
            </w:r>
          </w:p>
        </w:tc>
      </w:tr>
      <w:tr>
        <w:tc>
          <w:tcPr>
            <w:tcW w:type="dxa" w:w="55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8. Seguimiento y recordatorios de vencimiento</w:t>
            </w:r>
          </w:p>
        </w:tc>
        <w:tc>
          <w:tcPr>
            <w:tcW w:type="dxa" w:w="220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Parcial (alertas sí; envío no)</w:t>
            </w:r>
          </w:p>
        </w:tc>
        <w:tc>
          <w:tcPr>
            <w:tcW w:type="dxa" w:w="165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HU-13, HU-14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Supuestos y dependencias del cliente</w:t>
      </w:r>
    </w:p>
    <w:p>
      <w:pPr>
        <w:spacing w:after="120"/>
      </w:pPr>
      <w:r>
        <w:t xml:space="preserve">Easy Office debe entregar (sección 14 de la especificación): listado definitivo de campos, planilla actual para migrar, formatos de declaraciones juradas, documentación de la API de firma, condiciones de la pasarela de pago y definición de usuarios y roles iniciales. Cada entrega pendiente aparece como dependencia en el backlog.</w:t>
      </w:r>
    </w:p>
    <w:p>
      <w:pPr>
        <w:pStyle w:val="Heading1"/>
      </w:pPr>
      <w:r>
        <w:t xml:space="preserve">Fuentes</w:t>
      </w:r>
    </w:p>
    <w:p>
      <w:pPr>
        <w:spacing w:after="120"/>
      </w:pPr>
      <w:r>
        <w:t xml:space="preserve">Información tomada de las siguientes fuentes, revisadas al 28-10-2026. Si una fuente cambia, este documento se revisa.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11"/>
        <w:gridCol w:w="2967"/>
        <w:gridCol w:w="3882"/>
      </w:tblGrid>
      <w:tr>
        <w:trPr>
          <w:tblHeader/>
        </w:trPr>
        <w:tc>
          <w:tcPr>
            <w:tcW w:type="dxa" w:w="2511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296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Ubicación</w:t>
            </w:r>
          </w:p>
        </w:tc>
        <w:tc>
          <w:tcPr>
            <w:tcW w:type="dxa" w:w="388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se tomó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Meta TRL 4 y fecha de entrega 20-11-2026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Indicadas por Roger Rosas el 28-10-2026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Nivel de madurez buscado y plazo</w:t>
            </w:r>
          </w:p>
        </w:tc>
      </w:tr>
      <w:tr>
        <w:tc>
          <w:tcPr>
            <w:tcW w:type="dxa" w:w="25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Especificación «CRM EASY OFFICE.docx»</w:t>
            </w:r>
          </w:p>
        </w:tc>
        <w:tc>
          <w:tcPr>
            <w:tcW w:type="dxa" w:w="29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Entregada por Easy Office</w:t>
            </w:r>
          </w:p>
        </w:tc>
        <w:tc>
          <w:tcPr>
            <w:tcW w:type="dxa" w:w="38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Problema, objetivos (§2), estructura (§3), alcance (§4 a §11), flujo objetivo (§12), criterios de éxito (§13) e información pendiente (§14)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Informe final Fase 2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Documentos/Fase 2/2.6_Informe Final Proyecto APT CRM Easy Office.docx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Objetivo general, carácter simulado del proyecto y leyes aplicables (19.628, 21.719, 19.799)</w:t>
            </w:r>
          </w:p>
        </w:tc>
      </w:tr>
      <w:tr>
        <w:tc>
          <w:tcPr>
            <w:tcW w:type="dxa" w:w="25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README técnico</w:t>
            </w:r>
          </w:p>
        </w:tc>
        <w:tc>
          <w:tcPr>
            <w:tcW w:type="dxa" w:w="29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Desarrollo/EasyOfficeWIP/README.md</w:t>
            </w:r>
          </w:p>
        </w:tc>
        <w:tc>
          <w:tcPr>
            <w:tcW w:type="dxa" w:w="38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Estado de cada paso del flujo piloto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Definición de roles del equipo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Indicada por Roger Rosas el 27-10-2026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Responsable del producto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Línea de documentos XP ·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PAGE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NUMPAGES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Easy Office · 01.2 Visión y alcance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Visión y alcance</dc:title>
  <dc:creator>Equipo Capstone Easy Office</dc:creator>
  <cp:lastModifiedBy>Un-named</cp:lastModifiedBy>
  <cp:revision>1</cp:revision>
  <dcterms:created xsi:type="dcterms:W3CDTF">2026-10-28T21:34:18.412Z</dcterms:created>
  <dcterms:modified xsi:type="dcterms:W3CDTF">2026-10-28T21:34:18.412Z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