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Arquitectura general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Componentes, capas, integraciones y flujo principal (nivel alto)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Arquitectura general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Cuando se agregue un componente, integración o capa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Vista de contexto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Público y clientes                    Personal de Easy Office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Sitio · Tienda · Mi cuenta            CRM (/crm)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│                                  │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└────────────────┬─────────────────┘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▼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Servidor Node.js + Express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(presentación → negocio → datos)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│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┌──────────────┬────────┴───────┬───────────────┐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▼              ▼                ▼               ▼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PostgreSQL     Carpeta          Correo          Servicios externos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EO_ER          Contratos        (SMTP o         · Pasarela de pago (HU-27)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(RLS +         (plantillas      correos-dev/)   · Firma electrónica (HU-18)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auditoría)     y Word)                         (pendientes)</w:t>
      </w:r>
    </w:p>
    <w:p>
      <w:pPr>
        <w:spacing w:after="120"/>
      </w:pPr>
    </w:p>
    <w:p>
      <w:pPr>
        <w:pStyle w:val="Heading1"/>
      </w:pPr>
      <w:r>
        <w:t xml:space="preserve">2. Capas</w:t>
      </w:r>
    </w:p>
    <w:p>
      <w:pPr>
        <w:spacing w:after="120"/>
      </w:pPr>
      <w:r>
        <w:t xml:space="preserve">Cada capa solo llama a la de abajo: un controlador nunca escribe SQL y un repositorio no conoce Express ni las reglas. El detalle de carpetas está en el README técnico.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4"/>
        <w:gridCol w:w="2282"/>
        <w:gridCol w:w="5024"/>
      </w:tblGrid>
      <w:tr>
        <w:trPr>
          <w:tblHeader/>
        </w:trPr>
        <w:tc>
          <w:tcPr>
            <w:tcW w:type="dxa" w:w="205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2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502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Presentación (cliente)</w:t>
            </w:r>
          </w:p>
        </w:tc>
        <w:tc>
          <w:tcPr>
            <w:tcW w:type="dxa" w:w="2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public/</w:t>
            </w:r>
          </w:p>
        </w:tc>
        <w:tc>
          <w:tcPr>
            <w:tcW w:type="dxa" w:w="5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HTML, CSS y JS del navegador. catalogo.js es la fuente única de planes y precios (navegador y servidor).</w:t>
            </w:r>
          </w:p>
        </w:tc>
      </w:tr>
      <w:tr>
        <w:tc>
          <w:tcPr>
            <w:tcW w:type="dxa" w:w="20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Presentación (servidor)</w:t>
            </w:r>
          </w:p>
        </w:tc>
        <w:tc>
          <w:tcPr>
            <w:tcW w:type="dxa" w:w="22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src/presentacion/</w:t>
            </w:r>
          </w:p>
        </w:tc>
        <w:tc>
          <w:tcPr>
            <w:tcW w:type="dxa" w:w="50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Rutas (/api/crm, /api/cliente, /api/tienda, /api/catalogo), controladores, sesión por cookie (eo_crm, eo_cli), manejo de errores.</w:t>
            </w:r>
          </w:p>
        </w:tc>
      </w:tr>
      <w:tr>
        <w:tc>
          <w:tcPr>
            <w:tcW w:type="dxa" w:w="2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Negocio</w:t>
            </w:r>
          </w:p>
        </w:tc>
        <w:tc>
          <w:tcPr>
            <w:tcW w:type="dxa" w:w="2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src/negocio/</w:t>
            </w:r>
          </w:p>
        </w:tc>
        <w:tc>
          <w:tcPr>
            <w:tcW w:type="dxa" w:w="5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Casos de uso, validaciones (iguales a los CHECK de la BD), roles, límites de intentos; abre la transacción con la identidad del usuario.</w:t>
            </w:r>
          </w:p>
        </w:tc>
      </w:tr>
      <w:tr>
        <w:tc>
          <w:tcPr>
            <w:tcW w:type="dxa" w:w="20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Datos</w:t>
            </w:r>
          </w:p>
        </w:tc>
        <w:tc>
          <w:tcPr>
            <w:tcW w:type="dxa" w:w="22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src/datos/</w:t>
            </w:r>
          </w:p>
        </w:tc>
        <w:tc>
          <w:tcPr>
            <w:tcW w:type="dxa" w:w="50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Pool de conexiones, conUsuario() (SET ROLE + app.usuario_actual/app.cliente_actual/app.ip_actual), repositorios SQL, Word (pizzip), correo (nodemailer), archivos.</w:t>
            </w:r>
          </w:p>
        </w:tc>
      </w:tr>
      <w:tr>
        <w:tc>
          <w:tcPr>
            <w:tcW w:type="dxa" w:w="2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easyoffice_v2.sql</w:t>
            </w:r>
          </w:p>
        </w:tc>
        <w:tc>
          <w:tcPr>
            <w:tcW w:type="dxa" w:w="50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Reglas que no deben depender de la aplicación: folios, vencimientos, alertas, revisión humana, RLS, auditoría inmutable.</w:t>
            </w:r>
          </w:p>
        </w:tc>
      </w:tr>
      <w:tr>
        <w:tc>
          <w:tcPr>
            <w:tcW w:type="dxa" w:w="20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Transversal</w:t>
            </w:r>
          </w:p>
        </w:tc>
        <w:tc>
          <w:tcPr>
            <w:tcW w:type="dxa" w:w="22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src/config, src/comun</w:t>
            </w:r>
          </w:p>
        </w:tc>
        <w:tc>
          <w:tcPr>
            <w:tcW w:type="dxa" w:w="50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Configuración desde .env y AppError.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Componentes y librerías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3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68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Servidor web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Node.js ≥ 22, Express 4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Sitio estático con URLs limpias y API JSON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PostgreSQL 15+ (pg)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Datos, reglas, seguridad por fila y auditoría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Contraseñas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bcryptjs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Hash del personal (usuarios) y del portal (cuentas_portal)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Word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pizzip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Completar MERGEFIELD y marcas [CAMPO] de las plantillas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Borrador HTML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mammoth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Convertir el Word a HTML con marca de agua para el portal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Correo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nodemailer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Enlaces de contraseña, respuestas de tickets, avisos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Flujo principal: compra en la tienda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navegador pide las preguntas del plan: GET /api/tienda/planes/:codigo/preguntas (campos del plan + preguntas de sus plantillas).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/api/tienda/compras: tienda.servicio valida los datos (RUT, correo, celular, domicilio) y abre una transacción.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o reutiliza el cliente (origen web), su domicilio y representante; si el plan no existe en servicios, lo crea por su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el contrato «pendiente» (la BD asigna folio, vencimiento y alertas), el pago «pendiente» y los documentos de las plantillas vinculadas al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Plantilla con entrega automática: genera el Word y lo publica al cliente como borrador. Con revisión: queda para el personal.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comprador no tiene contraseña de Mi cuenta, se envía el enlace firmado para crearla.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Mi cuenta el cliente ve el borrador con marca de agua, lo acepta (descarga el Word final) u objeta con un ticket.</w:t>
      </w:r>
    </w:p>
    <w:p>
      <w:pPr>
        <w:pStyle w:val="Heading1"/>
      </w:pPr>
      <w:r>
        <w:t xml:space="preserve">5. Seguridad en capas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aplicación decide quién está autenticado; PostgreSQL decide qué filas ve y registra la auditoría (defensa en profundidad).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Personal: cookie eo_crm de 8 horas; clientes: cookie eo_cli de 4 horas; sesiones separadas.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Archivos: solo dentro de CONTRATOS_DIR; la base guarda la ruta relativa; las descargas respetan la cartera.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Detalle de riesgos y controles en 04.5.</w:t>
      </w: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Arquitectura por capas, estructura de carpetas y módulos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src/app.js, src/datos/conexion.js, src/negocio/servicios/tienda.servicio.js (flujo de compra)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Configuración del proyecto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EasyOfficeWIP/package.json, .env.example, src/config/index.js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Dependencias, cookies y duración de sesiones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04.1 Arquitectura general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general</dc:title>
  <dc:creator>Equipo Capstone Easy Office</dc:creator>
  <cp:lastModifiedBy>Un-named</cp:lastModifiedBy>
  <cp:revision>1</cp:revision>
  <dcterms:created xsi:type="dcterms:W3CDTF">2026-10-28T21:34:18.682Z</dcterms:created>
  <dcterms:modified xsi:type="dcterms:W3CDTF">2026-10-28T21:34:18.682Z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